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687D4" w14:textId="77777777" w:rsidR="00332ACA" w:rsidRDefault="00332ACA" w:rsidP="00332ACA">
      <w:pPr>
        <w:spacing w:line="360" w:lineRule="auto"/>
        <w:jc w:val="both"/>
        <w:rPr>
          <w:rFonts w:ascii="Times New Roman" w:hAnsi="Times New Roman" w:cs="Times New Roman"/>
          <w:sz w:val="24"/>
          <w:szCs w:val="24"/>
        </w:rPr>
      </w:pPr>
    </w:p>
    <w:p w14:paraId="1F48445A" w14:textId="124C7826" w:rsidR="00332ACA" w:rsidRPr="00916467" w:rsidRDefault="00916467" w:rsidP="00332AC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916467">
        <w:rPr>
          <w:rFonts w:ascii="Times New Roman" w:hAnsi="Times New Roman" w:cs="Times New Roman"/>
          <w:sz w:val="24"/>
          <w:szCs w:val="24"/>
          <w:u w:val="single"/>
        </w:rPr>
        <w:t>Module Code: ECSS6001</w:t>
      </w:r>
    </w:p>
    <w:p w14:paraId="1AA9F7BD" w14:textId="4B4304E3" w:rsidR="00916467" w:rsidRPr="00916467" w:rsidRDefault="00916467" w:rsidP="00916467">
      <w:pPr>
        <w:spacing w:line="360" w:lineRule="auto"/>
        <w:ind w:left="2160" w:firstLine="720"/>
        <w:jc w:val="both"/>
        <w:rPr>
          <w:rFonts w:ascii="Times New Roman" w:hAnsi="Times New Roman" w:cs="Times New Roman"/>
          <w:sz w:val="24"/>
          <w:szCs w:val="24"/>
          <w:u w:val="single"/>
        </w:rPr>
      </w:pPr>
      <w:r w:rsidRPr="00916467">
        <w:rPr>
          <w:rFonts w:ascii="Times New Roman" w:hAnsi="Times New Roman" w:cs="Times New Roman"/>
          <w:sz w:val="24"/>
          <w:szCs w:val="24"/>
          <w:u w:val="single"/>
        </w:rPr>
        <w:t>Assessment Number: 1</w:t>
      </w:r>
    </w:p>
    <w:p w14:paraId="22FBB86D" w14:textId="651F4A82" w:rsidR="00916467" w:rsidRPr="00916467" w:rsidRDefault="00916467" w:rsidP="00916467">
      <w:pPr>
        <w:spacing w:line="360" w:lineRule="auto"/>
        <w:ind w:left="2160" w:firstLine="720"/>
        <w:jc w:val="both"/>
        <w:rPr>
          <w:rFonts w:ascii="Times New Roman" w:hAnsi="Times New Roman" w:cs="Times New Roman"/>
          <w:sz w:val="24"/>
          <w:szCs w:val="24"/>
          <w:u w:val="single"/>
        </w:rPr>
      </w:pPr>
      <w:r w:rsidRPr="00916467">
        <w:rPr>
          <w:rFonts w:ascii="Times New Roman" w:hAnsi="Times New Roman" w:cs="Times New Roman"/>
          <w:sz w:val="24"/>
          <w:szCs w:val="24"/>
          <w:u w:val="single"/>
        </w:rPr>
        <w:t>Student Number: 1704013</w:t>
      </w:r>
    </w:p>
    <w:p w14:paraId="0A41E957" w14:textId="39245490" w:rsidR="00332ACA" w:rsidRPr="00332ACA" w:rsidRDefault="00332ACA" w:rsidP="00332ACA">
      <w:pPr>
        <w:spacing w:line="360" w:lineRule="auto"/>
        <w:jc w:val="both"/>
        <w:rPr>
          <w:rFonts w:ascii="Times New Roman" w:hAnsi="Times New Roman" w:cs="Times New Roman"/>
          <w:sz w:val="24"/>
          <w:szCs w:val="24"/>
        </w:rPr>
      </w:pPr>
      <w:r w:rsidRPr="00332ACA">
        <w:rPr>
          <w:rFonts w:ascii="Times New Roman" w:hAnsi="Times New Roman" w:cs="Times New Roman"/>
          <w:sz w:val="24"/>
          <w:szCs w:val="24"/>
        </w:rPr>
        <w:t xml:space="preserve">For a case study of your choosing, critically examine how barriers in communicating can lead to social exclusion (Your discussions must refer to the concepts of ethnocentrism and cultural relativism). </w:t>
      </w:r>
    </w:p>
    <w:p w14:paraId="1DA1671B" w14:textId="77777777" w:rsidR="00332ACA" w:rsidRPr="00332ACA" w:rsidRDefault="00332ACA" w:rsidP="00332ACA">
      <w:pPr>
        <w:spacing w:line="360" w:lineRule="auto"/>
        <w:jc w:val="both"/>
        <w:rPr>
          <w:rFonts w:ascii="Times New Roman" w:hAnsi="Times New Roman" w:cs="Times New Roman"/>
          <w:sz w:val="24"/>
          <w:szCs w:val="24"/>
        </w:rPr>
      </w:pPr>
      <w:r w:rsidRPr="00332ACA">
        <w:rPr>
          <w:rFonts w:ascii="Times New Roman" w:hAnsi="Times New Roman" w:cs="Times New Roman"/>
          <w:sz w:val="24"/>
          <w:szCs w:val="24"/>
        </w:rPr>
        <w:t xml:space="preserve">The main theme for this assignment is research based around children of asylum seekers and how they are introduced and included into a new life in the UK. This assignment will focus on potential barriers in communication that may affect a newly integrated child being transitioned into UK mainstream primary school education. Children of asylum seekers may experience communication barriers when attempting to interact with peers. How communication barriers link to potential risks of children becoming socially isolated and the affects this could have on the child will be a focus of this assignment. Policy and practice regarding the rights of the children to education in the UK will be investigated including the responsibilities to ensure what support is given and what appropriate action is taken for an inclusive approach for children of asylum seekers. The subjects of ethnocentrism and cultural relativism will also be studied and explained as both concepts relate to various other cultures as well as the goal to promoting inclusion cross culturally. </w:t>
      </w:r>
    </w:p>
    <w:p w14:paraId="320CC70A" w14:textId="4405C636" w:rsidR="00332ACA" w:rsidRPr="00332ACA" w:rsidRDefault="00332ACA" w:rsidP="00332ACA">
      <w:pPr>
        <w:spacing w:line="360" w:lineRule="auto"/>
        <w:jc w:val="both"/>
        <w:rPr>
          <w:rFonts w:ascii="Times New Roman" w:hAnsi="Times New Roman" w:cs="Times New Roman"/>
          <w:sz w:val="24"/>
          <w:szCs w:val="24"/>
        </w:rPr>
      </w:pPr>
      <w:r w:rsidRPr="00332ACA">
        <w:rPr>
          <w:rFonts w:ascii="Times New Roman" w:hAnsi="Times New Roman" w:cs="Times New Roman"/>
          <w:sz w:val="24"/>
          <w:szCs w:val="24"/>
        </w:rPr>
        <w:tab/>
        <w:t xml:space="preserve">The term asylum seekers and refugees are terms that have become widely known across the UK, in that they are individuals and families who have made the decision to flee their own country and settle in another for fear of their own safety and their families. The International Rescue Committee or the IRC (2021) believe there is confusion and debates surrounding the terms refugee and asylum seeker with assumptions that they are different terms for describing the same thing when there is a distinctive difference between the two. IRC (2021) states that a refugee is forced to flee their country due to life threatening circumstances and cannot return to their country until conditions are safe. Official UK bodies such as the Government or United Nations Refugee agencies will then determine if they meet a specific criterion. If refugee status is awarded, they are now protected under international laws and are provided vital support from UK aid agencies. An asylum seeker is when someone has arrived in a country seeking protection from their own. Until they receive a decision if they have been accepted for refugee </w:t>
      </w:r>
      <w:r w:rsidRPr="00332ACA">
        <w:rPr>
          <w:rFonts w:ascii="Times New Roman" w:hAnsi="Times New Roman" w:cs="Times New Roman"/>
          <w:sz w:val="24"/>
          <w:szCs w:val="24"/>
        </w:rPr>
        <w:lastRenderedPageBreak/>
        <w:t xml:space="preserve">status after meeting very strict criteria, they continue to remain an asylum seeker. Unlike UK citizens and refugees, they cannot legally work and are limited to government benefits unless their application is accepted (Refugee Action, 2016). Buchanan and Grillo (2014) state that the media portray that the UK is gradually becoming overrun by asylum seekers. These people are being portrayed in a negative light by the media as criminals and clutching at the UK’s accommodating attitude and benefit system. However, there are many genuine asylum seekers who just wish to build a better life following an unfortunate start (Gilbert and Koser, 2006). The Red Cross (2020) defines an asylum seeker as someone who has fled their home, managed to get to another country by various means. upon arrival, an asylum seeker will apply to remain within that country, and they are legally allowed to remain there until a decision is made. Despite some assumptions that the UK is becoming overrun with asylum-seekers (Gilbert and Koser, 2006), in 2018 the UK was listed as the 17th country within the EU for asylum-seekers. The UK received 37,453 asylum-seeker applications in 2018 which includes their children a small amount compared to other EU countries such as France who received 162,000 applications (The Red Cross, 2020). </w:t>
      </w:r>
    </w:p>
    <w:p w14:paraId="5A6EFBC3" w14:textId="77777777" w:rsidR="00916467" w:rsidRDefault="00332ACA" w:rsidP="00332ACA">
      <w:pPr>
        <w:spacing w:line="360" w:lineRule="auto"/>
        <w:jc w:val="both"/>
        <w:rPr>
          <w:rFonts w:ascii="Times New Roman" w:hAnsi="Times New Roman" w:cs="Times New Roman"/>
          <w:sz w:val="24"/>
          <w:szCs w:val="24"/>
        </w:rPr>
      </w:pPr>
      <w:r w:rsidRPr="00332ACA">
        <w:rPr>
          <w:rFonts w:ascii="Times New Roman" w:hAnsi="Times New Roman" w:cs="Times New Roman"/>
          <w:sz w:val="24"/>
          <w:szCs w:val="24"/>
        </w:rPr>
        <w:tab/>
        <w:t>Asylum seeker children come from various, diverse, and horrific backgrounds with extremely different circumstances compared to the UK. Obvious differences including language, daily living, upbringing, and circumstances (Gilbert and Koser, 2006). As well as arriving at a new country and a new way of life, many asylum seeker children arrive in the UK either with family or in many cases alone. Many of these children have witnessed traumatic physical abuse or death of a family member or they been physically abused themselves (Hek, 2005). Thomas et al (2004) states that a research study on 120 unaccompanied asylum seeker children who came to the UK found that a third of them had all been sexually assaulted and that 10% of the participants in this study had suffered exploitation since arriving in the UK. Hek (2005) continues that many young asylum-seekers that make it to the UK by some means have suffered extreme physical and emotional abuse. These circumstances need to be understood to help them settle in the UK, feel they are safe in their new surroundings and provide them with opportunities and goals to move forward to begin a new life for themselves.</w:t>
      </w:r>
    </w:p>
    <w:p w14:paraId="40C43291" w14:textId="3F8E8AC8" w:rsidR="00332ACA" w:rsidRPr="00332ACA" w:rsidRDefault="00332ACA" w:rsidP="00916467">
      <w:pPr>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9264" behindDoc="1" locked="0" layoutInCell="1" allowOverlap="1" wp14:anchorId="1003B064" wp14:editId="755AE216">
                <wp:simplePos x="0" y="0"/>
                <wp:positionH relativeFrom="column">
                  <wp:posOffset>3781425</wp:posOffset>
                </wp:positionH>
                <wp:positionV relativeFrom="paragraph">
                  <wp:posOffset>4156075</wp:posOffset>
                </wp:positionV>
                <wp:extent cx="2200275" cy="400050"/>
                <wp:effectExtent l="0" t="0" r="28575" b="19050"/>
                <wp:wrapTight wrapText="bothSides">
                  <wp:wrapPolygon edited="0">
                    <wp:start x="0" y="0"/>
                    <wp:lineTo x="0" y="21600"/>
                    <wp:lineTo x="21694" y="21600"/>
                    <wp:lineTo x="2169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200275" cy="400050"/>
                        </a:xfrm>
                        <a:prstGeom prst="rect">
                          <a:avLst/>
                        </a:prstGeom>
                        <a:solidFill>
                          <a:schemeClr val="lt1"/>
                        </a:solidFill>
                        <a:ln w="6350">
                          <a:solidFill>
                            <a:schemeClr val="bg1"/>
                          </a:solidFill>
                        </a:ln>
                      </wps:spPr>
                      <wps:txbx>
                        <w:txbxContent>
                          <w:p w14:paraId="37158BFD" w14:textId="15D60DC9" w:rsidR="00332ACA" w:rsidRPr="00332ACA" w:rsidRDefault="00332ACA">
                            <w:pPr>
                              <w:rPr>
                                <w:rFonts w:ascii="Times New Roman" w:hAnsi="Times New Roman" w:cs="Times New Roman"/>
                                <w:sz w:val="20"/>
                                <w:szCs w:val="20"/>
                              </w:rPr>
                            </w:pPr>
                            <w:r w:rsidRPr="00332ACA">
                              <w:rPr>
                                <w:rFonts w:ascii="Times New Roman" w:hAnsi="Times New Roman" w:cs="Times New Roman"/>
                                <w:sz w:val="20"/>
                                <w:szCs w:val="20"/>
                              </w:rPr>
                              <w:t>Maslow’s Hierarchy of Needs (Simply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003B064" id="_x0000_t202" coordsize="21600,21600" o:spt="202" path="m,l,21600r21600,l21600,xe">
                <v:stroke joinstyle="miter"/>
                <v:path gradientshapeok="t" o:connecttype="rect"/>
              </v:shapetype>
              <v:shape id="Text Box 2" o:spid="_x0000_s1026" type="#_x0000_t202" style="position:absolute;left:0;text-align:left;margin-left:297.75pt;margin-top:327.25pt;width:173.25pt;height:31.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" fillcolor="white [3201]" strokecolor="white [3212]" strokeweight=".5pt">
                <v:textbox>
                  <w:txbxContent>
                    <w:p w14:paraId="37158BFD" w14:textId="15D60DC9" w:rsidR="00332ACA" w:rsidRPr="00332ACA" w:rsidRDefault="00332ACA">
                      <w:pPr>
                        <w:rPr>
                          <w:rFonts w:ascii="Times New Roman" w:hAnsi="Times New Roman" w:cs="Times New Roman"/>
                          <w:sz w:val="20"/>
                          <w:szCs w:val="20"/>
                        </w:rPr>
                      </w:pPr>
                      <w:r w:rsidRPr="00332ACA">
                        <w:rPr>
                          <w:rFonts w:ascii="Times New Roman" w:hAnsi="Times New Roman" w:cs="Times New Roman"/>
                          <w:sz w:val="20"/>
                          <w:szCs w:val="20"/>
                        </w:rPr>
                        <w:t>Maslow’s Hierarchy of Needs (Simply Psychology, 2020).</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58240" behindDoc="1" locked="0" layoutInCell="1" allowOverlap="1" wp14:anchorId="5F89CB8D" wp14:editId="458EC103">
            <wp:simplePos x="0" y="0"/>
            <wp:positionH relativeFrom="column">
              <wp:posOffset>3371850</wp:posOffset>
            </wp:positionH>
            <wp:positionV relativeFrom="paragraph">
              <wp:posOffset>1651000</wp:posOffset>
            </wp:positionV>
            <wp:extent cx="2981325" cy="2524125"/>
            <wp:effectExtent l="0" t="0" r="9525" b="9525"/>
            <wp:wrapTight wrapText="bothSides">
              <wp:wrapPolygon edited="0">
                <wp:start x="0" y="0"/>
                <wp:lineTo x="0" y="21518"/>
                <wp:lineTo x="21531" y="21518"/>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2524125"/>
                    </a:xfrm>
                    <a:prstGeom prst="rect">
                      <a:avLst/>
                    </a:prstGeom>
                    <a:noFill/>
                  </pic:spPr>
                </pic:pic>
              </a:graphicData>
            </a:graphic>
          </wp:anchor>
        </w:drawing>
      </w:r>
      <w:r w:rsidRPr="00332ACA">
        <w:rPr>
          <w:rFonts w:ascii="Times New Roman" w:hAnsi="Times New Roman" w:cs="Times New Roman"/>
          <w:sz w:val="24"/>
          <w:szCs w:val="24"/>
        </w:rPr>
        <w:t xml:space="preserve">Following a frightening and traumatic start to life, attempting to start again, and seeking acceptance in a new country completely alien from everything they have previously known children have no choice but to adapt. By accepting the responsibility of welcoming these new children to the UK there is a duty of care to provide for these children. The House of Commons (2007) states that when in the UK these children are now protected under The European Convention of Human Rights (ECHR). Many asylum seekers have restricted rights coming to the UK but access to healthcare and a child’s education are available to them. The National Asylum Support Service (NASS) is required to ensure children’s basic and essential living needs are met in addition to accommodation (Ashton, 2001). McLeod (2018) states that Maslow’s Hierarchy of Needs (1943) as seen in the diagram, represents the five stages of human needs required to achieve self-fulfilment in an individual’s daily life. To achieve this the first two basic need aspects of the pyramid, need to be fulfilled, which include basic survival needs of Physiological and safety needs. If these very basic needs are not provided to an asylum seeker child, they will lack the capability to live a prosperous life, establish relationships and feel included in their new surroundings. Responsibilities for a child’s welfare and safeguarding within the UK is outlined throughout the Children Act (1989) which states that local authorities and relevant partners must consider action to provide a child to promote their physical health and emotional wellbeing. Children Act (1989) continues that the wishes and feelings must be considered and understood regardless of age, background, gender, and characteristics, providing all basic needs to benefit the child also includes their right to education. Gateshead Council (2012) state that all asylum seeker children have equal access to the UK’s national curriculum if the child is within the compulsory school age category which includes children with special educational needs. Many asylum seeker children have had either no education or it has been severely disrupted, for these children to be introduced to mainstream education the local authorities Ethnic Minority and Traveller Services (EMTAS) will provide support to integrate them into education. The Education Act (1996) states that local authorities must provide children from age five fair access and equal opportunities providing them with relevant education that fulling promotes their learning potential and fulfilment. Introducing an asylum child to mainstream education requires delicate preparation </w:t>
      </w:r>
      <w:r w:rsidRPr="00332ACA">
        <w:rPr>
          <w:rFonts w:ascii="Times New Roman" w:hAnsi="Times New Roman" w:cs="Times New Roman"/>
          <w:sz w:val="24"/>
          <w:szCs w:val="24"/>
        </w:rPr>
        <w:lastRenderedPageBreak/>
        <w:t xml:space="preserve">and consideration for the child well-being ensuring the transition goes ahead as comfortably as possible. Gateshead Council (2012) continues that schools should arrange for an interpreter that understands the child’s cultural background, their circumstances and context, ensuring the interpreter’s ethnic origin is not a country in conflict with the child’s country. Schools are required to be culturally respective of the child preparing them with a few quiet days of school forming introduction buddies, a small group of children to introduce the child slowly to school with their cultural background explained to the children with daily observations and assessments. </w:t>
      </w:r>
    </w:p>
    <w:p w14:paraId="41D4B12E" w14:textId="77777777" w:rsidR="00332ACA" w:rsidRPr="00332ACA" w:rsidRDefault="00332ACA" w:rsidP="00332ACA">
      <w:pPr>
        <w:spacing w:line="360" w:lineRule="auto"/>
        <w:jc w:val="both"/>
        <w:rPr>
          <w:rFonts w:ascii="Times New Roman" w:hAnsi="Times New Roman" w:cs="Times New Roman"/>
          <w:sz w:val="24"/>
          <w:szCs w:val="24"/>
        </w:rPr>
      </w:pPr>
      <w:r w:rsidRPr="00332ACA">
        <w:rPr>
          <w:rFonts w:ascii="Times New Roman" w:hAnsi="Times New Roman" w:cs="Times New Roman"/>
          <w:sz w:val="24"/>
          <w:szCs w:val="24"/>
        </w:rPr>
        <w:tab/>
        <w:t xml:space="preserve">Neuliep (2009) believes that many people experience fears and anxiety when communicating with others, McCroskey (1984) considered to be the father of communication refers to this as communication apprehension theory. Gundykunst and Kim (1997) explain that communication with someone from another culture can be naturally uncomfortable due to uncertainties and unpredictability, Hofstede (1991) believes that humanity is led by the belief of what is different and unknown is dangerous. </w:t>
      </w:r>
      <w:bookmarkStart w:id="0" w:name="_Hlk64566488"/>
      <w:r w:rsidRPr="00332ACA">
        <w:rPr>
          <w:rFonts w:ascii="Times New Roman" w:hAnsi="Times New Roman" w:cs="Times New Roman"/>
          <w:sz w:val="24"/>
          <w:szCs w:val="24"/>
        </w:rPr>
        <w:t xml:space="preserve">Gladwell and Chetwynd (2018) </w:t>
      </w:r>
      <w:bookmarkEnd w:id="0"/>
      <w:r w:rsidRPr="00332ACA">
        <w:rPr>
          <w:rFonts w:ascii="Times New Roman" w:hAnsi="Times New Roman" w:cs="Times New Roman"/>
          <w:sz w:val="24"/>
          <w:szCs w:val="24"/>
        </w:rPr>
        <w:t xml:space="preserve">believe that many asylum seeker children can have negative experiences trying to remain in a positive and thriving education environment due to bullying and social issues with their peers. Bandura (1986) states that research results show that young people are heavily influenced by others they either come directly or in directly into contact with that they consider a role model. Fernandez-Ferrin et al, (2017) believes that many authors consider that a child’s family especially parents, Moschis (1985) continues that a child’s parents are more dominant influences than other role -models around them such as teachers and their class peers. This relates to social identity theory, Korte (2007) states this is a theory of social cognition an individual having self-conception that they are part of intergroup relations. Lantz and Loeb, (1996) adds that social identity is the desire to be part of a group that feeds a personal sense of belonging which is emotionally pleasing, individuals within the group have the same clarity that they are all similar, present the same characteristics and are separate from others who appear to not belong in their group </w:t>
      </w:r>
      <w:bookmarkStart w:id="1" w:name="_Hlk64565739"/>
      <w:r w:rsidRPr="00332ACA">
        <w:rPr>
          <w:rFonts w:ascii="Times New Roman" w:hAnsi="Times New Roman" w:cs="Times New Roman"/>
          <w:sz w:val="24"/>
          <w:szCs w:val="24"/>
        </w:rPr>
        <w:t xml:space="preserve">(Hogg, 2006). </w:t>
      </w:r>
      <w:bookmarkEnd w:id="1"/>
      <w:r w:rsidRPr="00332ACA">
        <w:rPr>
          <w:rFonts w:ascii="Times New Roman" w:hAnsi="Times New Roman" w:cs="Times New Roman"/>
          <w:sz w:val="24"/>
          <w:szCs w:val="24"/>
        </w:rPr>
        <w:t>Unfortunately, some asylum seeker children are placed within groups and settings that do not meet their needs and give them opportunity to create friendships. A young asylum seeker placed in a UK school stated ‘They put me with smaller (children), younger than me and I couldn’t handle that… I could not stay there, it’s like I was the oldest of all, but it wasn’t nice. I had some arguments with some pupils …most of the time I stood by myself. (Stanley, 2001).</w:t>
      </w:r>
    </w:p>
    <w:p w14:paraId="220BF5FB" w14:textId="77777777" w:rsidR="00332ACA" w:rsidRPr="00332ACA" w:rsidRDefault="00332ACA" w:rsidP="00332ACA">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lastRenderedPageBreak/>
        <w:t xml:space="preserve">Following research from Bandura (1986) and Fernandez-Ferrin et al (2017) it appears that young individuals are highly influenced by those around them in particularity those they are close to including family and impressionable by wanting to belong and to socially identify with their peers. This can be applied to school and how children treat others around them by influential role models in their life. If for example a child’s parents or peers present characteristics that are not inclusive of individuals that are different from their own such as welcoming other cultures this can lead to inclusive issues at school. These behaviour traits relate to ethnocentrism which is a world-wide belief system where some poses attitudes and behaviours towards other cultures and belief systems with a closed mind to another culture in comparison to their own (LeVine and Campbell, 1972). These people judge other cultures viewing their own culture and beliefs as more superior to others thinking of other cultures as far less superior (Hammond and Axelrod, 2006). Kurzban (2001) speculates that ethnocentrism behaviours set boundaries to other groups or individuals besides their own with noticeable characteristics such as language, physical appearance, culture, and religion.  </w:t>
      </w:r>
    </w:p>
    <w:p w14:paraId="3FE85016" w14:textId="77AF9195" w:rsidR="00332ACA" w:rsidRPr="00332ACA" w:rsidRDefault="00332ACA" w:rsidP="005C0BF5">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t xml:space="preserve">Following ethnocentrism there is another entirely different view on other cultures where groups and individuals are accepting of cultures incredibly different from their own known as cultural relativism. Cultural relativism is an ethical doctrine whereby moral values are particular to the culture from which they originate. In this respect, concepts of right and wrong relate only to moral behaviour within that culture; it is not possible to make moral judgements about a culture you are not from. (Philosophy Home, 2009).  Moral and societal values are at the heart of cultural relativism for example if a culture accepts a specific custom or action within that society then it must be moral, however if they do not accept it, it must be immoral (Park, 2011). Rachaels and Rachaels (2010) agree stating that there is a moral code within societies and if society within that culture deems something is moral in that society then that action is correct and justified. Park (2011) adds that respecting or tolerating one another’s cultures and practices is mutual and moral respect for each other’s practices and belief systems providing one does not affect or impact the other. Harmen (2008) believes that there is no single correct moral society, that none are more correct or better than another. Thomson (1990), Schick and Vaughn (2010) all argue that there are a variety of universal moralities that are not acceptable within societies because they are morally wrong across so many cultures. Thomson’s (1990) example of this states “One ought not to torture babies to death for fun” with Schick and Vaughn (2010) adding “Equals should be treated equally is not the only self-evident moral truth. Another is: Unnecessary suffering is wrong”.  Educating pupils about other </w:t>
      </w:r>
      <w:r w:rsidRPr="00332ACA">
        <w:rPr>
          <w:rFonts w:ascii="Times New Roman" w:hAnsi="Times New Roman" w:cs="Times New Roman"/>
          <w:sz w:val="24"/>
          <w:szCs w:val="24"/>
        </w:rPr>
        <w:lastRenderedPageBreak/>
        <w:t>cultures can change negative attitudes towards them and encourage adopting more cultural understanding and awareness; this practice also raises awareness of minority pupils aiding their self-esteem and promoting inclusion (Modood and May 2001).</w:t>
      </w:r>
    </w:p>
    <w:p w14:paraId="4E5534C8" w14:textId="77777777" w:rsidR="00332ACA" w:rsidRPr="00332ACA" w:rsidRDefault="00332ACA" w:rsidP="00332ACA">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t>Moffitt (1985) theorises that developing relationships are of great importance during early childhood development; as well as establishing individual identity, a child is beginning to develop their lifetime of characteristics, emotions, and behaviours. Matthews et al (2015) believe that proposed research on negative experiences of childhood social isolation has severe consequences on that child’s physical and psychological well-being; under extreme stress, severe isolation can even affect cardiovascular function. Danese et al (2009) state that a birthing study carried out indicated that social isolation calculated on some children in the study presented results of higher health risks in adulthood including depression, higher levels of inflammation and risks to the cardiovascular system. Caspi et al (2006) add that continuous experiences of exposure to isolation during childhood will most likely lead to much poorer health during adulthood. When childhood isolation studies are applied to an education environment, this is a crucial time when children develop their social skills and attempt to form relationships with their peers (Rubin et al, 1993). Children can have very negative experiences of social isolation in education, beginning in early years due to rejection from groups and individual peers. This in turn will reflect on the child encouraging withdrawal from activities and prevent them from socializing with other peers for fear of rejection. This has a negative impact on mental well-being and a sense of belonging (Matthews et, al, 2015).</w:t>
      </w:r>
    </w:p>
    <w:p w14:paraId="35D6BFDD" w14:textId="77777777" w:rsidR="00332ACA" w:rsidRPr="00332ACA" w:rsidRDefault="00332ACA" w:rsidP="00332ACA">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t xml:space="preserve">Unfortunately, childhood isolation can be a reality in schools for many asylum seeker children due to various factors and barriers which can prevent them from feeling settled and supported within a peer group. McBride (2018) states that evidence-based research shows that asylum seeker children’s experience of education is a mixture of positive and negative experiences, most of these relating to building relationships with others. McBrien (2005) adds that many children have received a positive welcoming into UK schools whereas others have received very negative rejection, often for asylum seeker children in the form of bullying. The UK Government (2020) states that all schools in the UK must have a behaviour policy in place to prevent bullying. UK schools must follow anti-discrimination law and act accordingly to prevent any bullying, discrimination, harassment, and victimisation. Hamilton (2004) believes that successful and supportive integration for asylum seeker children in UK schools with strict anti-racism and anti-bullying policies must be in place. Even with these policies in place, bullying and racism are still very present in schools. Candappa et al (2007) states that a recent </w:t>
      </w:r>
      <w:r w:rsidRPr="00332ACA">
        <w:rPr>
          <w:rFonts w:ascii="Times New Roman" w:hAnsi="Times New Roman" w:cs="Times New Roman"/>
          <w:sz w:val="24"/>
          <w:szCs w:val="24"/>
        </w:rPr>
        <w:lastRenderedPageBreak/>
        <w:t>study suggested that many children do not have the confidence to report bullying and racist behaviours due to ineffective action taken against bullying, that the policies in place are not sufficient. McBride (2018) theorises that another factor of exclusion in schools which prevents asylum seeker children from forming relationships with peers is due to a language barrier. Hek (2005) adds that English speaking children and children from other cultures with other first languages may have a difficult time understanding one another. This statement supports McCroskey’s (1984) theory of communication apprehension as a language barrier can create an uncomfortable atmosphere if children are having difficulties in understanding one another; they may have anxieties of approaching someone who speaks another first language for fear of not understanding them. Communication barriers such as these can lead to a very lonely and unsettling start for an asylum seeker child in a new school. A participant from Hek and Sales (2002) study stated, ‘It’s like, I didn’t have any friends for two years, you know, and it was, my life wasn’t good.’.</w:t>
      </w:r>
    </w:p>
    <w:p w14:paraId="0A8B47A5" w14:textId="77777777" w:rsidR="00332ACA" w:rsidRPr="00332ACA" w:rsidRDefault="00332ACA" w:rsidP="00332ACA">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t xml:space="preserve">Another factor of a communication barrier for asylum seeker children in schools is not only difficulty communicating and forming relationships with peers, but also attempting to communicate effectively with teachers and learning support assistants. The Department for Education and Skills (2004) states that over 70% of asylum seeker children that come to the UK speak very little or no English at all meaning they require additional English language support from when they are integrated into the school. For an EAL learner the language barrier between them, peers and teachers can be quite distressing, and they can be in many cases very quiet and withdrawn from others, so many of these children require quiet time to adjust (Kendall et al, 2006).  In addition to communication barriers McBrien (2005) believes that isolation from others comes hand in hand with asylum seeker children lacking confidence and confusion with cultural differences so different from what they knew in their home country. McBride (2018) adds that unfamiliar cultural differences can impact on relationships between asylum seeker children, peers, and teachers, if such cultural barriers are not recognised by the school this can negatively impact the child’s education and social progression. </w:t>
      </w:r>
    </w:p>
    <w:p w14:paraId="1C484DED" w14:textId="1CF96AF0" w:rsidR="00332ACA" w:rsidRDefault="00332ACA" w:rsidP="00332ACA">
      <w:pPr>
        <w:spacing w:line="360" w:lineRule="auto"/>
        <w:ind w:firstLine="720"/>
        <w:jc w:val="both"/>
        <w:rPr>
          <w:rFonts w:ascii="Times New Roman" w:hAnsi="Times New Roman" w:cs="Times New Roman"/>
          <w:sz w:val="24"/>
          <w:szCs w:val="24"/>
        </w:rPr>
      </w:pPr>
      <w:r w:rsidRPr="00332ACA">
        <w:rPr>
          <w:rFonts w:ascii="Times New Roman" w:hAnsi="Times New Roman" w:cs="Times New Roman"/>
          <w:sz w:val="24"/>
          <w:szCs w:val="24"/>
        </w:rPr>
        <w:t xml:space="preserve">In conclusion educating UK pupils on cultural differences is important when attempting to settle newly welcomed asylum seeker children into the setting, this helps both new pupils and existing pupils within the setting adapt to each other. If educated on diverse cultures pupils will naturally feel more comfortable and safer when they encounter other cultures as they have existing knowledge of them (Drexel University, 2000). Additionally, newly introduced asylum seeker children maybe more welcomed and included within the school feeling more </w:t>
      </w:r>
      <w:r w:rsidRPr="00332ACA">
        <w:rPr>
          <w:rFonts w:ascii="Times New Roman" w:hAnsi="Times New Roman" w:cs="Times New Roman"/>
          <w:sz w:val="24"/>
          <w:szCs w:val="24"/>
        </w:rPr>
        <w:lastRenderedPageBreak/>
        <w:t>accommodated and settled with an inclusive welcoming atmosphere as believed by Modood and May (2001). Teachers and supporting assistants need to approach cultural differences with caution to ensure they are not unknowingly taking an ethnocentric approach when teaching about other cultures. This can be indicated that asylum seeker children come from a more ‘inferior</w:t>
      </w:r>
      <w:r w:rsidR="001E5043">
        <w:rPr>
          <w:rFonts w:ascii="Times New Roman" w:hAnsi="Times New Roman" w:cs="Times New Roman"/>
          <w:sz w:val="24"/>
          <w:szCs w:val="24"/>
        </w:rPr>
        <w:t>’</w:t>
      </w:r>
      <w:r w:rsidRPr="00332ACA">
        <w:rPr>
          <w:rFonts w:ascii="Times New Roman" w:hAnsi="Times New Roman" w:cs="Times New Roman"/>
          <w:sz w:val="24"/>
          <w:szCs w:val="24"/>
        </w:rPr>
        <w:t xml:space="preserve"> background to their own which unfortunately can lead to bullying of those children</w:t>
      </w:r>
      <w:r w:rsidR="00E82698">
        <w:rPr>
          <w:rFonts w:ascii="Times New Roman" w:hAnsi="Times New Roman" w:cs="Times New Roman"/>
          <w:sz w:val="24"/>
          <w:szCs w:val="24"/>
        </w:rPr>
        <w:t xml:space="preserve"> if there are assumptions the western culture is ‘superior’</w:t>
      </w:r>
      <w:r w:rsidR="00E82698" w:rsidRPr="00E82698">
        <w:t xml:space="preserve"> </w:t>
      </w:r>
      <w:r w:rsidR="005C0BF5">
        <w:t>(</w:t>
      </w:r>
      <w:r w:rsidR="00E82698" w:rsidRPr="00E82698">
        <w:rPr>
          <w:rFonts w:ascii="Times New Roman" w:hAnsi="Times New Roman" w:cs="Times New Roman"/>
          <w:sz w:val="24"/>
          <w:szCs w:val="24"/>
        </w:rPr>
        <w:t>LeVine and Campbell, 1972</w:t>
      </w:r>
      <w:r w:rsidR="005C0BF5">
        <w:rPr>
          <w:rFonts w:ascii="Times New Roman" w:hAnsi="Times New Roman" w:cs="Times New Roman"/>
          <w:sz w:val="24"/>
          <w:szCs w:val="24"/>
        </w:rPr>
        <w:t>)</w:t>
      </w:r>
      <w:r w:rsidRPr="00332ACA">
        <w:rPr>
          <w:rFonts w:ascii="Times New Roman" w:hAnsi="Times New Roman" w:cs="Times New Roman"/>
          <w:sz w:val="24"/>
          <w:szCs w:val="24"/>
        </w:rPr>
        <w:t xml:space="preserve">. Children need to be taught as stated by Schick and Vaughn (2010) that one society is not better than another with a more cultural relativism approach. By introducing cultural differences into the </w:t>
      </w:r>
      <w:r w:rsidR="0001383D" w:rsidRPr="00332ACA">
        <w:rPr>
          <w:rFonts w:ascii="Times New Roman" w:hAnsi="Times New Roman" w:cs="Times New Roman"/>
          <w:sz w:val="24"/>
          <w:szCs w:val="24"/>
        </w:rPr>
        <w:t>curriculum,</w:t>
      </w:r>
      <w:r w:rsidRPr="00332ACA">
        <w:rPr>
          <w:rFonts w:ascii="Times New Roman" w:hAnsi="Times New Roman" w:cs="Times New Roman"/>
          <w:sz w:val="24"/>
          <w:szCs w:val="24"/>
        </w:rPr>
        <w:t xml:space="preserve"> </w:t>
      </w:r>
      <w:r w:rsidR="0001383D">
        <w:rPr>
          <w:rFonts w:ascii="Times New Roman" w:hAnsi="Times New Roman" w:cs="Times New Roman"/>
          <w:sz w:val="24"/>
          <w:szCs w:val="24"/>
        </w:rPr>
        <w:t xml:space="preserve">it </w:t>
      </w:r>
      <w:r w:rsidRPr="00332ACA">
        <w:rPr>
          <w:rFonts w:ascii="Times New Roman" w:hAnsi="Times New Roman" w:cs="Times New Roman"/>
          <w:sz w:val="24"/>
          <w:szCs w:val="24"/>
        </w:rPr>
        <w:t>can help asylum seeker children feel more supported, included as well as broadening the minds of all pupils to diverse cultures and other ways of life</w:t>
      </w:r>
      <w:r w:rsidR="00E82698">
        <w:rPr>
          <w:rFonts w:ascii="Times New Roman" w:hAnsi="Times New Roman" w:cs="Times New Roman"/>
          <w:sz w:val="24"/>
          <w:szCs w:val="24"/>
        </w:rPr>
        <w:t xml:space="preserve"> (Drexel University, 2000)</w:t>
      </w:r>
      <w:r w:rsidRPr="00332ACA">
        <w:rPr>
          <w:rFonts w:ascii="Times New Roman" w:hAnsi="Times New Roman" w:cs="Times New Roman"/>
          <w:sz w:val="24"/>
          <w:szCs w:val="24"/>
        </w:rPr>
        <w:t>. Cultural differences need to be addressed carefully with respect to diverse cultures, if not handled appropriately with correct knowledge, attention and delicacy can unfortunately lead to a root cause for asylum seeker children being rejected and excluded by their peers</w:t>
      </w:r>
      <w:r>
        <w:rPr>
          <w:rFonts w:ascii="Times New Roman" w:hAnsi="Times New Roman" w:cs="Times New Roman"/>
          <w:sz w:val="24"/>
          <w:szCs w:val="24"/>
        </w:rPr>
        <w:t>. This ethnocentric behaviour could be from influence</w:t>
      </w:r>
      <w:r w:rsidR="008E24C6">
        <w:rPr>
          <w:rFonts w:ascii="Times New Roman" w:hAnsi="Times New Roman" w:cs="Times New Roman"/>
          <w:sz w:val="24"/>
          <w:szCs w:val="24"/>
        </w:rPr>
        <w:t xml:space="preserve"> as suggested by</w:t>
      </w:r>
      <w:r w:rsidR="008E24C6" w:rsidRPr="008E24C6">
        <w:t xml:space="preserve"> </w:t>
      </w:r>
      <w:r w:rsidR="008E24C6" w:rsidRPr="008E24C6">
        <w:rPr>
          <w:rFonts w:ascii="Times New Roman" w:hAnsi="Times New Roman" w:cs="Times New Roman"/>
          <w:sz w:val="24"/>
          <w:szCs w:val="24"/>
        </w:rPr>
        <w:t>Bandura (1986) and Fernandez-Ferrin et al (2017)</w:t>
      </w:r>
      <w:r>
        <w:rPr>
          <w:rFonts w:ascii="Times New Roman" w:hAnsi="Times New Roman" w:cs="Times New Roman"/>
          <w:sz w:val="24"/>
          <w:szCs w:val="24"/>
        </w:rPr>
        <w:t xml:space="preserve"> or simply becau</w:t>
      </w:r>
      <w:r w:rsidR="0001383D">
        <w:rPr>
          <w:rFonts w:ascii="Times New Roman" w:hAnsi="Times New Roman" w:cs="Times New Roman"/>
          <w:sz w:val="24"/>
          <w:szCs w:val="24"/>
        </w:rPr>
        <w:t>se the culture, language and appearance is</w:t>
      </w:r>
      <w:r>
        <w:rPr>
          <w:rFonts w:ascii="Times New Roman" w:hAnsi="Times New Roman" w:cs="Times New Roman"/>
          <w:sz w:val="24"/>
          <w:szCs w:val="24"/>
        </w:rPr>
        <w:t xml:space="preserve"> different</w:t>
      </w:r>
      <w:r w:rsidR="0001383D">
        <w:rPr>
          <w:rFonts w:ascii="Times New Roman" w:hAnsi="Times New Roman" w:cs="Times New Roman"/>
          <w:sz w:val="24"/>
          <w:szCs w:val="24"/>
        </w:rPr>
        <w:t xml:space="preserve"> than</w:t>
      </w:r>
      <w:r>
        <w:rPr>
          <w:rFonts w:ascii="Times New Roman" w:hAnsi="Times New Roman" w:cs="Times New Roman"/>
          <w:sz w:val="24"/>
          <w:szCs w:val="24"/>
        </w:rPr>
        <w:t xml:space="preserve"> they do not understand </w:t>
      </w:r>
      <w:r w:rsidR="0001383D">
        <w:rPr>
          <w:rFonts w:ascii="Times New Roman" w:hAnsi="Times New Roman" w:cs="Times New Roman"/>
          <w:sz w:val="24"/>
          <w:szCs w:val="24"/>
        </w:rPr>
        <w:t xml:space="preserve">how to approach such a differance </w:t>
      </w:r>
      <w:r w:rsidR="008E24C6">
        <w:rPr>
          <w:rFonts w:ascii="Times New Roman" w:hAnsi="Times New Roman" w:cs="Times New Roman"/>
          <w:sz w:val="24"/>
          <w:szCs w:val="24"/>
        </w:rPr>
        <w:t xml:space="preserve">believed by </w:t>
      </w:r>
      <w:r w:rsidR="008E24C6" w:rsidRPr="008E24C6">
        <w:rPr>
          <w:rFonts w:ascii="Times New Roman" w:hAnsi="Times New Roman" w:cs="Times New Roman"/>
          <w:sz w:val="24"/>
          <w:szCs w:val="24"/>
        </w:rPr>
        <w:t xml:space="preserve">Hogg, </w:t>
      </w:r>
      <w:r w:rsidR="008E24C6">
        <w:rPr>
          <w:rFonts w:ascii="Times New Roman" w:hAnsi="Times New Roman" w:cs="Times New Roman"/>
          <w:sz w:val="24"/>
          <w:szCs w:val="24"/>
        </w:rPr>
        <w:t>(</w:t>
      </w:r>
      <w:r w:rsidR="008E24C6" w:rsidRPr="008E24C6">
        <w:rPr>
          <w:rFonts w:ascii="Times New Roman" w:hAnsi="Times New Roman" w:cs="Times New Roman"/>
          <w:sz w:val="24"/>
          <w:szCs w:val="24"/>
        </w:rPr>
        <w:t xml:space="preserve">2006). </w:t>
      </w:r>
      <w:r w:rsidR="008E24C6">
        <w:rPr>
          <w:rFonts w:ascii="Times New Roman" w:hAnsi="Times New Roman" w:cs="Times New Roman"/>
          <w:sz w:val="24"/>
          <w:szCs w:val="24"/>
        </w:rPr>
        <w:t xml:space="preserve"> </w:t>
      </w:r>
      <w:r w:rsidRPr="00332ACA">
        <w:rPr>
          <w:rFonts w:ascii="Times New Roman" w:hAnsi="Times New Roman" w:cs="Times New Roman"/>
          <w:sz w:val="24"/>
          <w:szCs w:val="24"/>
        </w:rPr>
        <w:t xml:space="preserve">This example includes not just asylum seeker children but all children that can be excluded due to physical appearance, disabilities, way of life and belief system. A classroom is meant to be a safe supportive place that includes all children regardless of cultural differences as well as others. If individuality and differences are explored and taught in a respectful way this could provide many children a safe and inclusive atmosphere allowing them to learn, thrive and build relationships with others without fear of </w:t>
      </w:r>
      <w:r w:rsidR="00F767A6" w:rsidRPr="00332ACA">
        <w:rPr>
          <w:rFonts w:ascii="Times New Roman" w:hAnsi="Times New Roman" w:cs="Times New Roman"/>
          <w:sz w:val="24"/>
          <w:szCs w:val="24"/>
        </w:rPr>
        <w:t>exclusion</w:t>
      </w:r>
      <w:r w:rsidR="00F767A6">
        <w:rPr>
          <w:rFonts w:ascii="Times New Roman" w:hAnsi="Times New Roman" w:cs="Times New Roman"/>
          <w:sz w:val="24"/>
          <w:szCs w:val="24"/>
        </w:rPr>
        <w:t xml:space="preserve"> </w:t>
      </w:r>
      <w:r w:rsidR="001E5043">
        <w:rPr>
          <w:rFonts w:ascii="Times New Roman" w:hAnsi="Times New Roman" w:cs="Times New Roman"/>
          <w:sz w:val="24"/>
          <w:szCs w:val="24"/>
        </w:rPr>
        <w:t>(</w:t>
      </w:r>
      <w:r w:rsidR="00F767A6" w:rsidRPr="00F767A6">
        <w:rPr>
          <w:rFonts w:ascii="Times New Roman" w:hAnsi="Times New Roman" w:cs="Times New Roman"/>
          <w:sz w:val="24"/>
          <w:szCs w:val="24"/>
        </w:rPr>
        <w:t>Drexel University</w:t>
      </w:r>
      <w:r w:rsidR="001E5043">
        <w:rPr>
          <w:rFonts w:ascii="Times New Roman" w:hAnsi="Times New Roman" w:cs="Times New Roman"/>
          <w:sz w:val="24"/>
          <w:szCs w:val="24"/>
        </w:rPr>
        <w:t xml:space="preserve">, </w:t>
      </w:r>
      <w:r w:rsidR="00F767A6" w:rsidRPr="00F767A6">
        <w:rPr>
          <w:rFonts w:ascii="Times New Roman" w:hAnsi="Times New Roman" w:cs="Times New Roman"/>
          <w:sz w:val="24"/>
          <w:szCs w:val="24"/>
        </w:rPr>
        <w:t>2000)</w:t>
      </w:r>
      <w:r w:rsidR="00F767A6">
        <w:rPr>
          <w:rFonts w:ascii="Times New Roman" w:hAnsi="Times New Roman" w:cs="Times New Roman"/>
          <w:sz w:val="24"/>
          <w:szCs w:val="24"/>
        </w:rPr>
        <w:t>.</w:t>
      </w:r>
      <w:r w:rsidRPr="00332ACA">
        <w:rPr>
          <w:rFonts w:ascii="Times New Roman" w:hAnsi="Times New Roman" w:cs="Times New Roman"/>
          <w:sz w:val="24"/>
          <w:szCs w:val="24"/>
        </w:rPr>
        <w:t xml:space="preserve"> </w:t>
      </w:r>
    </w:p>
    <w:p w14:paraId="6FE366FB" w14:textId="01F29DE7" w:rsidR="00916467" w:rsidRDefault="00916467" w:rsidP="00332ACA">
      <w:pPr>
        <w:spacing w:line="360" w:lineRule="auto"/>
        <w:ind w:firstLine="720"/>
        <w:jc w:val="both"/>
        <w:rPr>
          <w:rFonts w:ascii="Times New Roman" w:hAnsi="Times New Roman" w:cs="Times New Roman"/>
          <w:sz w:val="24"/>
          <w:szCs w:val="24"/>
        </w:rPr>
      </w:pPr>
    </w:p>
    <w:p w14:paraId="53A05DFD" w14:textId="4A42A028" w:rsidR="00916467" w:rsidRDefault="00916467" w:rsidP="00332ACA">
      <w:pPr>
        <w:spacing w:line="360" w:lineRule="auto"/>
        <w:ind w:firstLine="720"/>
        <w:jc w:val="both"/>
        <w:rPr>
          <w:rFonts w:ascii="Times New Roman" w:hAnsi="Times New Roman" w:cs="Times New Roman"/>
          <w:sz w:val="24"/>
          <w:szCs w:val="24"/>
        </w:rPr>
      </w:pPr>
    </w:p>
    <w:p w14:paraId="790708ED" w14:textId="1DEE699B" w:rsidR="00916467" w:rsidRDefault="00916467" w:rsidP="00332ACA">
      <w:pPr>
        <w:spacing w:line="360" w:lineRule="auto"/>
        <w:ind w:firstLine="720"/>
        <w:jc w:val="both"/>
        <w:rPr>
          <w:rFonts w:ascii="Times New Roman" w:hAnsi="Times New Roman" w:cs="Times New Roman"/>
          <w:sz w:val="24"/>
          <w:szCs w:val="24"/>
        </w:rPr>
      </w:pPr>
    </w:p>
    <w:p w14:paraId="5E561C60" w14:textId="288B6A24" w:rsidR="00916467" w:rsidRDefault="00916467" w:rsidP="00332ACA">
      <w:pPr>
        <w:spacing w:line="360" w:lineRule="auto"/>
        <w:ind w:firstLine="720"/>
        <w:jc w:val="both"/>
        <w:rPr>
          <w:rFonts w:ascii="Times New Roman" w:hAnsi="Times New Roman" w:cs="Times New Roman"/>
          <w:sz w:val="24"/>
          <w:szCs w:val="24"/>
        </w:rPr>
      </w:pPr>
    </w:p>
    <w:p w14:paraId="0773A3B3" w14:textId="7A5BBB7A" w:rsidR="00916467" w:rsidRDefault="00916467" w:rsidP="00332ACA">
      <w:pPr>
        <w:spacing w:line="360" w:lineRule="auto"/>
        <w:ind w:firstLine="720"/>
        <w:jc w:val="both"/>
        <w:rPr>
          <w:rFonts w:ascii="Times New Roman" w:hAnsi="Times New Roman" w:cs="Times New Roman"/>
          <w:sz w:val="24"/>
          <w:szCs w:val="24"/>
        </w:rPr>
      </w:pPr>
    </w:p>
    <w:p w14:paraId="2C343307" w14:textId="6996692F" w:rsidR="00916467" w:rsidRDefault="00916467" w:rsidP="00332ACA">
      <w:pPr>
        <w:spacing w:line="360" w:lineRule="auto"/>
        <w:ind w:firstLine="720"/>
        <w:jc w:val="both"/>
        <w:rPr>
          <w:rFonts w:ascii="Times New Roman" w:hAnsi="Times New Roman" w:cs="Times New Roman"/>
          <w:sz w:val="24"/>
          <w:szCs w:val="24"/>
        </w:rPr>
      </w:pPr>
    </w:p>
    <w:p w14:paraId="4A4E2184" w14:textId="32689EF1" w:rsidR="00916467" w:rsidRDefault="00916467" w:rsidP="00332ACA">
      <w:pPr>
        <w:spacing w:line="360" w:lineRule="auto"/>
        <w:ind w:firstLine="720"/>
        <w:jc w:val="both"/>
        <w:rPr>
          <w:rFonts w:ascii="Times New Roman" w:hAnsi="Times New Roman" w:cs="Times New Roman"/>
          <w:sz w:val="24"/>
          <w:szCs w:val="24"/>
        </w:rPr>
      </w:pPr>
    </w:p>
    <w:p w14:paraId="2F067D58" w14:textId="77777777" w:rsidR="005C0BF5" w:rsidRDefault="005C0BF5" w:rsidP="00916467">
      <w:pPr>
        <w:spacing w:line="360" w:lineRule="auto"/>
        <w:jc w:val="both"/>
        <w:rPr>
          <w:rFonts w:ascii="Times New Roman" w:hAnsi="Times New Roman" w:cs="Times New Roman"/>
          <w:sz w:val="24"/>
          <w:szCs w:val="24"/>
        </w:rPr>
      </w:pPr>
    </w:p>
    <w:p w14:paraId="2BB9887A" w14:textId="27883282" w:rsidR="006F0EEB" w:rsidRDefault="00916467" w:rsidP="00916467">
      <w:pPr>
        <w:spacing w:line="360" w:lineRule="auto"/>
        <w:jc w:val="both"/>
        <w:rPr>
          <w:rFonts w:ascii="Times New Roman" w:hAnsi="Times New Roman" w:cs="Times New Roman"/>
          <w:sz w:val="24"/>
          <w:szCs w:val="24"/>
          <w:u w:val="single"/>
        </w:rPr>
      </w:pPr>
      <w:r w:rsidRPr="00916467">
        <w:rPr>
          <w:rFonts w:ascii="Times New Roman" w:hAnsi="Times New Roman" w:cs="Times New Roman"/>
          <w:sz w:val="24"/>
          <w:szCs w:val="24"/>
          <w:u w:val="single"/>
        </w:rPr>
        <w:lastRenderedPageBreak/>
        <w:t>Reference Lis</w:t>
      </w:r>
      <w:r w:rsidR="006F0EEB">
        <w:rPr>
          <w:rFonts w:ascii="Times New Roman" w:hAnsi="Times New Roman" w:cs="Times New Roman"/>
          <w:sz w:val="24"/>
          <w:szCs w:val="24"/>
          <w:u w:val="single"/>
        </w:rPr>
        <w:t>t</w:t>
      </w:r>
    </w:p>
    <w:p w14:paraId="552ABD20"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Ashton, C (2001) </w:t>
      </w:r>
      <w:r w:rsidRPr="006F0EEB">
        <w:rPr>
          <w:rFonts w:ascii="Times New Roman" w:hAnsi="Times New Roman" w:cs="Times New Roman"/>
          <w:i/>
          <w:iCs/>
          <w:sz w:val="24"/>
          <w:szCs w:val="24"/>
        </w:rPr>
        <w:t>Educating Asylum Seeking and Refugee Children Guidance on the education of asylum seeking and refugee children</w:t>
      </w:r>
      <w:r w:rsidRPr="006F0EEB">
        <w:rPr>
          <w:rFonts w:ascii="Times New Roman" w:hAnsi="Times New Roman" w:cs="Times New Roman"/>
          <w:sz w:val="24"/>
          <w:szCs w:val="24"/>
        </w:rPr>
        <w:t xml:space="preserve">. Available at: </w:t>
      </w:r>
      <w:r w:rsidRPr="006F0EEB">
        <w:rPr>
          <w:rFonts w:ascii="Times New Roman" w:hAnsi="Times New Roman" w:cs="Times New Roman"/>
          <w:color w:val="000000" w:themeColor="text1"/>
          <w:sz w:val="24"/>
          <w:szCs w:val="24"/>
        </w:rPr>
        <w:t xml:space="preserve">https://dera.ioe.ac.uk/4925/1/EducatAsylumSeeking.pdf </w:t>
      </w:r>
      <w:r w:rsidRPr="006F0EEB">
        <w:rPr>
          <w:rFonts w:ascii="Times New Roman" w:hAnsi="Times New Roman" w:cs="Times New Roman"/>
          <w:sz w:val="24"/>
          <w:szCs w:val="24"/>
        </w:rPr>
        <w:t xml:space="preserve">(Accessed on 02 February 2021). </w:t>
      </w:r>
    </w:p>
    <w:p w14:paraId="63A646F8"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Children Act 1989 (asp 1). Available at: https://www.legislation.gov.uk/ukpga/1989/41/data.pdf (Accessed on 02 February 2021). </w:t>
      </w:r>
    </w:p>
    <w:p w14:paraId="7CFD89D5"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Drexel University (2000) THE IMPORTANCE OF DIVERSITY &amp; CULTURAL AWARENESS IN THE CLASSROOM. Available at: https://drexel.edu/soe/resources/student-teaching/advice/importance-of-cultural-diversity-in-classroom/#:~:text=Students%20who%20learn%20about%20different,in%20their%20interactions%20with%20others. (Accessed on 17 February 2021). </w:t>
      </w:r>
    </w:p>
    <w:p w14:paraId="259DA63E"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i/>
          <w:iCs/>
          <w:sz w:val="24"/>
          <w:szCs w:val="24"/>
        </w:rPr>
        <w:t>Education Act 1996</w:t>
      </w:r>
      <w:r w:rsidRPr="006F0EEB">
        <w:rPr>
          <w:rFonts w:ascii="Times New Roman" w:hAnsi="Times New Roman" w:cs="Times New Roman"/>
          <w:sz w:val="24"/>
          <w:szCs w:val="24"/>
        </w:rPr>
        <w:t xml:space="preserve"> (56. Part 1, C. 3). </w:t>
      </w:r>
      <w:r w:rsidRPr="006F0EEB">
        <w:rPr>
          <w:rFonts w:ascii="Times New Roman" w:hAnsi="Times New Roman" w:cs="Times New Roman"/>
          <w:i/>
          <w:iCs/>
          <w:sz w:val="24"/>
          <w:szCs w:val="24"/>
        </w:rPr>
        <w:t>UK Public General Acts</w:t>
      </w:r>
      <w:r w:rsidRPr="006F0EEB">
        <w:rPr>
          <w:rFonts w:ascii="Times New Roman" w:hAnsi="Times New Roman" w:cs="Times New Roman"/>
          <w:sz w:val="24"/>
          <w:szCs w:val="24"/>
        </w:rPr>
        <w:t xml:space="preserve"> (1996). London. Available at: https://www.legislation.gov.uk/ukpga/1996/56/section/13A (Accessed on 07 February 2021). </w:t>
      </w:r>
    </w:p>
    <w:p w14:paraId="2BFF67B9"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Fernandez-Ferrin, B, Bande and M. M, Galen-Ladero (2017) ‘Parental Influence on the Levels of Regional Ethnocentrism of youth: An exploratory analysis’ </w:t>
      </w:r>
      <w:r w:rsidRPr="006F0EEB">
        <w:rPr>
          <w:rFonts w:ascii="Times New Roman" w:hAnsi="Times New Roman" w:cs="Times New Roman"/>
          <w:i/>
          <w:iCs/>
          <w:sz w:val="24"/>
          <w:szCs w:val="24"/>
        </w:rPr>
        <w:t>Spanish Journal of Market- ESIC</w:t>
      </w:r>
      <w:r w:rsidRPr="006F0EEB">
        <w:rPr>
          <w:rFonts w:ascii="Times New Roman" w:hAnsi="Times New Roman" w:cs="Times New Roman"/>
          <w:sz w:val="24"/>
          <w:szCs w:val="24"/>
        </w:rPr>
        <w:t>, 21 (1), 52-62. Doi: 0.1016/j.sjme.2016.11.001. Available at: https://www.sciencedirect.com/science/article/pii/S2444969516300543 (Accessed on 08 February 2021).</w:t>
      </w:r>
    </w:p>
    <w:p w14:paraId="003AFDD3"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Gateshead Council (2012) </w:t>
      </w:r>
      <w:r w:rsidRPr="006F0EEB">
        <w:rPr>
          <w:rFonts w:ascii="Times New Roman" w:hAnsi="Times New Roman" w:cs="Times New Roman"/>
          <w:i/>
          <w:iCs/>
          <w:sz w:val="24"/>
          <w:szCs w:val="24"/>
        </w:rPr>
        <w:t>Education Guidance for Refugee and Asylum Seekers</w:t>
      </w:r>
      <w:r w:rsidRPr="006F0EEB">
        <w:rPr>
          <w:rFonts w:ascii="Times New Roman" w:hAnsi="Times New Roman" w:cs="Times New Roman"/>
          <w:sz w:val="24"/>
          <w:szCs w:val="24"/>
        </w:rPr>
        <w:t xml:space="preserve">. Gateshead. Available at: https://www.gateshead.gov.uk/media/3285/Education-refugee-Asylum-seekers/pdf/Education-refugee-Asylum-seekers.pdf (Accessed on 07 February 2021). </w:t>
      </w:r>
    </w:p>
    <w:p w14:paraId="7228446B"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Gilbert, A and Koser, K (2006) ‘Coming to the UK: What do Asylum-Seekers know about the UK before Arrival?</w:t>
      </w:r>
      <w:r w:rsidRPr="006F0EEB">
        <w:rPr>
          <w:rFonts w:ascii="Times New Roman" w:hAnsi="Times New Roman" w:cs="Times New Roman"/>
          <w:i/>
          <w:iCs/>
          <w:sz w:val="24"/>
          <w:szCs w:val="24"/>
        </w:rPr>
        <w:t>’ Journal of Ethnic and Migration Studies</w:t>
      </w:r>
      <w:r w:rsidRPr="006F0EEB">
        <w:rPr>
          <w:rFonts w:ascii="Times New Roman" w:hAnsi="Times New Roman" w:cs="Times New Roman"/>
          <w:sz w:val="24"/>
          <w:szCs w:val="24"/>
        </w:rPr>
        <w:t xml:space="preserve">, 32(7). Doi: 10.1080/13691830600821901. Available at: https://www.researchgate.net/publication/248979225_Coming_to_the_UK_What_do_Asylum-Seekers_Know_About_the_UK_before_Arrival (Accessed on 31 January 2021). </w:t>
      </w:r>
    </w:p>
    <w:p w14:paraId="0DD5A2A1"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Hammond, R and Axelrod, A (2006) ‘The Evolution of Ethnocentrism’ </w:t>
      </w:r>
      <w:r w:rsidRPr="006F0EEB">
        <w:rPr>
          <w:rFonts w:ascii="Times New Roman" w:hAnsi="Times New Roman" w:cs="Times New Roman"/>
          <w:i/>
          <w:iCs/>
          <w:sz w:val="24"/>
          <w:szCs w:val="24"/>
        </w:rPr>
        <w:t>The Journal of Conflict Resolution</w:t>
      </w:r>
      <w:r w:rsidRPr="006F0EEB">
        <w:rPr>
          <w:rFonts w:ascii="Times New Roman" w:hAnsi="Times New Roman" w:cs="Times New Roman"/>
          <w:sz w:val="24"/>
          <w:szCs w:val="24"/>
        </w:rPr>
        <w:t xml:space="preserve">, 50 (6), 926-936. Available at: https://www-jstor-org.ezproxy.uwtsd.ac.uk/stable/27638531?seq=1#metadata_info_tab_contents (Accessed on 08 February 2021). </w:t>
      </w:r>
    </w:p>
    <w:p w14:paraId="57CCAF9C"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lastRenderedPageBreak/>
        <w:t xml:space="preserve">Hek, R (2005) </w:t>
      </w:r>
      <w:r w:rsidRPr="006F0EEB">
        <w:rPr>
          <w:rFonts w:ascii="Times New Roman" w:hAnsi="Times New Roman" w:cs="Times New Roman"/>
          <w:i/>
          <w:iCs/>
          <w:sz w:val="24"/>
          <w:szCs w:val="24"/>
        </w:rPr>
        <w:t>The Experiences and Needs of Refugee and Asylum-Seeking Children in the UK: A Literature Review.</w:t>
      </w:r>
      <w:r w:rsidRPr="006F0EEB">
        <w:rPr>
          <w:rFonts w:ascii="Times New Roman" w:hAnsi="Times New Roman" w:cs="Times New Roman"/>
          <w:sz w:val="24"/>
          <w:szCs w:val="24"/>
        </w:rPr>
        <w:t xml:space="preserve"> Available at: https://dera.ioe.ac.uk/5398/1/RR635.pdf (Accessed on 01 February 2021). </w:t>
      </w:r>
    </w:p>
    <w:p w14:paraId="6279EB8E"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International Rescue Committee (2019) Migrants, Asylum Seekers, Refugees, and Immigrants: What is the difference? Available at: https://www.rescue-uk.org/article/migrants-asylum-seekers-refugees-and-immigrants-whats-difference (Accessed on 09 February 2021). </w:t>
      </w:r>
    </w:p>
    <w:p w14:paraId="7A4E9866"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Kendall, S, Gullivr, C, and Martin, K. (2006) ‘Supporting asylum seeker and refugee children’ Intervention Study. Available at: https://www.nfer.ac.uk/publications/ARC01/ARC01.pdf (Accessed on 10 February 2021). </w:t>
      </w:r>
    </w:p>
    <w:p w14:paraId="34397DE3"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Maslow’s Hierarchy of Needs (2020) Unknown: Simply Psychology. [Diagram]. Available at: https://www.simplypsychology.org/maslow.html (Accessed on 09 February 2021). </w:t>
      </w:r>
    </w:p>
    <w:p w14:paraId="1C9F389F"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Matthews, T, Denese, A, Wertz, J, Ambler, A, Kelly, M, Diver, A, Caspi, A, Moffitt, T.E, Arseneault, L (2015) ‘Social Isolation and Mental Health at Primary and Secondary School Entry: A Longitudinal Cohort Study’ </w:t>
      </w:r>
      <w:r w:rsidRPr="006F0EEB">
        <w:rPr>
          <w:rFonts w:ascii="Times New Roman" w:hAnsi="Times New Roman" w:cs="Times New Roman"/>
          <w:i/>
          <w:iCs/>
          <w:sz w:val="24"/>
          <w:szCs w:val="24"/>
        </w:rPr>
        <w:t>Journal of The American Academy of Child &amp; Adolescent Psychiatry</w:t>
      </w:r>
      <w:r w:rsidRPr="006F0EEB">
        <w:rPr>
          <w:rFonts w:ascii="Times New Roman" w:hAnsi="Times New Roman" w:cs="Times New Roman"/>
          <w:sz w:val="24"/>
          <w:szCs w:val="24"/>
        </w:rPr>
        <w:t xml:space="preserve">, 54(3) 1-8. Available at: https://www.researchgate.net/publication/270747893_Social_Isolation_and_Mental_Health_at_Primary_and_Secondary_School_Entry_A_Longitudinal_Cohort_Study (Accessed on 12 February 2021). </w:t>
      </w:r>
    </w:p>
    <w:p w14:paraId="234BE65C"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McBride, M (2018) ‘Refugee Children’s Education’ </w:t>
      </w:r>
      <w:r w:rsidRPr="00467087">
        <w:rPr>
          <w:rFonts w:ascii="Times New Roman" w:hAnsi="Times New Roman" w:cs="Times New Roman"/>
          <w:i/>
          <w:iCs/>
          <w:sz w:val="24"/>
          <w:szCs w:val="24"/>
        </w:rPr>
        <w:t>A Review of the Literature</w:t>
      </w:r>
      <w:r w:rsidRPr="006F0EEB">
        <w:rPr>
          <w:rFonts w:ascii="Times New Roman" w:hAnsi="Times New Roman" w:cs="Times New Roman"/>
          <w:sz w:val="24"/>
          <w:szCs w:val="24"/>
        </w:rPr>
        <w:t xml:space="preserve">. Available at: http://whatworksscotland.ac.uk/wp-content/uploads/2018/06/WWSEduRefugeesLitReview-1.pdf (Accessed on 15 February 2021). </w:t>
      </w:r>
    </w:p>
    <w:p w14:paraId="31D10C8C"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McLeod, S (2018) ‘Maslow’s Hierarchy of Needs’ </w:t>
      </w:r>
      <w:r w:rsidRPr="00467087">
        <w:rPr>
          <w:rFonts w:ascii="Times New Roman" w:hAnsi="Times New Roman" w:cs="Times New Roman"/>
          <w:i/>
          <w:iCs/>
          <w:sz w:val="24"/>
          <w:szCs w:val="24"/>
        </w:rPr>
        <w:t>Psychology Today</w:t>
      </w:r>
      <w:r w:rsidRPr="006F0EEB">
        <w:rPr>
          <w:rFonts w:ascii="Times New Roman" w:hAnsi="Times New Roman" w:cs="Times New Roman"/>
          <w:sz w:val="24"/>
          <w:szCs w:val="24"/>
        </w:rPr>
        <w:t xml:space="preserve">. Available at: https://canadacollege.edu/dreamers/docs/Maslows-Hierarchy-of-Needs.pdf. (Accessed on 09 February 2021). </w:t>
      </w:r>
    </w:p>
    <w:p w14:paraId="3BDB2862"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Modood, T and May, S (2001) ‘Multiculturalism and education in Britain: An internally contested debate’ </w:t>
      </w:r>
      <w:r w:rsidRPr="00467087">
        <w:rPr>
          <w:rFonts w:ascii="Times New Roman" w:hAnsi="Times New Roman" w:cs="Times New Roman"/>
          <w:i/>
          <w:iCs/>
          <w:sz w:val="24"/>
          <w:szCs w:val="24"/>
        </w:rPr>
        <w:t>International Journal of Educational Research</w:t>
      </w:r>
      <w:r w:rsidRPr="006F0EEB">
        <w:rPr>
          <w:rFonts w:ascii="Times New Roman" w:hAnsi="Times New Roman" w:cs="Times New Roman"/>
          <w:sz w:val="24"/>
          <w:szCs w:val="24"/>
        </w:rPr>
        <w:t xml:space="preserve"> 3(5), 305-317. Doi: 10.1016/S0883-0355(01)00026-X. Available at: https://www.researchgate.net/publication/240433661_Multiculturalism_and_education_in_Britain_An_internally_contested_debate (Accessed on 16 February 2021). </w:t>
      </w:r>
    </w:p>
    <w:p w14:paraId="61A9030D" w14:textId="14D662C5"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lastRenderedPageBreak/>
        <w:t>Neuliep. J</w:t>
      </w:r>
      <w:r w:rsidR="00467087">
        <w:rPr>
          <w:rFonts w:ascii="Times New Roman" w:hAnsi="Times New Roman" w:cs="Times New Roman"/>
          <w:sz w:val="24"/>
          <w:szCs w:val="24"/>
        </w:rPr>
        <w:t>.</w:t>
      </w:r>
      <w:r w:rsidRPr="006F0EEB">
        <w:rPr>
          <w:rFonts w:ascii="Times New Roman" w:hAnsi="Times New Roman" w:cs="Times New Roman"/>
          <w:sz w:val="24"/>
          <w:szCs w:val="24"/>
        </w:rPr>
        <w:t xml:space="preserve">W (2009) Intercultural Communication; A Contextual Approach. London: Sage Publications, Inc. Available at: https://books.google.co.uk/books?id=tDkkUSOpmKMC&amp;pg=PA82&amp;lpg=PA82&amp;dq=Andersen,+P.+A.,+Hecht,+M.+L.,+Hoobler,+G.+D.,+%26+Smallwood,+M.+(2003).+Nonverbal+communication+across+cultures.+Cross-cultural+and+intercultural+communication,+73-90.&amp;source=bl&amp;ots=6QpBHkyQrk&amp;sig=ACfU3U0Ls8M33OFLtUhThpYxzeAfbo_dZA&amp;hl=en&amp;sa=X&amp;ved=2ahUKEwiDgq2foNjuAhX4ShUIHVsNBwMQ6AEwAHoECAUQAg#v=onepage&amp;q&amp;f=false (Accessed on 08 February 2021). </w:t>
      </w:r>
    </w:p>
    <w:p w14:paraId="2BE7068E"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Park,S (2011) ‘Defence of Cultural Relativism’ </w:t>
      </w:r>
      <w:r w:rsidRPr="00467087">
        <w:rPr>
          <w:rFonts w:ascii="Times New Roman" w:hAnsi="Times New Roman" w:cs="Times New Roman"/>
          <w:i/>
          <w:iCs/>
          <w:sz w:val="24"/>
          <w:szCs w:val="24"/>
        </w:rPr>
        <w:t>Cultura. International Journal of Philosophy of Culture and Axiology</w:t>
      </w:r>
      <w:r w:rsidRPr="006F0EEB">
        <w:rPr>
          <w:rFonts w:ascii="Times New Roman" w:hAnsi="Times New Roman" w:cs="Times New Roman"/>
          <w:sz w:val="24"/>
          <w:szCs w:val="24"/>
        </w:rPr>
        <w:t xml:space="preserve">, 8(1), 159-170. Doi: 10.2478/v10193-011-0010-3, Available at: https://core.ac.uk/download/pdf/50565698.pdf (Accessed on 16 February 2021). </w:t>
      </w:r>
    </w:p>
    <w:p w14:paraId="58F34097"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Parliament. House of Commons (2007) Children Act 1989 (1) London. The Stationery Office. Available at: https://publications.parliament.uk/pa/jt200607/jtselect/jtrights/81/81i.pdf (Accessed on 07 February 2021). </w:t>
      </w:r>
    </w:p>
    <w:p w14:paraId="0701B3E1" w14:textId="77777777"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Refugee Action (2016) FACTS ABOUT REFUGEES; We all share the right to seek safety. Available at: https://www.refugee-action.org.uk/about/facts-about-refugees/ (Accessed on 09 February 2021). </w:t>
      </w:r>
    </w:p>
    <w:p w14:paraId="675E7C1A" w14:textId="35EA6436"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 xml:space="preserve">The Red Cross (2020) </w:t>
      </w:r>
      <w:r w:rsidRPr="00467087">
        <w:rPr>
          <w:rFonts w:ascii="Times New Roman" w:hAnsi="Times New Roman" w:cs="Times New Roman"/>
          <w:i/>
          <w:iCs/>
          <w:sz w:val="24"/>
          <w:szCs w:val="24"/>
        </w:rPr>
        <w:t>Refugee Facts and Figures</w:t>
      </w:r>
      <w:r w:rsidRPr="006F0EEB">
        <w:rPr>
          <w:rFonts w:ascii="Times New Roman" w:hAnsi="Times New Roman" w:cs="Times New Roman"/>
          <w:sz w:val="24"/>
          <w:szCs w:val="24"/>
        </w:rPr>
        <w:t xml:space="preserve">. Available at: https://www.redcross.org.uk/about-us/what-we-do/how-we-support-refugees/find-out-about-refugees?c_code=175151&amp;c_source=google&amp;c_name=Refugee&amp;adg=donate%20|%20give%20help%20to%20refugees&amp;c_creative=refugees&amp;c_medium=cpc&amp;gclid=Cj0KCQiAx9mABhD0ARIsAEfpavSp7CnCcRqoYo73yQKV5xdDymExI47DoSBLgmlFId8omPcLqu5LYZ8aAr2hEALw_wcB## (Accessed on 31 January 2021). </w:t>
      </w:r>
    </w:p>
    <w:p w14:paraId="22972CF5" w14:textId="2ECBE895" w:rsidR="006F0EEB" w:rsidRPr="006F0EEB" w:rsidRDefault="006F0EEB" w:rsidP="006F0EEB">
      <w:pPr>
        <w:spacing w:line="360" w:lineRule="auto"/>
        <w:rPr>
          <w:rFonts w:ascii="Times New Roman" w:hAnsi="Times New Roman" w:cs="Times New Roman"/>
          <w:sz w:val="24"/>
          <w:szCs w:val="24"/>
        </w:rPr>
      </w:pPr>
      <w:r w:rsidRPr="006F0EEB">
        <w:rPr>
          <w:rFonts w:ascii="Times New Roman" w:hAnsi="Times New Roman" w:cs="Times New Roman"/>
          <w:sz w:val="24"/>
          <w:szCs w:val="24"/>
        </w:rPr>
        <w:t>UK Government (2020) Bullying at School. Available at: https://www.gov.uk/bullying-at-school (Accessed on 12 February 2021).</w:t>
      </w:r>
    </w:p>
    <w:p w14:paraId="1CE22D6E" w14:textId="77777777" w:rsidR="00332ACA" w:rsidRPr="00916467" w:rsidRDefault="00332ACA" w:rsidP="006F0EEB">
      <w:pPr>
        <w:spacing w:line="360" w:lineRule="auto"/>
        <w:rPr>
          <w:rFonts w:ascii="Times New Roman" w:hAnsi="Times New Roman" w:cs="Times New Roman"/>
          <w:sz w:val="24"/>
          <w:szCs w:val="24"/>
        </w:rPr>
      </w:pPr>
    </w:p>
    <w:p w14:paraId="4E834EA1" w14:textId="77777777" w:rsidR="00BB2D2A" w:rsidRPr="00332ACA" w:rsidRDefault="000D0BAA" w:rsidP="006F0EEB">
      <w:pPr>
        <w:spacing w:line="360" w:lineRule="auto"/>
        <w:rPr>
          <w:rFonts w:ascii="Times New Roman" w:hAnsi="Times New Roman" w:cs="Times New Roman"/>
          <w:sz w:val="24"/>
          <w:szCs w:val="24"/>
        </w:rPr>
      </w:pPr>
    </w:p>
    <w:sectPr w:rsidR="00BB2D2A" w:rsidRPr="00332AC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25583" w14:textId="77777777" w:rsidR="000D0BAA" w:rsidRDefault="000D0BAA" w:rsidP="00332ACA">
      <w:pPr>
        <w:spacing w:after="0" w:line="240" w:lineRule="auto"/>
      </w:pPr>
      <w:r>
        <w:separator/>
      </w:r>
    </w:p>
  </w:endnote>
  <w:endnote w:type="continuationSeparator" w:id="0">
    <w:p w14:paraId="75542DAD" w14:textId="77777777" w:rsidR="000D0BAA" w:rsidRDefault="000D0BAA" w:rsidP="00332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680285"/>
      <w:docPartObj>
        <w:docPartGallery w:val="Page Numbers (Bottom of Page)"/>
        <w:docPartUnique/>
      </w:docPartObj>
    </w:sdtPr>
    <w:sdtEndPr>
      <w:rPr>
        <w:noProof/>
      </w:rPr>
    </w:sdtEndPr>
    <w:sdtContent>
      <w:p w14:paraId="329C4B83" w14:textId="5C7B888E" w:rsidR="00332ACA" w:rsidRDefault="00332A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D5A78" w14:textId="77777777" w:rsidR="00332ACA" w:rsidRDefault="00332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64F92" w14:textId="77777777" w:rsidR="000D0BAA" w:rsidRDefault="000D0BAA" w:rsidP="00332ACA">
      <w:pPr>
        <w:spacing w:after="0" w:line="240" w:lineRule="auto"/>
      </w:pPr>
      <w:r>
        <w:separator/>
      </w:r>
    </w:p>
  </w:footnote>
  <w:footnote w:type="continuationSeparator" w:id="0">
    <w:p w14:paraId="5278190B" w14:textId="77777777" w:rsidR="000D0BAA" w:rsidRDefault="000D0BAA" w:rsidP="00332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86C61" w14:textId="064489B5" w:rsidR="00332ACA" w:rsidRDefault="00332ACA">
    <w:pPr>
      <w:pStyle w:val="Header"/>
    </w:pPr>
    <w:r>
      <w:ptab w:relativeTo="margin" w:alignment="center" w:leader="none"/>
    </w:r>
    <w:r>
      <w:ptab w:relativeTo="margin" w:alignment="right" w:leader="none"/>
    </w:r>
    <w:r w:rsidRPr="00332ACA">
      <w:rPr>
        <w:rFonts w:ascii="Times New Roman" w:hAnsi="Times New Roman" w:cs="Times New Roman"/>
        <w:sz w:val="24"/>
        <w:szCs w:val="24"/>
      </w:rPr>
      <w:t>Word Count: 32</w:t>
    </w:r>
    <w:r w:rsidR="005C0BF5">
      <w:rPr>
        <w:rFonts w:ascii="Times New Roman" w:hAnsi="Times New Roman" w:cs="Times New Roman"/>
        <w:sz w:val="24"/>
        <w:szCs w:val="24"/>
      </w:rPr>
      <w:t>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ACA"/>
    <w:rsid w:val="0001383D"/>
    <w:rsid w:val="000D0BAA"/>
    <w:rsid w:val="001E5043"/>
    <w:rsid w:val="00332ACA"/>
    <w:rsid w:val="003C197E"/>
    <w:rsid w:val="00467087"/>
    <w:rsid w:val="005C0BF5"/>
    <w:rsid w:val="006F0EEB"/>
    <w:rsid w:val="008E24C6"/>
    <w:rsid w:val="00916467"/>
    <w:rsid w:val="00E82698"/>
    <w:rsid w:val="00F67AF1"/>
    <w:rsid w:val="00F76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0F27F"/>
  <w15:chartTrackingRefBased/>
  <w15:docId w15:val="{07527CFE-2DFB-424F-8E33-29DD0688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CA"/>
  </w:style>
  <w:style w:type="paragraph" w:styleId="Footer">
    <w:name w:val="footer"/>
    <w:basedOn w:val="Normal"/>
    <w:link w:val="FooterChar"/>
    <w:uiPriority w:val="99"/>
    <w:unhideWhenUsed/>
    <w:rsid w:val="00332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CA"/>
  </w:style>
  <w:style w:type="character" w:styleId="Hyperlink">
    <w:name w:val="Hyperlink"/>
    <w:basedOn w:val="DefaultParagraphFont"/>
    <w:uiPriority w:val="99"/>
    <w:unhideWhenUsed/>
    <w:rsid w:val="006F0EEB"/>
    <w:rPr>
      <w:color w:val="0563C1" w:themeColor="hyperlink"/>
      <w:u w:val="single"/>
    </w:rPr>
  </w:style>
  <w:style w:type="character" w:styleId="UnresolvedMention">
    <w:name w:val="Unresolved Mention"/>
    <w:basedOn w:val="DefaultParagraphFont"/>
    <w:uiPriority w:val="99"/>
    <w:semiHidden/>
    <w:unhideWhenUsed/>
    <w:rsid w:val="006F0E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11</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Davis</dc:creator>
  <cp:keywords/>
  <dc:description/>
  <cp:lastModifiedBy>Charlotte Davis</cp:lastModifiedBy>
  <cp:revision>6</cp:revision>
  <dcterms:created xsi:type="dcterms:W3CDTF">2021-02-18T13:52:00Z</dcterms:created>
  <dcterms:modified xsi:type="dcterms:W3CDTF">2021-02-18T18:56:00Z</dcterms:modified>
</cp:coreProperties>
</file>