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B11D22" w14:textId="77777777" w:rsidR="00C91734" w:rsidRDefault="00C91734"/>
    <w:p w14:paraId="4805402B" w14:textId="77777777" w:rsidR="00CF738C" w:rsidRDefault="00CF738C"/>
    <w:p w14:paraId="4220A996" w14:textId="77777777" w:rsidR="00CF738C" w:rsidRDefault="00CF738C"/>
    <w:p w14:paraId="53A5D100" w14:textId="77777777" w:rsidR="00CF738C" w:rsidRDefault="00CF738C"/>
    <w:p w14:paraId="5F7D6CEA" w14:textId="77777777" w:rsidR="00CF738C" w:rsidRDefault="00CF738C"/>
    <w:p w14:paraId="3E5366D5" w14:textId="77777777" w:rsidR="00CF738C" w:rsidRDefault="00CF738C"/>
    <w:p w14:paraId="65107A2D" w14:textId="7FA71608" w:rsidR="00CF738C" w:rsidRDefault="00CF738C">
      <w:r>
        <w:rPr>
          <w:noProof/>
        </w:rPr>
        <w:drawing>
          <wp:inline distT="0" distB="0" distL="0" distR="0" wp14:anchorId="655952DF" wp14:editId="2ECD2F25">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7C56EBE1" w14:textId="77777777" w:rsidR="00CF738C" w:rsidRDefault="00CF738C"/>
    <w:p w14:paraId="091CC3CE" w14:textId="77777777" w:rsidR="00CF738C" w:rsidRDefault="00CF738C"/>
    <w:p w14:paraId="3AECE230" w14:textId="77777777" w:rsidR="00CF738C" w:rsidRDefault="00CF738C"/>
    <w:p w14:paraId="317C9396" w14:textId="77777777" w:rsidR="00CF738C" w:rsidRDefault="00CF738C"/>
    <w:p w14:paraId="132AC402" w14:textId="77777777" w:rsidR="00CF738C" w:rsidRDefault="00CF738C"/>
    <w:p w14:paraId="5158DCEA" w14:textId="77777777" w:rsidR="00CF738C" w:rsidRDefault="00CF738C"/>
    <w:p w14:paraId="0AFDBDD1" w14:textId="77777777" w:rsidR="00CF738C" w:rsidRDefault="00CF738C" w:rsidP="00CF738C">
      <w:pPr>
        <w:spacing w:line="360" w:lineRule="auto"/>
        <w:rPr>
          <w:rFonts w:ascii="Arial" w:hAnsi="Arial" w:cs="Arial"/>
          <w:b/>
          <w:bCs/>
          <w:sz w:val="22"/>
          <w:szCs w:val="22"/>
        </w:rPr>
      </w:pPr>
      <w:r>
        <w:rPr>
          <w:rFonts w:ascii="Arial" w:hAnsi="Arial" w:cs="Arial"/>
          <w:b/>
          <w:bCs/>
          <w:sz w:val="22"/>
          <w:szCs w:val="22"/>
        </w:rPr>
        <w:t>Name: Gayani Pradeepika Wewalage</w:t>
      </w:r>
    </w:p>
    <w:p w14:paraId="4367A5B6" w14:textId="77777777" w:rsidR="00CF738C" w:rsidRDefault="00CF738C" w:rsidP="00CF738C">
      <w:pPr>
        <w:spacing w:line="360" w:lineRule="auto"/>
        <w:rPr>
          <w:rFonts w:ascii="Arial" w:hAnsi="Arial" w:cs="Arial"/>
          <w:b/>
          <w:bCs/>
          <w:sz w:val="22"/>
          <w:szCs w:val="22"/>
        </w:rPr>
      </w:pPr>
      <w:r>
        <w:rPr>
          <w:rFonts w:ascii="Arial" w:hAnsi="Arial" w:cs="Arial"/>
          <w:b/>
          <w:bCs/>
          <w:sz w:val="22"/>
          <w:szCs w:val="22"/>
        </w:rPr>
        <w:t>Student ID: 2539107</w:t>
      </w:r>
      <w:r>
        <w:rPr>
          <w:rFonts w:ascii="Arial" w:hAnsi="Arial" w:cs="Arial"/>
          <w:b/>
          <w:bCs/>
          <w:sz w:val="22"/>
          <w:szCs w:val="22"/>
        </w:rPr>
        <w:tab/>
      </w:r>
    </w:p>
    <w:p w14:paraId="390B8BC4" w14:textId="6C824287" w:rsidR="00CF738C" w:rsidRDefault="00CF738C">
      <w:pPr>
        <w:rPr>
          <w:rFonts w:ascii="Arial" w:hAnsi="Arial" w:cs="Arial"/>
          <w:b/>
          <w:bCs/>
          <w:sz w:val="22"/>
          <w:szCs w:val="22"/>
        </w:rPr>
      </w:pPr>
      <w:r>
        <w:rPr>
          <w:rFonts w:ascii="Arial" w:hAnsi="Arial" w:cs="Arial"/>
          <w:b/>
          <w:bCs/>
          <w:sz w:val="22"/>
          <w:szCs w:val="22"/>
        </w:rPr>
        <w:t>Module Code:</w:t>
      </w:r>
      <w:r w:rsidR="009673A4">
        <w:rPr>
          <w:rFonts w:ascii="Arial" w:hAnsi="Arial" w:cs="Arial"/>
          <w:b/>
          <w:bCs/>
          <w:sz w:val="22"/>
          <w:szCs w:val="22"/>
        </w:rPr>
        <w:t xml:space="preserve"> LCHS</w:t>
      </w:r>
      <w:r w:rsidR="00F4339D">
        <w:rPr>
          <w:rFonts w:ascii="Arial" w:hAnsi="Arial" w:cs="Arial"/>
          <w:b/>
          <w:bCs/>
          <w:sz w:val="22"/>
          <w:szCs w:val="22"/>
        </w:rPr>
        <w:t xml:space="preserve"> 4003</w:t>
      </w:r>
      <w:r w:rsidR="009673A4">
        <w:rPr>
          <w:rFonts w:ascii="Arial" w:hAnsi="Arial" w:cs="Arial"/>
          <w:b/>
          <w:bCs/>
          <w:sz w:val="22"/>
          <w:szCs w:val="22"/>
        </w:rPr>
        <w:t xml:space="preserve"> </w:t>
      </w:r>
    </w:p>
    <w:p w14:paraId="3505508E" w14:textId="0AC2FA67" w:rsidR="00CF738C" w:rsidRDefault="00CF738C">
      <w:pPr>
        <w:rPr>
          <w:rFonts w:ascii="Arial" w:hAnsi="Arial" w:cs="Arial"/>
          <w:b/>
          <w:bCs/>
          <w:sz w:val="22"/>
          <w:szCs w:val="22"/>
        </w:rPr>
      </w:pPr>
      <w:r>
        <w:rPr>
          <w:rFonts w:ascii="Arial" w:hAnsi="Arial" w:cs="Arial"/>
          <w:b/>
          <w:bCs/>
          <w:sz w:val="22"/>
          <w:szCs w:val="22"/>
        </w:rPr>
        <w:t>Module:</w:t>
      </w:r>
      <w:r w:rsidR="00F4339D">
        <w:rPr>
          <w:rFonts w:ascii="Arial" w:hAnsi="Arial" w:cs="Arial"/>
          <w:b/>
          <w:bCs/>
          <w:sz w:val="22"/>
          <w:szCs w:val="22"/>
        </w:rPr>
        <w:t xml:space="preserve"> Introduction to Health and Social Care  </w:t>
      </w:r>
    </w:p>
    <w:p w14:paraId="02FF4081" w14:textId="68C9A28C" w:rsidR="00CF738C" w:rsidRDefault="00CF738C">
      <w:pPr>
        <w:rPr>
          <w:rFonts w:ascii="Arial" w:hAnsi="Arial" w:cs="Arial"/>
          <w:b/>
          <w:bCs/>
          <w:sz w:val="22"/>
          <w:szCs w:val="22"/>
        </w:rPr>
      </w:pPr>
      <w:r>
        <w:rPr>
          <w:rFonts w:ascii="Arial" w:hAnsi="Arial" w:cs="Arial"/>
          <w:b/>
          <w:bCs/>
          <w:sz w:val="22"/>
          <w:szCs w:val="22"/>
        </w:rPr>
        <w:t>Lecturer:</w:t>
      </w:r>
      <w:r w:rsidR="00F4339D">
        <w:rPr>
          <w:rFonts w:ascii="Arial" w:hAnsi="Arial" w:cs="Arial"/>
          <w:b/>
          <w:bCs/>
          <w:sz w:val="22"/>
          <w:szCs w:val="22"/>
        </w:rPr>
        <w:t xml:space="preserve"> Zarah Ahmed</w:t>
      </w:r>
    </w:p>
    <w:p w14:paraId="288145B7" w14:textId="77777777" w:rsidR="00CF738C" w:rsidRDefault="00CF738C">
      <w:pPr>
        <w:rPr>
          <w:rFonts w:ascii="Arial" w:hAnsi="Arial" w:cs="Arial"/>
          <w:b/>
          <w:bCs/>
          <w:sz w:val="22"/>
          <w:szCs w:val="22"/>
        </w:rPr>
      </w:pPr>
    </w:p>
    <w:p w14:paraId="2B639867" w14:textId="045281FE" w:rsidR="00CF738C" w:rsidRDefault="00CF738C">
      <w:pPr>
        <w:rPr>
          <w:rFonts w:ascii="Arial" w:hAnsi="Arial" w:cs="Arial"/>
          <w:b/>
          <w:bCs/>
          <w:sz w:val="22"/>
          <w:szCs w:val="22"/>
        </w:rPr>
      </w:pPr>
      <w:r>
        <w:rPr>
          <w:rFonts w:ascii="Arial" w:hAnsi="Arial" w:cs="Arial"/>
          <w:b/>
          <w:bCs/>
          <w:sz w:val="22"/>
          <w:szCs w:val="22"/>
        </w:rPr>
        <w:t xml:space="preserve">Task 01: Mini Report </w:t>
      </w:r>
    </w:p>
    <w:p w14:paraId="14064BED" w14:textId="77777777" w:rsidR="00CF738C" w:rsidRDefault="00CF738C">
      <w:pPr>
        <w:rPr>
          <w:rFonts w:ascii="Arial" w:hAnsi="Arial" w:cs="Arial"/>
          <w:b/>
          <w:bCs/>
          <w:sz w:val="22"/>
          <w:szCs w:val="22"/>
        </w:rPr>
      </w:pPr>
    </w:p>
    <w:p w14:paraId="79DB37A5" w14:textId="77777777" w:rsidR="00CF738C" w:rsidRDefault="00CF738C">
      <w:pPr>
        <w:rPr>
          <w:rFonts w:ascii="Arial" w:hAnsi="Arial" w:cs="Arial"/>
          <w:b/>
          <w:bCs/>
          <w:sz w:val="22"/>
          <w:szCs w:val="22"/>
        </w:rPr>
      </w:pPr>
    </w:p>
    <w:p w14:paraId="1E7285BF" w14:textId="77777777" w:rsidR="00CF738C" w:rsidRDefault="00CF738C">
      <w:pPr>
        <w:rPr>
          <w:rFonts w:ascii="Arial" w:hAnsi="Arial" w:cs="Arial"/>
          <w:b/>
          <w:bCs/>
          <w:sz w:val="22"/>
          <w:szCs w:val="22"/>
        </w:rPr>
      </w:pPr>
    </w:p>
    <w:p w14:paraId="4C58315C" w14:textId="77777777" w:rsidR="00CF738C" w:rsidRDefault="00CF738C">
      <w:pPr>
        <w:rPr>
          <w:rFonts w:ascii="Arial" w:hAnsi="Arial" w:cs="Arial"/>
          <w:b/>
          <w:bCs/>
          <w:sz w:val="22"/>
          <w:szCs w:val="22"/>
        </w:rPr>
      </w:pPr>
    </w:p>
    <w:p w14:paraId="04A968C8" w14:textId="77777777" w:rsidR="00CF738C" w:rsidRDefault="00CF738C">
      <w:pPr>
        <w:rPr>
          <w:rFonts w:ascii="Arial" w:hAnsi="Arial" w:cs="Arial"/>
          <w:b/>
          <w:bCs/>
          <w:sz w:val="22"/>
          <w:szCs w:val="22"/>
        </w:rPr>
      </w:pPr>
    </w:p>
    <w:p w14:paraId="027B635C" w14:textId="77777777" w:rsidR="00865228" w:rsidRDefault="00865228">
      <w:pPr>
        <w:rPr>
          <w:rFonts w:ascii="Arial" w:hAnsi="Arial" w:cs="Arial"/>
          <w:sz w:val="22"/>
          <w:szCs w:val="22"/>
        </w:rPr>
      </w:pPr>
    </w:p>
    <w:p w14:paraId="4768102C" w14:textId="7B6F5177" w:rsidR="00865228" w:rsidRDefault="00865228" w:rsidP="00865228">
      <w:pPr>
        <w:spacing w:line="360" w:lineRule="auto"/>
        <w:rPr>
          <w:rFonts w:ascii="Arial" w:hAnsi="Arial" w:cs="Arial"/>
          <w:sz w:val="22"/>
          <w:szCs w:val="22"/>
        </w:rPr>
      </w:pPr>
      <w:r>
        <w:rPr>
          <w:rFonts w:ascii="Arial" w:hAnsi="Arial" w:cs="Arial"/>
          <w:sz w:val="22"/>
          <w:szCs w:val="22"/>
        </w:rPr>
        <w:lastRenderedPageBreak/>
        <w:t>Councillor David Hosell</w:t>
      </w:r>
    </w:p>
    <w:p w14:paraId="0F3F83CD" w14:textId="4DD48B77" w:rsidR="00865228" w:rsidRDefault="00865228" w:rsidP="00865228">
      <w:pPr>
        <w:spacing w:line="360" w:lineRule="auto"/>
        <w:rPr>
          <w:rFonts w:ascii="Arial" w:hAnsi="Arial" w:cs="Arial"/>
          <w:sz w:val="22"/>
          <w:szCs w:val="22"/>
        </w:rPr>
      </w:pPr>
      <w:r>
        <w:rPr>
          <w:rFonts w:ascii="Arial" w:hAnsi="Arial" w:cs="Arial"/>
          <w:sz w:val="22"/>
          <w:szCs w:val="22"/>
        </w:rPr>
        <w:t xml:space="preserve">Princes End Ward </w:t>
      </w:r>
    </w:p>
    <w:p w14:paraId="497B7ECB" w14:textId="77777777" w:rsidR="00865228" w:rsidRDefault="00865228" w:rsidP="00865228">
      <w:pPr>
        <w:spacing w:line="360" w:lineRule="auto"/>
        <w:rPr>
          <w:rFonts w:ascii="Arial" w:hAnsi="Arial" w:cs="Arial"/>
          <w:sz w:val="22"/>
          <w:szCs w:val="22"/>
        </w:rPr>
      </w:pPr>
      <w:r>
        <w:rPr>
          <w:rFonts w:ascii="Arial" w:hAnsi="Arial" w:cs="Arial"/>
          <w:sz w:val="22"/>
          <w:szCs w:val="22"/>
        </w:rPr>
        <w:t xml:space="preserve">Sandwell Council House </w:t>
      </w:r>
    </w:p>
    <w:p w14:paraId="40C0226A" w14:textId="0793BB0C" w:rsidR="00865228" w:rsidRDefault="00865228" w:rsidP="00865228">
      <w:pPr>
        <w:spacing w:line="360" w:lineRule="auto"/>
        <w:rPr>
          <w:rFonts w:ascii="Arial" w:hAnsi="Arial" w:cs="Arial"/>
          <w:sz w:val="22"/>
          <w:szCs w:val="22"/>
        </w:rPr>
      </w:pPr>
      <w:r>
        <w:rPr>
          <w:rFonts w:ascii="Arial" w:hAnsi="Arial" w:cs="Arial"/>
          <w:sz w:val="22"/>
          <w:szCs w:val="22"/>
        </w:rPr>
        <w:t>Freeth Street</w:t>
      </w:r>
    </w:p>
    <w:p w14:paraId="48D2AB9C" w14:textId="17DA9154" w:rsidR="00865228" w:rsidRDefault="00865228" w:rsidP="00865228">
      <w:pPr>
        <w:spacing w:line="360" w:lineRule="auto"/>
        <w:rPr>
          <w:rFonts w:ascii="Arial" w:hAnsi="Arial" w:cs="Arial"/>
          <w:sz w:val="22"/>
          <w:szCs w:val="22"/>
        </w:rPr>
      </w:pPr>
      <w:r>
        <w:rPr>
          <w:rFonts w:ascii="Arial" w:hAnsi="Arial" w:cs="Arial"/>
          <w:sz w:val="22"/>
          <w:szCs w:val="22"/>
        </w:rPr>
        <w:t xml:space="preserve">Oldbury </w:t>
      </w:r>
    </w:p>
    <w:p w14:paraId="7D84C18D" w14:textId="0EC65CA9" w:rsidR="00865228" w:rsidRDefault="00865228" w:rsidP="00865228">
      <w:pPr>
        <w:spacing w:line="360" w:lineRule="auto"/>
        <w:rPr>
          <w:rFonts w:ascii="Arial" w:hAnsi="Arial" w:cs="Arial"/>
          <w:sz w:val="22"/>
          <w:szCs w:val="22"/>
        </w:rPr>
      </w:pPr>
      <w:r>
        <w:rPr>
          <w:rFonts w:ascii="Arial" w:hAnsi="Arial" w:cs="Arial"/>
          <w:sz w:val="22"/>
          <w:szCs w:val="22"/>
        </w:rPr>
        <w:t>B69 3DE</w:t>
      </w:r>
    </w:p>
    <w:p w14:paraId="4C7B6776" w14:textId="77777777" w:rsidR="00865228" w:rsidRDefault="00865228" w:rsidP="00865228">
      <w:pPr>
        <w:spacing w:line="360" w:lineRule="auto"/>
        <w:rPr>
          <w:rFonts w:ascii="Arial" w:hAnsi="Arial" w:cs="Arial"/>
          <w:sz w:val="22"/>
          <w:szCs w:val="22"/>
        </w:rPr>
      </w:pPr>
    </w:p>
    <w:p w14:paraId="7C41D0BC" w14:textId="382F46AE" w:rsidR="00865228" w:rsidRPr="004E34B5" w:rsidRDefault="00865228" w:rsidP="00865228">
      <w:pPr>
        <w:spacing w:line="360" w:lineRule="auto"/>
        <w:jc w:val="both"/>
        <w:rPr>
          <w:rFonts w:ascii="Arial" w:hAnsi="Arial" w:cs="Arial"/>
          <w:b/>
          <w:bCs/>
          <w:sz w:val="22"/>
          <w:szCs w:val="22"/>
        </w:rPr>
      </w:pPr>
      <w:r w:rsidRPr="004E34B5">
        <w:rPr>
          <w:rFonts w:ascii="Arial" w:hAnsi="Arial" w:cs="Arial"/>
          <w:b/>
          <w:bCs/>
          <w:sz w:val="22"/>
          <w:szCs w:val="22"/>
        </w:rPr>
        <w:t>Introduction</w:t>
      </w:r>
    </w:p>
    <w:p w14:paraId="1A299694" w14:textId="77777777" w:rsidR="00A4382D" w:rsidRDefault="00A4382D" w:rsidP="00634DF2">
      <w:pPr>
        <w:spacing w:line="360" w:lineRule="auto"/>
        <w:jc w:val="both"/>
        <w:rPr>
          <w:rFonts w:ascii="Arial" w:hAnsi="Arial" w:cs="Arial"/>
          <w:sz w:val="22"/>
          <w:szCs w:val="22"/>
        </w:rPr>
      </w:pPr>
    </w:p>
    <w:p w14:paraId="0C69C5CD" w14:textId="77777777" w:rsidR="00865228" w:rsidRDefault="00865228" w:rsidP="00634DF2">
      <w:pPr>
        <w:spacing w:line="360" w:lineRule="auto"/>
        <w:jc w:val="both"/>
        <w:rPr>
          <w:rFonts w:ascii="Arial" w:hAnsi="Arial" w:cs="Arial"/>
          <w:sz w:val="22"/>
          <w:szCs w:val="22"/>
        </w:rPr>
      </w:pPr>
      <w:r>
        <w:rPr>
          <w:rFonts w:ascii="Arial" w:hAnsi="Arial" w:cs="Arial"/>
          <w:sz w:val="22"/>
          <w:szCs w:val="22"/>
        </w:rPr>
        <w:t>Councillor Hosell, this report has been prepared to advise you on the growing shortage of community disability services within the Princes End ward and the wider Sandwell area. Community disability services play a vital role in supporting adults with physical, learning, and cognitive disabilities to live independently, participate in society, and maintain wellbeing. However, recent evidence suggests that demand for these services is rising while local provision is struggling to keep pace. This shortage is creating significant barriers for disabled residents, increasing pressure on families, and placing additional strain on statutory services.</w:t>
      </w:r>
    </w:p>
    <w:p w14:paraId="3F160844" w14:textId="77777777" w:rsidR="00865228" w:rsidRDefault="00865228" w:rsidP="00634DF2">
      <w:pPr>
        <w:spacing w:line="360" w:lineRule="auto"/>
        <w:jc w:val="both"/>
        <w:rPr>
          <w:rFonts w:ascii="Arial" w:hAnsi="Arial" w:cs="Arial"/>
          <w:sz w:val="22"/>
          <w:szCs w:val="22"/>
        </w:rPr>
      </w:pPr>
    </w:p>
    <w:p w14:paraId="2CC1BF6B" w14:textId="166AF7A4" w:rsidR="00865228" w:rsidRDefault="00865228" w:rsidP="00634DF2">
      <w:pPr>
        <w:spacing w:line="360" w:lineRule="auto"/>
        <w:jc w:val="both"/>
        <w:rPr>
          <w:rFonts w:ascii="Arial" w:hAnsi="Arial" w:cs="Arial"/>
          <w:sz w:val="22"/>
          <w:szCs w:val="22"/>
        </w:rPr>
      </w:pPr>
      <w:r>
        <w:rPr>
          <w:rFonts w:ascii="Arial" w:hAnsi="Arial" w:cs="Arial"/>
          <w:sz w:val="22"/>
          <w:szCs w:val="22"/>
        </w:rPr>
        <w:t xml:space="preserve">The Care Act 2014 places a legal duty on </w:t>
      </w:r>
      <w:r w:rsidR="00A4382D">
        <w:rPr>
          <w:rFonts w:ascii="Arial" w:hAnsi="Arial" w:cs="Arial"/>
          <w:sz w:val="22"/>
          <w:szCs w:val="22"/>
        </w:rPr>
        <w:t>local</w:t>
      </w:r>
      <w:r>
        <w:rPr>
          <w:rFonts w:ascii="Arial" w:hAnsi="Arial" w:cs="Arial"/>
          <w:sz w:val="22"/>
          <w:szCs w:val="22"/>
        </w:rPr>
        <w:t xml:space="preserve"> authorities to promote wellbeing, prevent needs from escalating, and ensure access to appro</w:t>
      </w:r>
      <w:r w:rsidR="00A4382D">
        <w:rPr>
          <w:rFonts w:ascii="Arial" w:hAnsi="Arial" w:cs="Arial"/>
          <w:sz w:val="22"/>
          <w:szCs w:val="22"/>
        </w:rPr>
        <w:t>priate care and support. The current shortage of community disability services directly conflicts with these statutory responsibilities. This report outlines why the service is essential, how the shortage affects local people, and what actions Sandwell Council should take to improve provision in line with Care Act principles.</w:t>
      </w:r>
      <w:r>
        <w:rPr>
          <w:rFonts w:ascii="Arial" w:hAnsi="Arial" w:cs="Arial"/>
          <w:sz w:val="22"/>
          <w:szCs w:val="22"/>
        </w:rPr>
        <w:t xml:space="preserve"> </w:t>
      </w:r>
    </w:p>
    <w:p w14:paraId="19A989F2" w14:textId="77777777" w:rsidR="00A4382D" w:rsidRDefault="00A4382D" w:rsidP="00634DF2">
      <w:pPr>
        <w:spacing w:line="360" w:lineRule="auto"/>
        <w:jc w:val="both"/>
        <w:rPr>
          <w:rFonts w:ascii="Arial" w:hAnsi="Arial" w:cs="Arial"/>
          <w:sz w:val="22"/>
          <w:szCs w:val="22"/>
        </w:rPr>
      </w:pPr>
    </w:p>
    <w:p w14:paraId="47F0B894" w14:textId="630B4AC2" w:rsidR="00A4382D" w:rsidRPr="004E34B5" w:rsidRDefault="00A4382D" w:rsidP="00634DF2">
      <w:pPr>
        <w:spacing w:line="360" w:lineRule="auto"/>
        <w:jc w:val="both"/>
        <w:rPr>
          <w:rFonts w:ascii="Arial" w:hAnsi="Arial" w:cs="Arial"/>
          <w:b/>
          <w:bCs/>
          <w:sz w:val="22"/>
          <w:szCs w:val="22"/>
        </w:rPr>
      </w:pPr>
      <w:r w:rsidRPr="004E34B5">
        <w:rPr>
          <w:rFonts w:ascii="Arial" w:hAnsi="Arial" w:cs="Arial"/>
          <w:b/>
          <w:bCs/>
          <w:sz w:val="22"/>
          <w:szCs w:val="22"/>
        </w:rPr>
        <w:t>Historical Context and Current Function</w:t>
      </w:r>
    </w:p>
    <w:p w14:paraId="4C811FB6" w14:textId="77777777" w:rsidR="00A4382D" w:rsidRDefault="00A4382D" w:rsidP="00634DF2">
      <w:pPr>
        <w:spacing w:line="360" w:lineRule="auto"/>
        <w:jc w:val="both"/>
        <w:rPr>
          <w:rFonts w:ascii="Arial" w:hAnsi="Arial" w:cs="Arial"/>
          <w:sz w:val="22"/>
          <w:szCs w:val="22"/>
        </w:rPr>
      </w:pPr>
    </w:p>
    <w:p w14:paraId="760A46FF" w14:textId="3CC7F32F" w:rsidR="00A4382D" w:rsidRDefault="00A4382D" w:rsidP="00634DF2">
      <w:pPr>
        <w:spacing w:line="360" w:lineRule="auto"/>
        <w:jc w:val="both"/>
        <w:rPr>
          <w:rFonts w:ascii="Arial" w:hAnsi="Arial" w:cs="Arial"/>
          <w:sz w:val="22"/>
          <w:szCs w:val="22"/>
        </w:rPr>
      </w:pPr>
      <w:r>
        <w:rPr>
          <w:rFonts w:ascii="Arial" w:hAnsi="Arial" w:cs="Arial"/>
          <w:sz w:val="22"/>
          <w:szCs w:val="22"/>
        </w:rPr>
        <w:t>Community disability services have evolved significantly over the past century. Historically, disabled people were often placed in institutional settings, segregated from society and denied autonomy. The shift towards community-based support began in the late 20</w:t>
      </w:r>
      <w:r w:rsidRPr="00A4382D">
        <w:rPr>
          <w:rFonts w:ascii="Arial" w:hAnsi="Arial" w:cs="Arial"/>
          <w:sz w:val="22"/>
          <w:szCs w:val="22"/>
          <w:vertAlign w:val="superscript"/>
        </w:rPr>
        <w:t>th</w:t>
      </w:r>
      <w:r>
        <w:rPr>
          <w:rFonts w:ascii="Arial" w:hAnsi="Arial" w:cs="Arial"/>
          <w:sz w:val="22"/>
          <w:szCs w:val="22"/>
        </w:rPr>
        <w:t xml:space="preserve"> century, driven by disability rights movements and policy reforms emphasising independence, choice, and inclusion (Barner &amp; Mercer 2010). Today, community disability services include day </w:t>
      </w:r>
      <w:r>
        <w:rPr>
          <w:rFonts w:ascii="Arial" w:hAnsi="Arial" w:cs="Arial"/>
          <w:sz w:val="22"/>
          <w:szCs w:val="22"/>
        </w:rPr>
        <w:lastRenderedPageBreak/>
        <w:t>opportunities, supported living, respite care, advocacy, employment support, and outreach programmes delivered by local authorities and voluntary organisations.</w:t>
      </w:r>
    </w:p>
    <w:p w14:paraId="4E980283" w14:textId="77777777" w:rsidR="00084A61" w:rsidRDefault="00084A61" w:rsidP="00634DF2">
      <w:pPr>
        <w:spacing w:line="360" w:lineRule="auto"/>
        <w:jc w:val="both"/>
        <w:rPr>
          <w:rFonts w:ascii="Arial" w:hAnsi="Arial" w:cs="Arial"/>
          <w:sz w:val="22"/>
          <w:szCs w:val="22"/>
        </w:rPr>
      </w:pPr>
    </w:p>
    <w:p w14:paraId="36E558C7" w14:textId="52B493F3" w:rsidR="00084A61" w:rsidRDefault="00084A61" w:rsidP="00634DF2">
      <w:pPr>
        <w:spacing w:line="360" w:lineRule="auto"/>
        <w:jc w:val="both"/>
        <w:rPr>
          <w:rFonts w:ascii="Arial" w:hAnsi="Arial" w:cs="Arial"/>
          <w:sz w:val="22"/>
          <w:szCs w:val="22"/>
        </w:rPr>
      </w:pPr>
      <w:r>
        <w:rPr>
          <w:rFonts w:ascii="Arial" w:hAnsi="Arial" w:cs="Arial"/>
          <w:sz w:val="22"/>
          <w:szCs w:val="22"/>
        </w:rPr>
        <w:t>In Sandwell, these services are essential for enabling disabled adults to live safely at home, access education and employment, and participate in community life. They also reduce reliance on crisis interventions, hospital admissions, and long-term residential placements. However, national reports highlight severe workforce shortages, funding pressures, and rising demand across adult social care (Skills for Care 2023). Locally, residents in Princes End have reported long waiting times for assessments, reduced availability of day services, and limited outreach support.</w:t>
      </w:r>
    </w:p>
    <w:p w14:paraId="651DC9EC" w14:textId="77777777" w:rsidR="00084A61" w:rsidRDefault="00084A61" w:rsidP="00634DF2">
      <w:pPr>
        <w:spacing w:line="360" w:lineRule="auto"/>
        <w:jc w:val="both"/>
        <w:rPr>
          <w:rFonts w:ascii="Arial" w:hAnsi="Arial" w:cs="Arial"/>
          <w:sz w:val="22"/>
          <w:szCs w:val="22"/>
        </w:rPr>
      </w:pPr>
    </w:p>
    <w:p w14:paraId="7E928E4F" w14:textId="7D638ADA" w:rsidR="00084A61" w:rsidRDefault="00084A61" w:rsidP="00634DF2">
      <w:pPr>
        <w:spacing w:line="360" w:lineRule="auto"/>
        <w:jc w:val="both"/>
        <w:rPr>
          <w:rFonts w:ascii="Arial" w:hAnsi="Arial" w:cs="Arial"/>
          <w:sz w:val="22"/>
          <w:szCs w:val="22"/>
        </w:rPr>
      </w:pPr>
      <w:r>
        <w:rPr>
          <w:rFonts w:ascii="Arial" w:hAnsi="Arial" w:cs="Arial"/>
          <w:sz w:val="22"/>
          <w:szCs w:val="22"/>
        </w:rPr>
        <w:t xml:space="preserve">Under the Care Act 2014, local authorities must ensure a sustainable market of care providers, prevent needs from escalating, and promote individual wellbeing (DHSC 2014). The current shortage undermines these duties, particularly the principles of prevention, wellbeing, and market shaping. Without </w:t>
      </w:r>
      <w:r w:rsidR="004F315D">
        <w:rPr>
          <w:rFonts w:ascii="Arial" w:hAnsi="Arial" w:cs="Arial"/>
          <w:sz w:val="22"/>
          <w:szCs w:val="22"/>
        </w:rPr>
        <w:t>adequate</w:t>
      </w:r>
      <w:r>
        <w:rPr>
          <w:rFonts w:ascii="Arial" w:hAnsi="Arial" w:cs="Arial"/>
          <w:sz w:val="22"/>
          <w:szCs w:val="22"/>
        </w:rPr>
        <w:t xml:space="preserve"> community disability services, </w:t>
      </w:r>
      <w:r w:rsidR="004F315D">
        <w:rPr>
          <w:rFonts w:ascii="Arial" w:hAnsi="Arial" w:cs="Arial"/>
          <w:sz w:val="22"/>
          <w:szCs w:val="22"/>
        </w:rPr>
        <w:t>disabled</w:t>
      </w:r>
      <w:r>
        <w:rPr>
          <w:rFonts w:ascii="Arial" w:hAnsi="Arial" w:cs="Arial"/>
          <w:sz w:val="22"/>
          <w:szCs w:val="22"/>
        </w:rPr>
        <w:t xml:space="preserve"> residents face increased isolation, deteriorating health, and reduced independence. This </w:t>
      </w:r>
      <w:r w:rsidR="004F315D">
        <w:rPr>
          <w:rFonts w:ascii="Arial" w:hAnsi="Arial" w:cs="Arial"/>
          <w:sz w:val="22"/>
          <w:szCs w:val="22"/>
        </w:rPr>
        <w:t>context</w:t>
      </w:r>
      <w:r>
        <w:rPr>
          <w:rFonts w:ascii="Arial" w:hAnsi="Arial" w:cs="Arial"/>
          <w:sz w:val="22"/>
          <w:szCs w:val="22"/>
        </w:rPr>
        <w:t xml:space="preserve"> demonstrates the urgent need for strategic action to strengthen local provision. </w:t>
      </w:r>
    </w:p>
    <w:p w14:paraId="327640E9" w14:textId="77777777" w:rsidR="004F315D" w:rsidRDefault="004F315D" w:rsidP="00634DF2">
      <w:pPr>
        <w:spacing w:line="360" w:lineRule="auto"/>
        <w:jc w:val="both"/>
        <w:rPr>
          <w:rFonts w:ascii="Arial" w:hAnsi="Arial" w:cs="Arial"/>
          <w:sz w:val="22"/>
          <w:szCs w:val="22"/>
        </w:rPr>
      </w:pPr>
    </w:p>
    <w:p w14:paraId="3D902765" w14:textId="7B651465" w:rsidR="004F315D" w:rsidRPr="004E34B5" w:rsidRDefault="004F315D" w:rsidP="00634DF2">
      <w:pPr>
        <w:spacing w:line="360" w:lineRule="auto"/>
        <w:jc w:val="both"/>
        <w:rPr>
          <w:rFonts w:ascii="Arial" w:hAnsi="Arial" w:cs="Arial"/>
          <w:b/>
          <w:bCs/>
          <w:sz w:val="22"/>
          <w:szCs w:val="22"/>
        </w:rPr>
      </w:pPr>
      <w:r w:rsidRPr="004E34B5">
        <w:rPr>
          <w:rFonts w:ascii="Arial" w:hAnsi="Arial" w:cs="Arial"/>
          <w:b/>
          <w:bCs/>
          <w:sz w:val="22"/>
          <w:szCs w:val="22"/>
        </w:rPr>
        <w:t>Critical Evaluation and Significance for Service Users</w:t>
      </w:r>
    </w:p>
    <w:p w14:paraId="116B9BBB" w14:textId="77777777" w:rsidR="004F315D" w:rsidRDefault="004F315D" w:rsidP="00634DF2">
      <w:pPr>
        <w:spacing w:line="360" w:lineRule="auto"/>
        <w:jc w:val="both"/>
        <w:rPr>
          <w:rFonts w:ascii="Arial" w:hAnsi="Arial" w:cs="Arial"/>
          <w:sz w:val="22"/>
          <w:szCs w:val="22"/>
        </w:rPr>
      </w:pPr>
    </w:p>
    <w:p w14:paraId="4B79D116" w14:textId="2F8E04AF" w:rsidR="004F315D" w:rsidRDefault="004F315D" w:rsidP="00634DF2">
      <w:pPr>
        <w:spacing w:line="360" w:lineRule="auto"/>
        <w:jc w:val="both"/>
        <w:rPr>
          <w:rFonts w:ascii="Arial" w:hAnsi="Arial" w:cs="Arial"/>
          <w:sz w:val="22"/>
          <w:szCs w:val="22"/>
        </w:rPr>
      </w:pPr>
      <w:r>
        <w:rPr>
          <w:rFonts w:ascii="Arial" w:hAnsi="Arial" w:cs="Arial"/>
          <w:sz w:val="22"/>
          <w:szCs w:val="22"/>
        </w:rPr>
        <w:t>The shortage of community disability services has profound consequences for disabled residents in Princes End. Firstly, it limits access to essential support that enables daily living. Individuals who rely on outreach workers, day centres, or supported employment programmes may experience long delays or complete gaps in provision. This can lead to declining mental health, increased loneliness, and reduced physical wellbeing (SCIE 2022).</w:t>
      </w:r>
    </w:p>
    <w:p w14:paraId="36CD4193" w14:textId="77777777" w:rsidR="004F315D" w:rsidRDefault="004F315D" w:rsidP="00634DF2">
      <w:pPr>
        <w:spacing w:line="360" w:lineRule="auto"/>
        <w:jc w:val="both"/>
        <w:rPr>
          <w:rFonts w:ascii="Arial" w:hAnsi="Arial" w:cs="Arial"/>
          <w:sz w:val="22"/>
          <w:szCs w:val="22"/>
        </w:rPr>
      </w:pPr>
    </w:p>
    <w:p w14:paraId="34441713" w14:textId="14725805" w:rsidR="004F315D" w:rsidRDefault="004F315D" w:rsidP="00634DF2">
      <w:pPr>
        <w:spacing w:line="360" w:lineRule="auto"/>
        <w:jc w:val="both"/>
        <w:rPr>
          <w:rFonts w:ascii="Arial" w:hAnsi="Arial" w:cs="Arial"/>
          <w:sz w:val="22"/>
          <w:szCs w:val="22"/>
        </w:rPr>
      </w:pPr>
      <w:r>
        <w:rPr>
          <w:rFonts w:ascii="Arial" w:hAnsi="Arial" w:cs="Arial"/>
          <w:sz w:val="22"/>
          <w:szCs w:val="22"/>
        </w:rPr>
        <w:t>Secondly, families and unpaid carers face increased pressure. When formal services are unavailable, relatives often take on additional responsibilities, leading to burnout, financial strain, and reduced</w:t>
      </w:r>
      <w:r w:rsidR="001D2780">
        <w:rPr>
          <w:rFonts w:ascii="Arial" w:hAnsi="Arial" w:cs="Arial"/>
          <w:sz w:val="22"/>
          <w:szCs w:val="22"/>
        </w:rPr>
        <w:t xml:space="preserve"> ability</w:t>
      </w:r>
      <w:r>
        <w:rPr>
          <w:rFonts w:ascii="Arial" w:hAnsi="Arial" w:cs="Arial"/>
          <w:sz w:val="22"/>
          <w:szCs w:val="22"/>
        </w:rPr>
        <w:t xml:space="preserve"> to maintain employment. This contradicts the Care Act’s emphasis on supporting </w:t>
      </w:r>
      <w:r w:rsidR="001D2780">
        <w:rPr>
          <w:rFonts w:ascii="Arial" w:hAnsi="Arial" w:cs="Arial"/>
          <w:sz w:val="22"/>
          <w:szCs w:val="22"/>
        </w:rPr>
        <w:t>carers</w:t>
      </w:r>
      <w:r>
        <w:rPr>
          <w:rFonts w:ascii="Arial" w:hAnsi="Arial" w:cs="Arial"/>
          <w:sz w:val="22"/>
          <w:szCs w:val="22"/>
        </w:rPr>
        <w:t xml:space="preserve"> and preventing crisis situations. </w:t>
      </w:r>
    </w:p>
    <w:p w14:paraId="2AA5848A" w14:textId="77777777" w:rsidR="001D2780" w:rsidRDefault="001D2780" w:rsidP="00634DF2">
      <w:pPr>
        <w:spacing w:line="360" w:lineRule="auto"/>
        <w:jc w:val="both"/>
        <w:rPr>
          <w:rFonts w:ascii="Arial" w:hAnsi="Arial" w:cs="Arial"/>
          <w:sz w:val="22"/>
          <w:szCs w:val="22"/>
        </w:rPr>
      </w:pPr>
    </w:p>
    <w:p w14:paraId="1899AABD" w14:textId="5AA72245" w:rsidR="001D2780" w:rsidRDefault="001D2780" w:rsidP="00634DF2">
      <w:pPr>
        <w:spacing w:line="360" w:lineRule="auto"/>
        <w:jc w:val="both"/>
        <w:rPr>
          <w:rFonts w:ascii="Arial" w:hAnsi="Arial" w:cs="Arial"/>
          <w:sz w:val="22"/>
          <w:szCs w:val="22"/>
        </w:rPr>
      </w:pPr>
      <w:r>
        <w:rPr>
          <w:rFonts w:ascii="Arial" w:hAnsi="Arial" w:cs="Arial"/>
          <w:sz w:val="22"/>
          <w:szCs w:val="22"/>
        </w:rPr>
        <w:lastRenderedPageBreak/>
        <w:t>Thirdly, shortages created inequalities. Disabled people already face barriers in employment, education, and social participation. Reduced service availability further entrenches disadvantage, particularly in areas of high deprivation such as Princes End (Sandwell Council 2024).</w:t>
      </w:r>
    </w:p>
    <w:p w14:paraId="5434EAC3" w14:textId="77777777" w:rsidR="001D2780" w:rsidRDefault="001D2780" w:rsidP="00634DF2">
      <w:pPr>
        <w:spacing w:line="360" w:lineRule="auto"/>
        <w:jc w:val="both"/>
        <w:rPr>
          <w:rFonts w:ascii="Arial" w:hAnsi="Arial" w:cs="Arial"/>
          <w:sz w:val="22"/>
          <w:szCs w:val="22"/>
        </w:rPr>
      </w:pPr>
    </w:p>
    <w:p w14:paraId="7C9726CF" w14:textId="28380A82" w:rsidR="001D2780" w:rsidRDefault="001D2780" w:rsidP="00634DF2">
      <w:pPr>
        <w:spacing w:line="360" w:lineRule="auto"/>
        <w:jc w:val="both"/>
        <w:rPr>
          <w:rFonts w:ascii="Arial" w:hAnsi="Arial" w:cs="Arial"/>
          <w:sz w:val="22"/>
          <w:szCs w:val="22"/>
        </w:rPr>
      </w:pPr>
      <w:r>
        <w:rPr>
          <w:rFonts w:ascii="Arial" w:hAnsi="Arial" w:cs="Arial"/>
          <w:sz w:val="22"/>
          <w:szCs w:val="22"/>
        </w:rPr>
        <w:t>To address this, Sandwell Council should:</w:t>
      </w:r>
    </w:p>
    <w:p w14:paraId="27B7C7ED" w14:textId="42F4E613" w:rsidR="001D2780" w:rsidRDefault="001D2780" w:rsidP="00634DF2">
      <w:pPr>
        <w:pStyle w:val="ListParagraph"/>
        <w:numPr>
          <w:ilvl w:val="0"/>
          <w:numId w:val="1"/>
        </w:numPr>
        <w:spacing w:line="360" w:lineRule="auto"/>
        <w:jc w:val="both"/>
        <w:rPr>
          <w:rFonts w:ascii="Arial" w:hAnsi="Arial" w:cs="Arial"/>
          <w:sz w:val="22"/>
          <w:szCs w:val="22"/>
        </w:rPr>
      </w:pPr>
      <w:r>
        <w:rPr>
          <w:rFonts w:ascii="Arial" w:hAnsi="Arial" w:cs="Arial"/>
          <w:sz w:val="22"/>
          <w:szCs w:val="22"/>
        </w:rPr>
        <w:t>Increase investment in community disability services through targeted funding</w:t>
      </w:r>
    </w:p>
    <w:p w14:paraId="1EF84619" w14:textId="6167BC17" w:rsidR="001D2780" w:rsidRDefault="001D2780" w:rsidP="00634DF2">
      <w:pPr>
        <w:pStyle w:val="ListParagraph"/>
        <w:numPr>
          <w:ilvl w:val="0"/>
          <w:numId w:val="1"/>
        </w:numPr>
        <w:spacing w:line="360" w:lineRule="auto"/>
        <w:jc w:val="both"/>
        <w:rPr>
          <w:rFonts w:ascii="Arial" w:hAnsi="Arial" w:cs="Arial"/>
          <w:sz w:val="22"/>
          <w:szCs w:val="22"/>
        </w:rPr>
      </w:pPr>
      <w:r>
        <w:rPr>
          <w:rFonts w:ascii="Arial" w:hAnsi="Arial" w:cs="Arial"/>
          <w:sz w:val="22"/>
          <w:szCs w:val="22"/>
        </w:rPr>
        <w:t>Strengthen partnerships with voluntary organisations to expand local provision</w:t>
      </w:r>
    </w:p>
    <w:p w14:paraId="5113C1B1" w14:textId="65E62A8B" w:rsidR="001D2780" w:rsidRDefault="001D2780" w:rsidP="00634DF2">
      <w:pPr>
        <w:pStyle w:val="ListParagraph"/>
        <w:numPr>
          <w:ilvl w:val="0"/>
          <w:numId w:val="1"/>
        </w:numPr>
        <w:spacing w:line="360" w:lineRule="auto"/>
        <w:jc w:val="both"/>
        <w:rPr>
          <w:rFonts w:ascii="Arial" w:hAnsi="Arial" w:cs="Arial"/>
          <w:sz w:val="22"/>
          <w:szCs w:val="22"/>
        </w:rPr>
      </w:pPr>
      <w:r>
        <w:rPr>
          <w:rFonts w:ascii="Arial" w:hAnsi="Arial" w:cs="Arial"/>
          <w:sz w:val="22"/>
          <w:szCs w:val="22"/>
        </w:rPr>
        <w:t>Improve recruitment and retention of disability support workers.</w:t>
      </w:r>
    </w:p>
    <w:p w14:paraId="2D7505DA" w14:textId="43FDA74E" w:rsidR="001D2780" w:rsidRDefault="005E69E7" w:rsidP="00634DF2">
      <w:pPr>
        <w:pStyle w:val="ListParagraph"/>
        <w:numPr>
          <w:ilvl w:val="0"/>
          <w:numId w:val="1"/>
        </w:numPr>
        <w:spacing w:line="360" w:lineRule="auto"/>
        <w:jc w:val="both"/>
        <w:rPr>
          <w:rFonts w:ascii="Arial" w:hAnsi="Arial" w:cs="Arial"/>
          <w:sz w:val="22"/>
          <w:szCs w:val="22"/>
        </w:rPr>
      </w:pPr>
      <w:r>
        <w:rPr>
          <w:rFonts w:ascii="Arial" w:hAnsi="Arial" w:cs="Arial"/>
          <w:sz w:val="22"/>
          <w:szCs w:val="22"/>
        </w:rPr>
        <w:t>Conduct</w:t>
      </w:r>
      <w:r w:rsidR="001D2780">
        <w:rPr>
          <w:rFonts w:ascii="Arial" w:hAnsi="Arial" w:cs="Arial"/>
          <w:sz w:val="22"/>
          <w:szCs w:val="22"/>
        </w:rPr>
        <w:t xml:space="preserve"> a local needs assessment to identify gaps in Princes End</w:t>
      </w:r>
    </w:p>
    <w:p w14:paraId="40D740B9" w14:textId="17C8841B" w:rsidR="001D2780" w:rsidRDefault="001D2780" w:rsidP="00634DF2">
      <w:pPr>
        <w:pStyle w:val="ListParagraph"/>
        <w:numPr>
          <w:ilvl w:val="0"/>
          <w:numId w:val="1"/>
        </w:numPr>
        <w:spacing w:line="360" w:lineRule="auto"/>
        <w:jc w:val="both"/>
        <w:rPr>
          <w:rFonts w:ascii="Arial" w:hAnsi="Arial" w:cs="Arial"/>
          <w:sz w:val="22"/>
          <w:szCs w:val="22"/>
        </w:rPr>
      </w:pPr>
      <w:r>
        <w:rPr>
          <w:rFonts w:ascii="Arial" w:hAnsi="Arial" w:cs="Arial"/>
          <w:sz w:val="22"/>
          <w:szCs w:val="22"/>
        </w:rPr>
        <w:t xml:space="preserve">Use Care Act principles to guide decision-making, particularly prevention, wellbeing, and market sustainability. </w:t>
      </w:r>
    </w:p>
    <w:p w14:paraId="2272BAC4" w14:textId="7CEE7D37" w:rsidR="001D2780" w:rsidRDefault="001D2780" w:rsidP="00634DF2">
      <w:pPr>
        <w:spacing w:line="360" w:lineRule="auto"/>
        <w:jc w:val="both"/>
        <w:rPr>
          <w:rFonts w:ascii="Arial" w:hAnsi="Arial" w:cs="Arial"/>
          <w:sz w:val="22"/>
          <w:szCs w:val="22"/>
        </w:rPr>
      </w:pPr>
      <w:r>
        <w:rPr>
          <w:rFonts w:ascii="Arial" w:hAnsi="Arial" w:cs="Arial"/>
          <w:sz w:val="22"/>
          <w:szCs w:val="22"/>
        </w:rPr>
        <w:t xml:space="preserve">These actions would ensure compliance with </w:t>
      </w:r>
      <w:r w:rsidR="005E69E7">
        <w:rPr>
          <w:rFonts w:ascii="Arial" w:hAnsi="Arial" w:cs="Arial"/>
          <w:sz w:val="22"/>
          <w:szCs w:val="22"/>
        </w:rPr>
        <w:t>statutory</w:t>
      </w:r>
      <w:r>
        <w:rPr>
          <w:rFonts w:ascii="Arial" w:hAnsi="Arial" w:cs="Arial"/>
          <w:sz w:val="22"/>
          <w:szCs w:val="22"/>
        </w:rPr>
        <w:t xml:space="preserve"> duties and significantly improve outcomes for </w:t>
      </w:r>
      <w:r w:rsidR="005E69E7">
        <w:rPr>
          <w:rFonts w:ascii="Arial" w:hAnsi="Arial" w:cs="Arial"/>
          <w:sz w:val="22"/>
          <w:szCs w:val="22"/>
        </w:rPr>
        <w:t>disabled</w:t>
      </w:r>
      <w:r>
        <w:rPr>
          <w:rFonts w:ascii="Arial" w:hAnsi="Arial" w:cs="Arial"/>
          <w:sz w:val="22"/>
          <w:szCs w:val="22"/>
        </w:rPr>
        <w:t xml:space="preserve"> residents. </w:t>
      </w:r>
    </w:p>
    <w:p w14:paraId="7A4D2C86" w14:textId="77777777" w:rsidR="005E69E7" w:rsidRDefault="005E69E7" w:rsidP="00634DF2">
      <w:pPr>
        <w:spacing w:line="360" w:lineRule="auto"/>
        <w:jc w:val="both"/>
        <w:rPr>
          <w:rFonts w:ascii="Arial" w:hAnsi="Arial" w:cs="Arial"/>
          <w:sz w:val="22"/>
          <w:szCs w:val="22"/>
        </w:rPr>
      </w:pPr>
    </w:p>
    <w:p w14:paraId="2FE30671" w14:textId="30E951ED" w:rsidR="005E69E7" w:rsidRPr="00014328" w:rsidRDefault="00BE5CEC" w:rsidP="00634DF2">
      <w:pPr>
        <w:spacing w:line="360" w:lineRule="auto"/>
        <w:jc w:val="both"/>
        <w:rPr>
          <w:rFonts w:ascii="Arial" w:hAnsi="Arial" w:cs="Arial"/>
          <w:b/>
          <w:bCs/>
          <w:sz w:val="22"/>
          <w:szCs w:val="22"/>
        </w:rPr>
      </w:pPr>
      <w:r w:rsidRPr="00014328">
        <w:rPr>
          <w:rFonts w:ascii="Arial" w:hAnsi="Arial" w:cs="Arial"/>
          <w:b/>
          <w:bCs/>
          <w:sz w:val="22"/>
          <w:szCs w:val="22"/>
        </w:rPr>
        <w:t xml:space="preserve">Conclusion </w:t>
      </w:r>
    </w:p>
    <w:p w14:paraId="3F353A61" w14:textId="77777777" w:rsidR="00BE5CEC" w:rsidRDefault="00BE5CEC" w:rsidP="00634DF2">
      <w:pPr>
        <w:spacing w:line="360" w:lineRule="auto"/>
        <w:jc w:val="both"/>
        <w:rPr>
          <w:rFonts w:ascii="Arial" w:hAnsi="Arial" w:cs="Arial"/>
          <w:sz w:val="22"/>
          <w:szCs w:val="22"/>
        </w:rPr>
      </w:pPr>
    </w:p>
    <w:p w14:paraId="369F30F6" w14:textId="2924A752" w:rsidR="00BE5CEC" w:rsidRDefault="00BE5CEC" w:rsidP="00634DF2">
      <w:pPr>
        <w:spacing w:line="360" w:lineRule="auto"/>
        <w:jc w:val="both"/>
        <w:rPr>
          <w:rFonts w:ascii="Arial" w:hAnsi="Arial" w:cs="Arial"/>
          <w:sz w:val="22"/>
          <w:szCs w:val="22"/>
        </w:rPr>
      </w:pPr>
      <w:r>
        <w:rPr>
          <w:rFonts w:ascii="Arial" w:hAnsi="Arial" w:cs="Arial"/>
          <w:sz w:val="22"/>
          <w:szCs w:val="22"/>
        </w:rPr>
        <w:t xml:space="preserve">Councillor Hosell, the shortage of community disability services in Princes End is having a serious impact on disabled residents and their families. Strengthening provision is essential to uphold the Care Act 2014, promote wellbeing, and prevent needs from escalating. By investing in services, supporting the local care market, and improving workforce capacity, Sandwell Council can ensure that disabled people receive the support they need to live independently and participate fully in community life. Addressing this shortage is not only a legal responsibility but a vital step towards creating a more inclusive and equitable local community. </w:t>
      </w:r>
    </w:p>
    <w:p w14:paraId="445E413A" w14:textId="77777777" w:rsidR="004E34B5" w:rsidRDefault="004E34B5" w:rsidP="001D2780">
      <w:pPr>
        <w:spacing w:line="360" w:lineRule="auto"/>
        <w:jc w:val="both"/>
        <w:rPr>
          <w:rFonts w:ascii="Arial" w:hAnsi="Arial" w:cs="Arial"/>
          <w:sz w:val="22"/>
          <w:szCs w:val="22"/>
        </w:rPr>
      </w:pPr>
    </w:p>
    <w:p w14:paraId="235B60C0" w14:textId="77777777" w:rsidR="004E34B5" w:rsidRDefault="004E34B5" w:rsidP="001D2780">
      <w:pPr>
        <w:spacing w:line="360" w:lineRule="auto"/>
        <w:jc w:val="both"/>
        <w:rPr>
          <w:rFonts w:ascii="Arial" w:hAnsi="Arial" w:cs="Arial"/>
          <w:sz w:val="22"/>
          <w:szCs w:val="22"/>
        </w:rPr>
      </w:pPr>
    </w:p>
    <w:p w14:paraId="7E1BE54D" w14:textId="77777777" w:rsidR="004E34B5" w:rsidRDefault="004E34B5" w:rsidP="001D2780">
      <w:pPr>
        <w:spacing w:line="360" w:lineRule="auto"/>
        <w:jc w:val="both"/>
        <w:rPr>
          <w:rFonts w:ascii="Arial" w:hAnsi="Arial" w:cs="Arial"/>
          <w:sz w:val="22"/>
          <w:szCs w:val="22"/>
        </w:rPr>
      </w:pPr>
    </w:p>
    <w:p w14:paraId="0EFB78E4" w14:textId="77777777" w:rsidR="004E34B5" w:rsidRDefault="004E34B5" w:rsidP="001D2780">
      <w:pPr>
        <w:spacing w:line="360" w:lineRule="auto"/>
        <w:jc w:val="both"/>
        <w:rPr>
          <w:rFonts w:ascii="Arial" w:hAnsi="Arial" w:cs="Arial"/>
          <w:sz w:val="22"/>
          <w:szCs w:val="22"/>
        </w:rPr>
      </w:pPr>
    </w:p>
    <w:p w14:paraId="63307F1A" w14:textId="77777777" w:rsidR="004E34B5" w:rsidRDefault="004E34B5" w:rsidP="001D2780">
      <w:pPr>
        <w:spacing w:line="360" w:lineRule="auto"/>
        <w:jc w:val="both"/>
        <w:rPr>
          <w:rFonts w:ascii="Arial" w:hAnsi="Arial" w:cs="Arial"/>
          <w:sz w:val="22"/>
          <w:szCs w:val="22"/>
        </w:rPr>
      </w:pPr>
    </w:p>
    <w:p w14:paraId="5DB9AC8B" w14:textId="77777777" w:rsidR="004E34B5" w:rsidRDefault="004E34B5" w:rsidP="001D2780">
      <w:pPr>
        <w:spacing w:line="360" w:lineRule="auto"/>
        <w:jc w:val="both"/>
        <w:rPr>
          <w:rFonts w:ascii="Arial" w:hAnsi="Arial" w:cs="Arial"/>
          <w:sz w:val="22"/>
          <w:szCs w:val="22"/>
        </w:rPr>
      </w:pPr>
    </w:p>
    <w:p w14:paraId="74DF978F" w14:textId="77777777" w:rsidR="004E34B5" w:rsidRDefault="004E34B5" w:rsidP="001D2780">
      <w:pPr>
        <w:spacing w:line="360" w:lineRule="auto"/>
        <w:jc w:val="both"/>
        <w:rPr>
          <w:rFonts w:ascii="Arial" w:hAnsi="Arial" w:cs="Arial"/>
          <w:sz w:val="22"/>
          <w:szCs w:val="22"/>
        </w:rPr>
      </w:pPr>
    </w:p>
    <w:p w14:paraId="64B6E742" w14:textId="0BE085B2" w:rsidR="004E34B5" w:rsidRPr="00014328" w:rsidRDefault="004E34B5" w:rsidP="001D2780">
      <w:pPr>
        <w:spacing w:line="360" w:lineRule="auto"/>
        <w:jc w:val="both"/>
        <w:rPr>
          <w:rFonts w:ascii="Arial" w:hAnsi="Arial" w:cs="Arial"/>
          <w:b/>
          <w:bCs/>
          <w:sz w:val="22"/>
          <w:szCs w:val="22"/>
        </w:rPr>
      </w:pPr>
      <w:r w:rsidRPr="00014328">
        <w:rPr>
          <w:rFonts w:ascii="Arial" w:hAnsi="Arial" w:cs="Arial"/>
          <w:b/>
          <w:bCs/>
          <w:sz w:val="22"/>
          <w:szCs w:val="22"/>
        </w:rPr>
        <w:t>Reference</w:t>
      </w:r>
    </w:p>
    <w:p w14:paraId="5A5FE9FA" w14:textId="77777777" w:rsidR="00084A61" w:rsidRDefault="00084A61" w:rsidP="00865228">
      <w:pPr>
        <w:spacing w:line="360" w:lineRule="auto"/>
        <w:jc w:val="both"/>
        <w:rPr>
          <w:rFonts w:ascii="Arial" w:hAnsi="Arial" w:cs="Arial"/>
          <w:sz w:val="22"/>
          <w:szCs w:val="22"/>
        </w:rPr>
      </w:pPr>
    </w:p>
    <w:p w14:paraId="2AB826B9" w14:textId="123E4DF0" w:rsidR="009B1077" w:rsidRPr="00CB7A4F" w:rsidRDefault="009B1077" w:rsidP="009B1077">
      <w:r w:rsidRPr="00CB7A4F">
        <w:rPr>
          <w:b/>
          <w:bCs/>
        </w:rPr>
        <w:t>Barnes, C. &amp; Mercer, G. (2010)</w:t>
      </w:r>
      <w:r w:rsidRPr="00CB7A4F">
        <w:t xml:space="preserve"> </w:t>
      </w:r>
      <w:r w:rsidRPr="00CB7A4F">
        <w:rPr>
          <w:i/>
          <w:iCs/>
        </w:rPr>
        <w:t>Exploring Disability</w:t>
      </w:r>
      <w:r w:rsidRPr="00CB7A4F">
        <w:t xml:space="preserve">. Cambridge: Polity Press. https://www.politybooks.com/bookdetail/?isbn=9780745634866 </w:t>
      </w:r>
    </w:p>
    <w:p w14:paraId="75B24552" w14:textId="7B409B91" w:rsidR="009B1077" w:rsidRPr="00CB7A4F" w:rsidRDefault="009B1077" w:rsidP="009B1077">
      <w:r w:rsidRPr="00CB7A4F">
        <w:rPr>
          <w:b/>
          <w:bCs/>
        </w:rPr>
        <w:t>Department of Health and Social Care (DHSC) (2014)</w:t>
      </w:r>
      <w:r w:rsidRPr="00CB7A4F">
        <w:t xml:space="preserve"> </w:t>
      </w:r>
      <w:r w:rsidRPr="00CB7A4F">
        <w:rPr>
          <w:i/>
          <w:iCs/>
        </w:rPr>
        <w:t>Care Act 2014: Statutory Guidance</w:t>
      </w:r>
      <w:r w:rsidRPr="00CB7A4F">
        <w:t>. https://www.gov.uk/government/publications/care-act-2014-statutory-guidance</w:t>
      </w:r>
    </w:p>
    <w:p w14:paraId="531A4AE2" w14:textId="39922EDA" w:rsidR="009B1077" w:rsidRPr="00CB7A4F" w:rsidRDefault="009B1077" w:rsidP="009B1077">
      <w:r w:rsidRPr="00CB7A4F">
        <w:rPr>
          <w:b/>
          <w:bCs/>
        </w:rPr>
        <w:t>National Audit Office (NAO) (2022)</w:t>
      </w:r>
      <w:r w:rsidRPr="00CB7A4F">
        <w:t xml:space="preserve"> </w:t>
      </w:r>
      <w:r w:rsidRPr="00CB7A4F">
        <w:rPr>
          <w:i/>
          <w:iCs/>
        </w:rPr>
        <w:t>Adult Social Care: Reforming the Care System</w:t>
      </w:r>
      <w:r w:rsidRPr="00CB7A4F">
        <w:t xml:space="preserve">. https://www.nao.org.uk/reports/adult-social-care-reforming-the-care-system/ </w:t>
      </w:r>
    </w:p>
    <w:p w14:paraId="32B78FC0" w14:textId="381C34AB" w:rsidR="009B1077" w:rsidRPr="00CB7A4F" w:rsidRDefault="009B1077" w:rsidP="009B1077">
      <w:r w:rsidRPr="00CB7A4F">
        <w:rPr>
          <w:b/>
          <w:bCs/>
        </w:rPr>
        <w:t>Sandwell Council (2024)</w:t>
      </w:r>
      <w:r w:rsidRPr="00CB7A4F">
        <w:t xml:space="preserve"> </w:t>
      </w:r>
      <w:r w:rsidRPr="00CB7A4F">
        <w:rPr>
          <w:i/>
          <w:iCs/>
        </w:rPr>
        <w:t>Joint Strategic Needs Assessment</w:t>
      </w:r>
      <w:r w:rsidRPr="00CB7A4F">
        <w:t xml:space="preserve">. https://www.sandwell.gov.uk/strategies-plans-policies/joint-strategic-needs-assessment-jsna </w:t>
      </w:r>
    </w:p>
    <w:p w14:paraId="471295D0" w14:textId="2D1D44F0" w:rsidR="009B1077" w:rsidRPr="00CB7A4F" w:rsidRDefault="009B1077" w:rsidP="009B1077">
      <w:r w:rsidRPr="00CB7A4F">
        <w:rPr>
          <w:b/>
          <w:bCs/>
        </w:rPr>
        <w:t>Skills for Care (2023)</w:t>
      </w:r>
      <w:r w:rsidRPr="00CB7A4F">
        <w:t xml:space="preserve"> </w:t>
      </w:r>
      <w:r w:rsidRPr="00CB7A4F">
        <w:rPr>
          <w:i/>
          <w:iCs/>
        </w:rPr>
        <w:t>State of the Adult Social Care Sector and Workforce</w:t>
      </w:r>
      <w:r w:rsidRPr="00CB7A4F">
        <w:t xml:space="preserve">. https://www.skillsforcare.org.uk/adult-social-care-workforce-data/Workforce-intelligence/Publications/state-of-the-adult-social-care-sector-and-workforce.aspx </w:t>
      </w:r>
    </w:p>
    <w:p w14:paraId="2F0A16F8" w14:textId="77777777" w:rsidR="009B1077" w:rsidRPr="00CB7A4F" w:rsidRDefault="009B1077" w:rsidP="009B1077">
      <w:r w:rsidRPr="00CB7A4F">
        <w:rPr>
          <w:b/>
          <w:bCs/>
        </w:rPr>
        <w:t>Social Care Institute for Excellence (SCIE) (2022)</w:t>
      </w:r>
      <w:r w:rsidRPr="00CB7A4F">
        <w:t xml:space="preserve"> </w:t>
      </w:r>
      <w:r w:rsidRPr="00CB7A4F">
        <w:rPr>
          <w:i/>
          <w:iCs/>
        </w:rPr>
        <w:t>Community-Based Support for Disabled Adults</w:t>
      </w:r>
      <w:r w:rsidRPr="00CB7A4F">
        <w:t xml:space="preserve">. </w:t>
      </w:r>
      <w:hyperlink r:id="rId8" w:tgtFrame="_blank" w:tooltip="www.scie.org.uk" w:history="1">
        <w:r w:rsidRPr="00CB7A4F">
          <w:rPr>
            <w:rStyle w:val="Hyperlink"/>
          </w:rPr>
          <w:t>https://www.scie.org.uk/</w:t>
        </w:r>
      </w:hyperlink>
    </w:p>
    <w:p w14:paraId="311FE9BB" w14:textId="56EA633C" w:rsidR="009B1077" w:rsidRPr="00CB7A4F" w:rsidRDefault="009B1077" w:rsidP="009B1077">
      <w:r w:rsidRPr="00CB7A4F">
        <w:rPr>
          <w:b/>
          <w:bCs/>
        </w:rPr>
        <w:t>UK Government (2023)</w:t>
      </w:r>
      <w:r w:rsidRPr="00CB7A4F">
        <w:t xml:space="preserve"> </w:t>
      </w:r>
      <w:r w:rsidRPr="00CB7A4F">
        <w:rPr>
          <w:i/>
          <w:iCs/>
        </w:rPr>
        <w:t>Adult Social Care in England: Overview</w:t>
      </w:r>
      <w:r w:rsidRPr="00CB7A4F">
        <w:t xml:space="preserve">. https://www.gov.uk/government/publications/adult-social-care-in-england-overview </w:t>
      </w:r>
    </w:p>
    <w:p w14:paraId="11C24D7F" w14:textId="77777777" w:rsidR="00084A61" w:rsidRDefault="00084A61" w:rsidP="00865228">
      <w:pPr>
        <w:spacing w:line="360" w:lineRule="auto"/>
        <w:jc w:val="both"/>
        <w:rPr>
          <w:rFonts w:ascii="Arial" w:hAnsi="Arial" w:cs="Arial"/>
          <w:sz w:val="22"/>
          <w:szCs w:val="22"/>
        </w:rPr>
      </w:pPr>
    </w:p>
    <w:p w14:paraId="0441EF6D" w14:textId="77777777" w:rsidR="00A4382D" w:rsidRDefault="00A4382D" w:rsidP="00865228">
      <w:pPr>
        <w:spacing w:line="360" w:lineRule="auto"/>
        <w:jc w:val="both"/>
        <w:rPr>
          <w:rFonts w:ascii="Arial" w:hAnsi="Arial" w:cs="Arial"/>
          <w:sz w:val="22"/>
          <w:szCs w:val="22"/>
        </w:rPr>
      </w:pPr>
    </w:p>
    <w:p w14:paraId="7DB3ED50" w14:textId="77777777" w:rsidR="00865228" w:rsidRPr="00CF738C" w:rsidRDefault="00865228">
      <w:pPr>
        <w:rPr>
          <w:rFonts w:ascii="Arial" w:hAnsi="Arial" w:cs="Arial"/>
          <w:sz w:val="22"/>
          <w:szCs w:val="22"/>
        </w:rPr>
      </w:pPr>
    </w:p>
    <w:p w14:paraId="20AA5F17" w14:textId="77777777" w:rsidR="00CF738C" w:rsidRDefault="00CF738C">
      <w:pPr>
        <w:rPr>
          <w:rFonts w:ascii="Arial" w:hAnsi="Arial" w:cs="Arial"/>
          <w:b/>
          <w:bCs/>
          <w:sz w:val="22"/>
          <w:szCs w:val="22"/>
        </w:rPr>
      </w:pPr>
    </w:p>
    <w:p w14:paraId="40E7BF56" w14:textId="77777777" w:rsidR="00CF738C" w:rsidRDefault="00CF738C"/>
    <w:p w14:paraId="6397128D" w14:textId="77777777" w:rsidR="003C4167" w:rsidRDefault="003C4167"/>
    <w:p w14:paraId="2C67C7C4" w14:textId="77777777" w:rsidR="003C4167" w:rsidRDefault="003C4167"/>
    <w:p w14:paraId="312A9837" w14:textId="77777777" w:rsidR="003C4167" w:rsidRDefault="003C4167"/>
    <w:p w14:paraId="04820427" w14:textId="77777777" w:rsidR="003C4167" w:rsidRDefault="003C4167"/>
    <w:p w14:paraId="31E3ED44" w14:textId="77777777" w:rsidR="003C4167" w:rsidRDefault="003C4167"/>
    <w:p w14:paraId="1FBCE1C5" w14:textId="77777777" w:rsidR="003C4167" w:rsidRDefault="003C4167"/>
    <w:p w14:paraId="7C80DBEE" w14:textId="536AE59E" w:rsidR="003C4167" w:rsidRPr="003B28D9" w:rsidRDefault="003C4167">
      <w:pPr>
        <w:rPr>
          <w:b/>
          <w:bCs/>
        </w:rPr>
      </w:pPr>
      <w:r w:rsidRPr="003B28D9">
        <w:rPr>
          <w:b/>
          <w:bCs/>
        </w:rPr>
        <w:lastRenderedPageBreak/>
        <w:t>Task 02: Essay</w:t>
      </w:r>
    </w:p>
    <w:p w14:paraId="27753891" w14:textId="77777777" w:rsidR="003C4167" w:rsidRPr="003B28D9" w:rsidRDefault="003C4167">
      <w:pPr>
        <w:rPr>
          <w:b/>
          <w:bCs/>
        </w:rPr>
      </w:pPr>
    </w:p>
    <w:p w14:paraId="657C7BF6" w14:textId="03061271" w:rsidR="003C4167" w:rsidRPr="003B28D9" w:rsidRDefault="003C4167">
      <w:pPr>
        <w:rPr>
          <w:b/>
          <w:bCs/>
        </w:rPr>
      </w:pPr>
      <w:r w:rsidRPr="003B28D9">
        <w:rPr>
          <w:b/>
          <w:bCs/>
        </w:rPr>
        <w:t>Pharmacy Services</w:t>
      </w:r>
    </w:p>
    <w:p w14:paraId="224A1C60" w14:textId="77777777" w:rsidR="003C4167" w:rsidRPr="003B28D9" w:rsidRDefault="003C4167">
      <w:pPr>
        <w:rPr>
          <w:b/>
          <w:bCs/>
        </w:rPr>
      </w:pPr>
    </w:p>
    <w:p w14:paraId="05556BB8" w14:textId="0723E937" w:rsidR="003C4167" w:rsidRPr="003B28D9" w:rsidRDefault="003C4167">
      <w:pPr>
        <w:rPr>
          <w:b/>
          <w:bCs/>
        </w:rPr>
      </w:pPr>
      <w:r w:rsidRPr="003B28D9">
        <w:rPr>
          <w:b/>
          <w:bCs/>
        </w:rPr>
        <w:t>Introduction</w:t>
      </w:r>
    </w:p>
    <w:p w14:paraId="75D43CBD" w14:textId="77777777" w:rsidR="00EF0115" w:rsidRDefault="00EF0115" w:rsidP="00634DF2">
      <w:pPr>
        <w:spacing w:line="360" w:lineRule="auto"/>
        <w:jc w:val="both"/>
      </w:pPr>
    </w:p>
    <w:p w14:paraId="12B7CCA8" w14:textId="0F5E8741" w:rsidR="00EF0115" w:rsidRDefault="00EF0115" w:rsidP="00634DF2">
      <w:pPr>
        <w:spacing w:line="360" w:lineRule="auto"/>
        <w:jc w:val="both"/>
      </w:pPr>
      <w:r>
        <w:t xml:space="preserve">Pharmacy services are fundamental to the United Kingdom’s healthcare system, providing essential access to medicines, clinical advice, and preventative interventions. As one of the most accessible healthcare services, pharmacies support individuals in managing long-term conditions, treating minor illnesses, and improving overall wellbeing. The role of pharmacy has expanded significantly, shifting from traditional dispensing to a more clinical, patient-centred model. This development has been shaped by scientific advancements, legislative reforms, and increasing demand for community-based healthcare. Today, pharmacies operate as vital health hubs within local </w:t>
      </w:r>
      <w:r w:rsidR="00634DF2">
        <w:t>communities</w:t>
      </w:r>
      <w:r>
        <w:t xml:space="preserve">, reducing pressure on general practice and supporting </w:t>
      </w:r>
      <w:r w:rsidR="00634DF2">
        <w:t>early</w:t>
      </w:r>
      <w:r>
        <w:t xml:space="preserve"> intervention and self-care. </w:t>
      </w:r>
      <w:r w:rsidR="00634DF2">
        <w:t>Their</w:t>
      </w:r>
      <w:r>
        <w:t xml:space="preserve"> accessibility, extended opening </w:t>
      </w:r>
      <w:r w:rsidR="00634DF2">
        <w:t>hours</w:t>
      </w:r>
      <w:r>
        <w:t>, and walk-in</w:t>
      </w:r>
      <w:r w:rsidR="00634DF2">
        <w:t xml:space="preserve"> </w:t>
      </w:r>
      <w:r>
        <w:t xml:space="preserve">nature make them a crucial point of contact for individuals seeking immediate healthcare support. This essay explains the origins and </w:t>
      </w:r>
      <w:r w:rsidR="00634DF2">
        <w:t>development</w:t>
      </w:r>
      <w:r>
        <w:t xml:space="preserve"> of pharmacy services, describes their current </w:t>
      </w:r>
      <w:r w:rsidR="00634DF2">
        <w:t>functioning</w:t>
      </w:r>
      <w:r>
        <w:t xml:space="preserve">, and critically evaluates </w:t>
      </w:r>
      <w:r w:rsidR="00634DF2">
        <w:t>their</w:t>
      </w:r>
      <w:r>
        <w:t xml:space="preserve"> strengths, </w:t>
      </w:r>
      <w:r w:rsidR="00634DF2">
        <w:t>limitations</w:t>
      </w:r>
      <w:r>
        <w:t xml:space="preserve">, and </w:t>
      </w:r>
      <w:r w:rsidR="00634DF2">
        <w:t>significance</w:t>
      </w:r>
      <w:r>
        <w:t xml:space="preserve"> for service </w:t>
      </w:r>
      <w:r w:rsidR="00634DF2">
        <w:t>users</w:t>
      </w:r>
      <w:r>
        <w:t xml:space="preserve"> in contemporary healthcare. </w:t>
      </w:r>
    </w:p>
    <w:p w14:paraId="109AF060" w14:textId="77777777" w:rsidR="00634DF2" w:rsidRDefault="00634DF2" w:rsidP="00634DF2">
      <w:pPr>
        <w:spacing w:line="360" w:lineRule="auto"/>
        <w:jc w:val="both"/>
      </w:pPr>
    </w:p>
    <w:p w14:paraId="74A18CA9" w14:textId="4CC1FAF3" w:rsidR="00634DF2" w:rsidRPr="003B28D9" w:rsidRDefault="00634DF2" w:rsidP="00634DF2">
      <w:pPr>
        <w:spacing w:line="360" w:lineRule="auto"/>
        <w:jc w:val="both"/>
        <w:rPr>
          <w:b/>
          <w:bCs/>
        </w:rPr>
      </w:pPr>
      <w:r w:rsidRPr="003B28D9">
        <w:rPr>
          <w:b/>
          <w:bCs/>
        </w:rPr>
        <w:t xml:space="preserve">Historical Context and Current Function </w:t>
      </w:r>
    </w:p>
    <w:p w14:paraId="7E2EB270" w14:textId="77777777" w:rsidR="00634DF2" w:rsidRDefault="00634DF2" w:rsidP="00634DF2">
      <w:pPr>
        <w:spacing w:line="360" w:lineRule="auto"/>
        <w:jc w:val="both"/>
      </w:pPr>
    </w:p>
    <w:p w14:paraId="058404C5" w14:textId="77777777" w:rsidR="00A17C0F" w:rsidRDefault="00634DF2" w:rsidP="00634DF2">
      <w:pPr>
        <w:spacing w:line="360" w:lineRule="auto"/>
        <w:jc w:val="both"/>
      </w:pPr>
      <w:r>
        <w:t>Pharmacy services evolved from early apothecary practice, where herbal remedies and medicinal preparations were supplied based on traditional knowledge and early pharmacology. Apothecaries played a central role in communities, offering advice and preparing medicines long before formal medical regulation existed. During the 19</w:t>
      </w:r>
      <w:r w:rsidRPr="00634DF2">
        <w:rPr>
          <w:vertAlign w:val="superscript"/>
        </w:rPr>
        <w:t>th</w:t>
      </w:r>
      <w:r>
        <w:t xml:space="preserve"> century, pharmacy became a recognised and regulated profession, influenced by scientific discoveries such as vaccines, antibiotics, and modern drug development </w:t>
      </w:r>
      <w:r>
        <w:lastRenderedPageBreak/>
        <w:t xml:space="preserve">(Anderson 2005). The Industrial Revolution and advances in chemistry transformed pharmacy from small-scale preparation </w:t>
      </w:r>
      <w:proofErr w:type="gramStart"/>
      <w:r>
        <w:t>to</w:t>
      </w:r>
      <w:proofErr w:type="gramEnd"/>
      <w:r>
        <w:t xml:space="preserve"> large-scale pharmaceutical manufacturing.</w:t>
      </w:r>
    </w:p>
    <w:p w14:paraId="048D7B26" w14:textId="77777777" w:rsidR="00A17C0F" w:rsidRDefault="00A17C0F" w:rsidP="00634DF2">
      <w:pPr>
        <w:spacing w:line="360" w:lineRule="auto"/>
        <w:jc w:val="both"/>
      </w:pPr>
    </w:p>
    <w:p w14:paraId="0510F9D3" w14:textId="77777777" w:rsidR="00A17C0F" w:rsidRDefault="00A17C0F" w:rsidP="00634DF2">
      <w:pPr>
        <w:spacing w:line="360" w:lineRule="auto"/>
        <w:jc w:val="both"/>
      </w:pPr>
      <w:r>
        <w:t>The establishment of the National Health Service (NHS) in 1948 further shaped pharmacy services by formalising access to medicines and integrating pharmacists into primary care (NHS England 2023). The Medicines Act 1968 strengthened regulation, ensuring safety, quality, and professional standards across the sector. This legislation marked a turning point, establishing clear rules for prescribing, dispensing, and storing medicines.</w:t>
      </w:r>
    </w:p>
    <w:p w14:paraId="5A48EE96" w14:textId="77777777" w:rsidR="00A17C0F" w:rsidRDefault="00A17C0F" w:rsidP="00634DF2">
      <w:pPr>
        <w:spacing w:line="360" w:lineRule="auto"/>
        <w:jc w:val="both"/>
      </w:pPr>
    </w:p>
    <w:p w14:paraId="1A587B20" w14:textId="77777777" w:rsidR="00706761" w:rsidRDefault="00170AB3" w:rsidP="00634DF2">
      <w:pPr>
        <w:spacing w:line="360" w:lineRule="auto"/>
        <w:jc w:val="both"/>
      </w:pPr>
      <w:r>
        <w:t xml:space="preserve">Today, pharmacy services </w:t>
      </w:r>
      <w:r w:rsidR="00706761">
        <w:t>operate</w:t>
      </w:r>
      <w:r>
        <w:t xml:space="preserve"> as an essential part of primary healthcare. Community pharmacies provide prescription </w:t>
      </w:r>
      <w:r w:rsidR="00706761">
        <w:t>dispensing</w:t>
      </w:r>
      <w:r>
        <w:t xml:space="preserve">, over-the-counter medicines, clinical consultations, and public health services such as smoking cessation, blood pressure checks, contraception services, and vaccinations. </w:t>
      </w:r>
      <w:r w:rsidR="00706761">
        <w:t>Pharmacists</w:t>
      </w:r>
      <w:r>
        <w:t xml:space="preserve"> also support long-term conditions through medication reviews, adherence support, and </w:t>
      </w:r>
      <w:r w:rsidR="00706761">
        <w:t>monitoring</w:t>
      </w:r>
      <w:r>
        <w:t xml:space="preserve"> (Royal Pharmaceutical Society 2022). The introduction of the NHS Pharmacy </w:t>
      </w:r>
      <w:r w:rsidR="00706761">
        <w:t>First</w:t>
      </w:r>
      <w:r>
        <w:t xml:space="preserve"> Service in 2024 </w:t>
      </w:r>
      <w:r w:rsidR="00706761">
        <w:t>expanded</w:t>
      </w:r>
      <w:r>
        <w:t xml:space="preserve"> pharmacies’ clinical </w:t>
      </w:r>
      <w:r w:rsidR="00706761">
        <w:t>responsibilities</w:t>
      </w:r>
      <w:r>
        <w:t xml:space="preserve">, enabling them to </w:t>
      </w:r>
      <w:r w:rsidR="00706761">
        <w:t>treat minor</w:t>
      </w:r>
      <w:r>
        <w:t xml:space="preserve"> illnesses and supply </w:t>
      </w:r>
      <w:r w:rsidR="00706761">
        <w:t>prescription-only</w:t>
      </w:r>
      <w:r>
        <w:t xml:space="preserve"> medicines under specific protocols (NHS England 2024). Pharmacies now </w:t>
      </w:r>
      <w:r w:rsidR="00706761">
        <w:t>function</w:t>
      </w:r>
      <w:r>
        <w:t xml:space="preserve"> as accessible, community-based health hubs. </w:t>
      </w:r>
      <w:r w:rsidR="00FB5770">
        <w:t xml:space="preserve">Their extended opening hours, walk-in availability, and </w:t>
      </w:r>
      <w:r w:rsidR="00706761">
        <w:t>integration</w:t>
      </w:r>
      <w:r w:rsidR="00FB5770">
        <w:t xml:space="preserve"> with digital systems make them a vital point of contact for timely healthcare support services.</w:t>
      </w:r>
    </w:p>
    <w:p w14:paraId="54C07CC0" w14:textId="77777777" w:rsidR="00706761" w:rsidRDefault="00706761" w:rsidP="00634DF2">
      <w:pPr>
        <w:spacing w:line="360" w:lineRule="auto"/>
        <w:jc w:val="both"/>
      </w:pPr>
    </w:p>
    <w:p w14:paraId="025E8BA3" w14:textId="77777777" w:rsidR="008C6370" w:rsidRPr="003B28D9" w:rsidRDefault="008C6370" w:rsidP="00634DF2">
      <w:pPr>
        <w:spacing w:line="360" w:lineRule="auto"/>
        <w:jc w:val="both"/>
        <w:rPr>
          <w:b/>
          <w:bCs/>
        </w:rPr>
      </w:pPr>
      <w:r w:rsidRPr="003B28D9">
        <w:rPr>
          <w:b/>
          <w:bCs/>
        </w:rPr>
        <w:t>Critical Evaluation and Significance for Service Users</w:t>
      </w:r>
      <w:r w:rsidR="00FB5770" w:rsidRPr="003B28D9">
        <w:rPr>
          <w:b/>
          <w:bCs/>
        </w:rPr>
        <w:t xml:space="preserve"> </w:t>
      </w:r>
    </w:p>
    <w:p w14:paraId="563B9220" w14:textId="77777777" w:rsidR="008C6370" w:rsidRDefault="008C6370" w:rsidP="00634DF2">
      <w:pPr>
        <w:spacing w:line="360" w:lineRule="auto"/>
        <w:jc w:val="both"/>
      </w:pPr>
    </w:p>
    <w:p w14:paraId="798B3825" w14:textId="77777777" w:rsidR="00F8076B" w:rsidRDefault="008C6370" w:rsidP="00634DF2">
      <w:pPr>
        <w:spacing w:line="360" w:lineRule="auto"/>
        <w:jc w:val="both"/>
      </w:pPr>
      <w:r>
        <w:t xml:space="preserve">Pharmacy </w:t>
      </w:r>
      <w:r w:rsidR="00F8076B">
        <w:t>services significantly</w:t>
      </w:r>
      <w:r>
        <w:t xml:space="preserve"> enhance quality of life by improving access to healthcare, supporting medication management, and providing preventative health interventions</w:t>
      </w:r>
      <w:r w:rsidR="00F8076B">
        <w:t>.</w:t>
      </w:r>
      <w:r>
        <w:t xml:space="preserve"> For individuals with chronic conditions such as diabetes, </w:t>
      </w:r>
      <w:r w:rsidR="00F8076B">
        <w:t>asthma</w:t>
      </w:r>
      <w:r>
        <w:t xml:space="preserve">, or hypertension, pharmacists offer essential guidance that helps </w:t>
      </w:r>
      <w:r w:rsidR="00F8076B">
        <w:t>maintain</w:t>
      </w:r>
      <w:r>
        <w:t xml:space="preserve"> stability and reduces hospital admissions (PSNC 2023). Their accessibility is a major strength; pharmacies are </w:t>
      </w:r>
      <w:r w:rsidR="00F8076B">
        <w:t>often located within</w:t>
      </w:r>
      <w:r>
        <w:t xml:space="preserve"> communities, open outside typical GP hours, and </w:t>
      </w:r>
      <w:r>
        <w:lastRenderedPageBreak/>
        <w:t xml:space="preserve">do not </w:t>
      </w:r>
      <w:r w:rsidR="00F8076B">
        <w:t>require appointments</w:t>
      </w:r>
      <w:r>
        <w:t xml:space="preserve">. This makes them particularly valuable for individuals who </w:t>
      </w:r>
      <w:r w:rsidR="00F8076B">
        <w:t>face barriers</w:t>
      </w:r>
      <w:r>
        <w:t xml:space="preserve"> </w:t>
      </w:r>
      <w:r w:rsidR="00F8076B">
        <w:t xml:space="preserve">to </w:t>
      </w:r>
      <w:r>
        <w:t xml:space="preserve">accessing GP services, such as </w:t>
      </w:r>
      <w:r w:rsidR="00F8076B">
        <w:t>carers</w:t>
      </w:r>
      <w:r>
        <w:t xml:space="preserve">, shift </w:t>
      </w:r>
      <w:r w:rsidR="00F8076B">
        <w:t>workers</w:t>
      </w:r>
      <w:r>
        <w:t xml:space="preserve">, or those with </w:t>
      </w:r>
      <w:r w:rsidR="00F8076B">
        <w:t>mobility</w:t>
      </w:r>
      <w:r>
        <w:t xml:space="preserve"> issues.</w:t>
      </w:r>
    </w:p>
    <w:p w14:paraId="2D53C37C" w14:textId="77777777" w:rsidR="00F8076B" w:rsidRDefault="00F8076B" w:rsidP="00634DF2">
      <w:pPr>
        <w:spacing w:line="360" w:lineRule="auto"/>
        <w:jc w:val="both"/>
      </w:pPr>
    </w:p>
    <w:p w14:paraId="76FE17E6" w14:textId="77777777" w:rsidR="008E4083" w:rsidRDefault="008E4083" w:rsidP="00634DF2">
      <w:pPr>
        <w:spacing w:line="360" w:lineRule="auto"/>
        <w:jc w:val="both"/>
      </w:pPr>
      <w:r>
        <w:t xml:space="preserve">Pharmacy services also contribute to public health by offering vaccinations, health screening, and lifestyle support. These interventions help detect health issues early and reduce the burden on secondary care. Pharmacists’ expertise in medicines ensures safe dispensing, reduces medication errors, and supports adherence, which is crucial for managing long-term conditions. </w:t>
      </w:r>
    </w:p>
    <w:p w14:paraId="31F80BF8" w14:textId="77777777" w:rsidR="008E4083" w:rsidRDefault="008E4083" w:rsidP="00634DF2">
      <w:pPr>
        <w:spacing w:line="360" w:lineRule="auto"/>
        <w:jc w:val="both"/>
      </w:pPr>
    </w:p>
    <w:p w14:paraId="21EF0C6E" w14:textId="77777777" w:rsidR="00C24F71" w:rsidRDefault="008E4083" w:rsidP="00634DF2">
      <w:pPr>
        <w:spacing w:line="360" w:lineRule="auto"/>
        <w:jc w:val="both"/>
      </w:pPr>
      <w:r>
        <w:t xml:space="preserve">However, </w:t>
      </w:r>
      <w:r w:rsidR="00C24F71">
        <w:t>several</w:t>
      </w:r>
      <w:r>
        <w:t xml:space="preserve"> challenges affect the effectiveness of pharmacy </w:t>
      </w:r>
      <w:r w:rsidR="00C24F71">
        <w:t>services</w:t>
      </w:r>
      <w:r>
        <w:t xml:space="preserve"> today. Workforce shortages, funding pressures, and increasing demand have </w:t>
      </w:r>
      <w:r w:rsidR="00C24F71">
        <w:t>placed</w:t>
      </w:r>
      <w:r>
        <w:t xml:space="preserve"> considerable strain on community pharmacies. Many pharmacies have closed in recent years </w:t>
      </w:r>
      <w:r w:rsidR="00C24F71">
        <w:t>due to</w:t>
      </w:r>
      <w:r>
        <w:t xml:space="preserve"> financial pressures, reducing </w:t>
      </w:r>
      <w:r w:rsidR="00C24F71">
        <w:t>access for</w:t>
      </w:r>
      <w:r>
        <w:t xml:space="preserve"> vulnerable </w:t>
      </w:r>
      <w:r w:rsidR="00C24F71">
        <w:t>populations</w:t>
      </w:r>
      <w:r>
        <w:t xml:space="preserve"> (Health Foundation 2023). Additionally, while </w:t>
      </w:r>
      <w:r w:rsidR="00C24F71">
        <w:t>pharmacists’</w:t>
      </w:r>
      <w:r>
        <w:t xml:space="preserve"> clinical roles have expanded, some individuals remain unaware of </w:t>
      </w:r>
      <w:r w:rsidR="00C24F71">
        <w:t>the</w:t>
      </w:r>
      <w:r>
        <w:t xml:space="preserve"> full range of services available, limiting uptake. Pharmacies also face limitations in managing complex </w:t>
      </w:r>
      <w:r w:rsidR="00C24F71">
        <w:t>medical</w:t>
      </w:r>
      <w:r>
        <w:t xml:space="preserve"> conditions. Although</w:t>
      </w:r>
      <w:r w:rsidR="00C24F71">
        <w:t xml:space="preserve"> pharmacists can treat minor illnesses and support long-term conditions, they cannot replace GP or specialist care. Digital integration, while improving efficiency, also presents challenges for older adults or individuals with limited digital literacy.</w:t>
      </w:r>
    </w:p>
    <w:p w14:paraId="5EF61115" w14:textId="77777777" w:rsidR="00C24F71" w:rsidRDefault="00C24F71" w:rsidP="00634DF2">
      <w:pPr>
        <w:spacing w:line="360" w:lineRule="auto"/>
        <w:jc w:val="both"/>
      </w:pPr>
    </w:p>
    <w:p w14:paraId="08FFAF1A" w14:textId="57966CA5" w:rsidR="00C24F71" w:rsidRPr="003B28D9" w:rsidRDefault="00C24F71" w:rsidP="00634DF2">
      <w:pPr>
        <w:spacing w:line="360" w:lineRule="auto"/>
        <w:jc w:val="both"/>
        <w:rPr>
          <w:b/>
          <w:bCs/>
        </w:rPr>
      </w:pPr>
      <w:r w:rsidRPr="003B28D9">
        <w:rPr>
          <w:b/>
          <w:bCs/>
        </w:rPr>
        <w:t>Conclusion</w:t>
      </w:r>
    </w:p>
    <w:p w14:paraId="4B423F59" w14:textId="77777777" w:rsidR="00C24F71" w:rsidRDefault="00C24F71" w:rsidP="00634DF2">
      <w:pPr>
        <w:spacing w:line="360" w:lineRule="auto"/>
        <w:jc w:val="both"/>
      </w:pPr>
    </w:p>
    <w:p w14:paraId="7642B1BE" w14:textId="6C3D9F71" w:rsidR="00C24F71" w:rsidRDefault="00C24F71" w:rsidP="00634DF2">
      <w:pPr>
        <w:spacing w:line="360" w:lineRule="auto"/>
        <w:jc w:val="both"/>
      </w:pPr>
      <w:r>
        <w:t xml:space="preserve">Pharmacy services have </w:t>
      </w:r>
      <w:r w:rsidR="000E0800">
        <w:t>developed from</w:t>
      </w:r>
      <w:r>
        <w:t xml:space="preserve"> traditional apothecary practice into a modern, clinically </w:t>
      </w:r>
      <w:r w:rsidR="000E0800">
        <w:t>focused</w:t>
      </w:r>
      <w:r>
        <w:t xml:space="preserve"> component of primary healthcare. Their evolution has been shaped by scientific progress, legislation, and changing public health needs. </w:t>
      </w:r>
      <w:r w:rsidR="000E0800">
        <w:t>Today</w:t>
      </w:r>
      <w:r>
        <w:t xml:space="preserve">, pharmacies provide essential access to medicines, clinical advice, and preventative health services that significantly improve quality of life. Although challenges such as funding pressures and workforce shortages </w:t>
      </w:r>
      <w:r w:rsidR="000E0800">
        <w:t>persist</w:t>
      </w:r>
      <w:r>
        <w:t>, pharmacy services remain vital for supporting long-</w:t>
      </w:r>
      <w:r>
        <w:lastRenderedPageBreak/>
        <w:t xml:space="preserve">term </w:t>
      </w:r>
      <w:r w:rsidR="000E0800">
        <w:t>conditions</w:t>
      </w:r>
      <w:r>
        <w:t xml:space="preserve">, reducing GP workload, and improving accessibility. Strengthening investment and public awareness will ensure that pharmacy services continue to play a central role in the UK’s healthcare system. </w:t>
      </w:r>
    </w:p>
    <w:p w14:paraId="54765878" w14:textId="77777777" w:rsidR="00585B2F" w:rsidRDefault="00585B2F" w:rsidP="00634DF2">
      <w:pPr>
        <w:spacing w:line="360" w:lineRule="auto"/>
        <w:jc w:val="both"/>
      </w:pPr>
    </w:p>
    <w:p w14:paraId="6150674E" w14:textId="4140A2BA" w:rsidR="00585B2F" w:rsidRPr="003B28D9" w:rsidRDefault="00585B2F" w:rsidP="00634DF2">
      <w:pPr>
        <w:spacing w:line="360" w:lineRule="auto"/>
        <w:jc w:val="both"/>
        <w:rPr>
          <w:b/>
          <w:bCs/>
        </w:rPr>
      </w:pPr>
      <w:r w:rsidRPr="003B28D9">
        <w:rPr>
          <w:b/>
          <w:bCs/>
        </w:rPr>
        <w:t xml:space="preserve">Reference </w:t>
      </w:r>
    </w:p>
    <w:p w14:paraId="531C12D2" w14:textId="77777777" w:rsidR="00585B2F" w:rsidRDefault="00585B2F" w:rsidP="00634DF2">
      <w:pPr>
        <w:spacing w:line="360" w:lineRule="auto"/>
        <w:jc w:val="both"/>
      </w:pPr>
    </w:p>
    <w:p w14:paraId="62D7B8D0" w14:textId="2312618C" w:rsidR="00585B2F" w:rsidRPr="00496B45" w:rsidRDefault="00585B2F" w:rsidP="00585B2F">
      <w:r w:rsidRPr="00496B45">
        <w:t xml:space="preserve">Anderson, S. (2005) </w:t>
      </w:r>
      <w:r w:rsidRPr="00496B45">
        <w:rPr>
          <w:i/>
          <w:iCs/>
        </w:rPr>
        <w:t>Making Medicines: A Brief History of Pharmacy and Pharmaceuticals</w:t>
      </w:r>
      <w:r w:rsidRPr="00496B45">
        <w:t xml:space="preserve">. London: Pharmaceutical Press. https://www.pharmaceuticalpress.com/publication/making-medicines </w:t>
      </w:r>
    </w:p>
    <w:p w14:paraId="08D9E6FF" w14:textId="77777777" w:rsidR="00585B2F" w:rsidRPr="00496B45" w:rsidRDefault="00585B2F" w:rsidP="00585B2F">
      <w:r w:rsidRPr="00496B45">
        <w:t xml:space="preserve">Health Foundation (2023) </w:t>
      </w:r>
      <w:r w:rsidRPr="00496B45">
        <w:rPr>
          <w:i/>
          <w:iCs/>
        </w:rPr>
        <w:t>Community Pharmacy Closures in England</w:t>
      </w:r>
      <w:r w:rsidRPr="00496B45">
        <w:t xml:space="preserve">. </w:t>
      </w:r>
      <w:hyperlink r:id="rId9" w:tgtFrame="_blank" w:tooltip="www.health.org.uk" w:history="1">
        <w:r w:rsidRPr="00496B45">
          <w:rPr>
            <w:rStyle w:val="Hyperlink"/>
          </w:rPr>
          <w:t>https://www.health.org.uk</w:t>
        </w:r>
      </w:hyperlink>
    </w:p>
    <w:p w14:paraId="2A7F798A" w14:textId="77777777" w:rsidR="00585B2F" w:rsidRPr="00496B45" w:rsidRDefault="00585B2F" w:rsidP="00585B2F">
      <w:r w:rsidRPr="00496B45">
        <w:t xml:space="preserve">NHS England (2023) </w:t>
      </w:r>
      <w:r w:rsidRPr="00496B45">
        <w:rPr>
          <w:i/>
          <w:iCs/>
        </w:rPr>
        <w:t>The Role of Community Pharmacy in the NHS</w:t>
      </w:r>
      <w:r w:rsidRPr="00496B45">
        <w:t xml:space="preserve">. </w:t>
      </w:r>
      <w:hyperlink r:id="rId10" w:tgtFrame="_blank" w:tooltip="www.england.nhs.uk" w:history="1">
        <w:r w:rsidRPr="00496B45">
          <w:rPr>
            <w:rStyle w:val="Hyperlink"/>
          </w:rPr>
          <w:t>https://www.england.nhs.uk</w:t>
        </w:r>
      </w:hyperlink>
    </w:p>
    <w:p w14:paraId="77665FBF" w14:textId="7F380485" w:rsidR="00585B2F" w:rsidRPr="00496B45" w:rsidRDefault="00585B2F" w:rsidP="00585B2F">
      <w:r w:rsidRPr="00496B45">
        <w:t xml:space="preserve">NHS England (2024) </w:t>
      </w:r>
      <w:r w:rsidRPr="00496B45">
        <w:rPr>
          <w:i/>
          <w:iCs/>
        </w:rPr>
        <w:t>Pharmacy First Service Guidance</w:t>
      </w:r>
      <w:r w:rsidRPr="00496B45">
        <w:t xml:space="preserve">. https://www.england.nhs.uk/primary-care/pharmacy/pharmacy-first </w:t>
      </w:r>
    </w:p>
    <w:p w14:paraId="2D742091" w14:textId="77777777" w:rsidR="00585B2F" w:rsidRPr="00496B45" w:rsidRDefault="00585B2F" w:rsidP="00585B2F">
      <w:r w:rsidRPr="00496B45">
        <w:t xml:space="preserve">Pharmaceutical Services Negotiating Committee (PSNC) (2023) </w:t>
      </w:r>
      <w:r w:rsidRPr="00496B45">
        <w:rPr>
          <w:i/>
          <w:iCs/>
        </w:rPr>
        <w:t>Community Pharmacy Services Overview</w:t>
      </w:r>
      <w:r w:rsidRPr="00496B45">
        <w:t xml:space="preserve">. </w:t>
      </w:r>
      <w:hyperlink r:id="rId11" w:tgtFrame="_blank" w:tooltip="psnc.org.uk" w:history="1">
        <w:r w:rsidRPr="00496B45">
          <w:rPr>
            <w:rStyle w:val="Hyperlink"/>
          </w:rPr>
          <w:t>https://psnc.org.uk</w:t>
        </w:r>
      </w:hyperlink>
    </w:p>
    <w:p w14:paraId="5B123005" w14:textId="77777777" w:rsidR="00585B2F" w:rsidRPr="00496B45" w:rsidRDefault="00585B2F" w:rsidP="00585B2F">
      <w:r w:rsidRPr="00496B45">
        <w:t xml:space="preserve">Royal Pharmaceutical Society (2022) </w:t>
      </w:r>
      <w:r w:rsidRPr="00496B45">
        <w:rPr>
          <w:i/>
          <w:iCs/>
        </w:rPr>
        <w:t>The Future of Pharmacy Practice</w:t>
      </w:r>
      <w:r w:rsidRPr="00496B45">
        <w:t xml:space="preserve">. </w:t>
      </w:r>
      <w:hyperlink r:id="rId12" w:tgtFrame="_blank" w:tooltip="www.rpharms.com" w:history="1">
        <w:r w:rsidRPr="00496B45">
          <w:rPr>
            <w:rStyle w:val="Hyperlink"/>
          </w:rPr>
          <w:t>https://www.rpharms.com</w:t>
        </w:r>
      </w:hyperlink>
    </w:p>
    <w:p w14:paraId="63C90562" w14:textId="7B6D8081" w:rsidR="00585B2F" w:rsidRPr="00496B45" w:rsidRDefault="00585B2F" w:rsidP="00585B2F">
      <w:r w:rsidRPr="00496B45">
        <w:t xml:space="preserve">World Health </w:t>
      </w:r>
      <w:r>
        <w:t>Organisation</w:t>
      </w:r>
      <w:r w:rsidRPr="00496B45">
        <w:t xml:space="preserve"> (2022) </w:t>
      </w:r>
      <w:r w:rsidRPr="00496B45">
        <w:rPr>
          <w:i/>
          <w:iCs/>
        </w:rPr>
        <w:t>Pharmaceutical Care and Medication Safety</w:t>
      </w:r>
      <w:r w:rsidRPr="00496B45">
        <w:t xml:space="preserve">. </w:t>
      </w:r>
      <w:hyperlink r:id="rId13" w:tgtFrame="_blank" w:tooltip="www.who.int" w:history="1">
        <w:r w:rsidRPr="00496B45">
          <w:rPr>
            <w:rStyle w:val="Hyperlink"/>
          </w:rPr>
          <w:t>https://www.who.int</w:t>
        </w:r>
      </w:hyperlink>
    </w:p>
    <w:p w14:paraId="7627759B" w14:textId="77777777" w:rsidR="00585B2F" w:rsidRDefault="00585B2F" w:rsidP="00634DF2">
      <w:pPr>
        <w:spacing w:line="360" w:lineRule="auto"/>
        <w:jc w:val="both"/>
      </w:pPr>
    </w:p>
    <w:p w14:paraId="373DCF2F" w14:textId="53ED221B" w:rsidR="00634DF2" w:rsidRDefault="008C6370" w:rsidP="00634DF2">
      <w:pPr>
        <w:spacing w:line="360" w:lineRule="auto"/>
        <w:jc w:val="both"/>
      </w:pPr>
      <w:r>
        <w:t xml:space="preserve"> </w:t>
      </w:r>
      <w:r w:rsidR="00A17C0F">
        <w:t xml:space="preserve"> </w:t>
      </w:r>
      <w:r w:rsidR="00634DF2">
        <w:t xml:space="preserve"> </w:t>
      </w:r>
    </w:p>
    <w:p w14:paraId="0534FB78" w14:textId="77777777" w:rsidR="003C4167" w:rsidRDefault="003C4167"/>
    <w:p w14:paraId="7CE620E5" w14:textId="77777777" w:rsidR="003C4167" w:rsidRDefault="003C4167"/>
    <w:sectPr w:rsidR="003C4167">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92ABE" w14:textId="77777777" w:rsidR="00C012B6" w:rsidRDefault="00C012B6" w:rsidP="00CF738C">
      <w:pPr>
        <w:spacing w:after="0" w:line="240" w:lineRule="auto"/>
      </w:pPr>
      <w:r>
        <w:separator/>
      </w:r>
    </w:p>
  </w:endnote>
  <w:endnote w:type="continuationSeparator" w:id="0">
    <w:p w14:paraId="45ACB425" w14:textId="77777777" w:rsidR="00C012B6" w:rsidRDefault="00C012B6" w:rsidP="00CF73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Iskoola Pota">
    <w:charset w:val="00"/>
    <w:family w:val="swiss"/>
    <w:pitch w:val="variable"/>
    <w:sig w:usb0="00000003" w:usb1="00000000" w:usb2="000002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9439328"/>
      <w:docPartObj>
        <w:docPartGallery w:val="Page Numbers (Bottom of Page)"/>
        <w:docPartUnique/>
      </w:docPartObj>
    </w:sdtPr>
    <w:sdtContent>
      <w:p w14:paraId="605DAD77" w14:textId="69C25D35" w:rsidR="00CF738C" w:rsidRDefault="00CF738C">
        <w:pPr>
          <w:pStyle w:val="Footer"/>
          <w:jc w:val="center"/>
        </w:pPr>
        <w:r>
          <w:fldChar w:fldCharType="begin"/>
        </w:r>
        <w:r>
          <w:instrText>PAGE   \* MERGEFORMAT</w:instrText>
        </w:r>
        <w:r>
          <w:fldChar w:fldCharType="separate"/>
        </w:r>
        <w:r>
          <w:t>2</w:t>
        </w:r>
        <w:r>
          <w:fldChar w:fldCharType="end"/>
        </w:r>
      </w:p>
    </w:sdtContent>
  </w:sdt>
  <w:p w14:paraId="2D45FA3F" w14:textId="77777777" w:rsidR="00CF738C" w:rsidRDefault="00CF73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FFD8B2" w14:textId="77777777" w:rsidR="00C012B6" w:rsidRDefault="00C012B6" w:rsidP="00CF738C">
      <w:pPr>
        <w:spacing w:after="0" w:line="240" w:lineRule="auto"/>
      </w:pPr>
      <w:r>
        <w:separator/>
      </w:r>
    </w:p>
  </w:footnote>
  <w:footnote w:type="continuationSeparator" w:id="0">
    <w:p w14:paraId="21E4E6AE" w14:textId="77777777" w:rsidR="00C012B6" w:rsidRDefault="00C012B6" w:rsidP="00CF73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26B1D"/>
    <w:multiLevelType w:val="hybridMultilevel"/>
    <w:tmpl w:val="0DDE68C2"/>
    <w:lvl w:ilvl="0" w:tplc="6CBCF88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5169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38C"/>
    <w:rsid w:val="00014328"/>
    <w:rsid w:val="00084A61"/>
    <w:rsid w:val="00094896"/>
    <w:rsid w:val="000E0800"/>
    <w:rsid w:val="00170AB3"/>
    <w:rsid w:val="001D2780"/>
    <w:rsid w:val="003B28D9"/>
    <w:rsid w:val="003C4167"/>
    <w:rsid w:val="004E34B5"/>
    <w:rsid w:val="004F315D"/>
    <w:rsid w:val="00585B2F"/>
    <w:rsid w:val="005E69E7"/>
    <w:rsid w:val="00634DF2"/>
    <w:rsid w:val="00706761"/>
    <w:rsid w:val="00865228"/>
    <w:rsid w:val="008C6370"/>
    <w:rsid w:val="008E4083"/>
    <w:rsid w:val="009673A4"/>
    <w:rsid w:val="009B1077"/>
    <w:rsid w:val="00A17C0F"/>
    <w:rsid w:val="00A4382D"/>
    <w:rsid w:val="00AF1D53"/>
    <w:rsid w:val="00B23DD9"/>
    <w:rsid w:val="00B57F32"/>
    <w:rsid w:val="00BE5CEC"/>
    <w:rsid w:val="00C012B6"/>
    <w:rsid w:val="00C24F71"/>
    <w:rsid w:val="00C3391E"/>
    <w:rsid w:val="00C91734"/>
    <w:rsid w:val="00CF738C"/>
    <w:rsid w:val="00EF0115"/>
    <w:rsid w:val="00F4339D"/>
    <w:rsid w:val="00F55C5F"/>
    <w:rsid w:val="00F8076B"/>
    <w:rsid w:val="00FB5770"/>
  </w:rsids>
  <m:mathPr>
    <m:mathFont m:val="Cambria Math"/>
    <m:brkBin m:val="before"/>
    <m:brkBinSub m:val="--"/>
    <m:smallFrac m:val="0"/>
    <m:dispDef/>
    <m:lMargin m:val="0"/>
    <m:rMargin m:val="0"/>
    <m:defJc m:val="centerGroup"/>
    <m:wrapIndent m:val="1440"/>
    <m:intLim m:val="subSup"/>
    <m:naryLim m:val="undOvr"/>
  </m:mathPr>
  <w:themeFontLang w:val="en-GB"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EEC48"/>
  <w15:chartTrackingRefBased/>
  <w15:docId w15:val="{58AFC297-CB59-44E8-B21F-E6279F0B1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si-LK"/>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73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73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73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73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73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73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73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73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73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73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73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73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73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73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73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73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73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738C"/>
    <w:rPr>
      <w:rFonts w:eastAsiaTheme="majorEastAsia" w:cstheme="majorBidi"/>
      <w:color w:val="272727" w:themeColor="text1" w:themeTint="D8"/>
    </w:rPr>
  </w:style>
  <w:style w:type="paragraph" w:styleId="Title">
    <w:name w:val="Title"/>
    <w:basedOn w:val="Normal"/>
    <w:next w:val="Normal"/>
    <w:link w:val="TitleChar"/>
    <w:uiPriority w:val="10"/>
    <w:qFormat/>
    <w:rsid w:val="00CF73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73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73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73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738C"/>
    <w:pPr>
      <w:spacing w:before="160"/>
      <w:jc w:val="center"/>
    </w:pPr>
    <w:rPr>
      <w:i/>
      <w:iCs/>
      <w:color w:val="404040" w:themeColor="text1" w:themeTint="BF"/>
    </w:rPr>
  </w:style>
  <w:style w:type="character" w:customStyle="1" w:styleId="QuoteChar">
    <w:name w:val="Quote Char"/>
    <w:basedOn w:val="DefaultParagraphFont"/>
    <w:link w:val="Quote"/>
    <w:uiPriority w:val="29"/>
    <w:rsid w:val="00CF738C"/>
    <w:rPr>
      <w:i/>
      <w:iCs/>
      <w:color w:val="404040" w:themeColor="text1" w:themeTint="BF"/>
    </w:rPr>
  </w:style>
  <w:style w:type="paragraph" w:styleId="ListParagraph">
    <w:name w:val="List Paragraph"/>
    <w:basedOn w:val="Normal"/>
    <w:uiPriority w:val="34"/>
    <w:qFormat/>
    <w:rsid w:val="00CF738C"/>
    <w:pPr>
      <w:ind w:left="720"/>
      <w:contextualSpacing/>
    </w:pPr>
  </w:style>
  <w:style w:type="character" w:styleId="IntenseEmphasis">
    <w:name w:val="Intense Emphasis"/>
    <w:basedOn w:val="DefaultParagraphFont"/>
    <w:uiPriority w:val="21"/>
    <w:qFormat/>
    <w:rsid w:val="00CF738C"/>
    <w:rPr>
      <w:i/>
      <w:iCs/>
      <w:color w:val="0F4761" w:themeColor="accent1" w:themeShade="BF"/>
    </w:rPr>
  </w:style>
  <w:style w:type="paragraph" w:styleId="IntenseQuote">
    <w:name w:val="Intense Quote"/>
    <w:basedOn w:val="Normal"/>
    <w:next w:val="Normal"/>
    <w:link w:val="IntenseQuoteChar"/>
    <w:uiPriority w:val="30"/>
    <w:qFormat/>
    <w:rsid w:val="00CF73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738C"/>
    <w:rPr>
      <w:i/>
      <w:iCs/>
      <w:color w:val="0F4761" w:themeColor="accent1" w:themeShade="BF"/>
    </w:rPr>
  </w:style>
  <w:style w:type="character" w:styleId="IntenseReference">
    <w:name w:val="Intense Reference"/>
    <w:basedOn w:val="DefaultParagraphFont"/>
    <w:uiPriority w:val="32"/>
    <w:qFormat/>
    <w:rsid w:val="00CF738C"/>
    <w:rPr>
      <w:b/>
      <w:bCs/>
      <w:smallCaps/>
      <w:color w:val="0F4761" w:themeColor="accent1" w:themeShade="BF"/>
      <w:spacing w:val="5"/>
    </w:rPr>
  </w:style>
  <w:style w:type="paragraph" w:styleId="Header">
    <w:name w:val="header"/>
    <w:basedOn w:val="Normal"/>
    <w:link w:val="HeaderChar"/>
    <w:uiPriority w:val="99"/>
    <w:unhideWhenUsed/>
    <w:rsid w:val="00CF73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738C"/>
  </w:style>
  <w:style w:type="paragraph" w:styleId="Footer">
    <w:name w:val="footer"/>
    <w:basedOn w:val="Normal"/>
    <w:link w:val="FooterChar"/>
    <w:uiPriority w:val="99"/>
    <w:unhideWhenUsed/>
    <w:rsid w:val="00CF73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738C"/>
  </w:style>
  <w:style w:type="character" w:styleId="Hyperlink">
    <w:name w:val="Hyperlink"/>
    <w:basedOn w:val="DefaultParagraphFont"/>
    <w:uiPriority w:val="99"/>
    <w:unhideWhenUsed/>
    <w:rsid w:val="009B107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org.uk/?utm_source=copilot.com" TargetMode="External"/><Relationship Id="rId13" Type="http://schemas.openxmlformats.org/officeDocument/2006/relationships/hyperlink" Target="https://www.who.int/?utm_source=copilot.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rpharms.com/?utm_source=copilot.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snc.org.uk/?utm_source=copilot.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england.nhs.uk/?utm_source=copilot.com" TargetMode="External"/><Relationship Id="rId4" Type="http://schemas.openxmlformats.org/officeDocument/2006/relationships/webSettings" Target="webSettings.xml"/><Relationship Id="rId9" Type="http://schemas.openxmlformats.org/officeDocument/2006/relationships/hyperlink" Target="https://www.health.org.uk/?utm_source=copilot.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DCB81C3-C35E-447B-B91C-A50B82AE998D}">
  <we:reference id="8c1c3d44-57e9-40d7-86e4-4adf88fea1dd" version="3.0.0.0" store="EXCatalog" storeType="EXCatalog"/>
  <we:alternateReferences>
    <we:reference id="WA200007520" version="3.0.0.0" store="en-GB"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174</TotalTime>
  <Pages>9</Pages>
  <Words>2085</Words>
  <Characters>11885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Gayani Pradeepika Wewalage (2539107)</dc:creator>
  <cp:keywords/>
  <dc:description/>
  <cp:lastModifiedBy>Gayani Pradeepika Wewalage (2539107)</cp:lastModifiedBy>
  <cp:revision>18</cp:revision>
  <dcterms:created xsi:type="dcterms:W3CDTF">2026-10-05T21:06:00Z</dcterms:created>
  <dcterms:modified xsi:type="dcterms:W3CDTF">2026-10-06T10:12:00Z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6a71caf9-c9f7-476a-9409-1b7a4729b41c</vt:lpwstr>
  </property>
</Properties>
</file>