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098FAD" w:rsidP="04505805" w:rsidRDefault="49098FAD" w14:paraId="1627EDE9" w14:textId="5326F01F">
      <w:pPr>
        <w:rPr>
          <w:rFonts w:ascii="Aptos" w:hAnsi="Aptos" w:eastAsia="Aptos" w:cs="Aptos"/>
          <w:b w:val="0"/>
          <w:bCs w:val="0"/>
          <w:i w:val="0"/>
          <w:iCs w:val="0"/>
          <w:caps w:val="0"/>
          <w:smallCaps w:val="0"/>
          <w:noProof w:val="0"/>
          <w:color w:val="000000" w:themeColor="text1" w:themeTint="FF" w:themeShade="FF"/>
          <w:sz w:val="24"/>
          <w:szCs w:val="24"/>
          <w:lang w:val="en-GB"/>
        </w:rPr>
      </w:pPr>
      <w:r w:rsidR="49098FAD">
        <w:drawing>
          <wp:inline wp14:editId="389E2E60" wp14:anchorId="21891DEA">
            <wp:extent cx="5724525" cy="1181100"/>
            <wp:effectExtent l="0" t="0" r="0" b="0"/>
            <wp:docPr id="4408702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0870223" name="Picture 440870223"/>
                    <pic:cNvPicPr/>
                  </pic:nvPicPr>
                  <pic:blipFill>
                    <a:blip xmlns:r="http://schemas.openxmlformats.org/officeDocument/2006/relationships" r:embed="rId1499605138">
                      <a:extLst>
                        <a:ext uri="{28A0092B-C50C-407E-A947-70E740481C1C}">
                          <a14:useLocalDpi xmlns:a14="http://schemas.microsoft.com/office/drawing/2010/main"/>
                        </a:ext>
                      </a:extLst>
                    </a:blip>
                    <a:stretch>
                      <a:fillRect/>
                    </a:stretch>
                  </pic:blipFill>
                  <pic:spPr>
                    <a:xfrm>
                      <a:off x="0" y="0"/>
                      <a:ext cx="5724525" cy="1181100"/>
                    </a:xfrm>
                    <a:prstGeom prst="rect">
                      <a:avLst/>
                    </a:prstGeom>
                  </pic:spPr>
                </pic:pic>
              </a:graphicData>
            </a:graphic>
          </wp:inline>
        </w:drawing>
      </w:r>
    </w:p>
    <w:p w:rsidR="04505805" w:rsidP="04505805" w:rsidRDefault="04505805" w14:paraId="15653C77" w14:textId="302126E9">
      <w:pPr>
        <w:spacing w:after="0"/>
        <w:rPr>
          <w:rFonts w:ascii="Aptos" w:hAnsi="Aptos" w:eastAsia="Aptos" w:cs="Aptos"/>
          <w:b w:val="0"/>
          <w:bCs w:val="0"/>
          <w:i w:val="0"/>
          <w:iCs w:val="0"/>
          <w:caps w:val="0"/>
          <w:smallCaps w:val="0"/>
          <w:noProof w:val="0"/>
          <w:color w:val="000000" w:themeColor="text1" w:themeTint="FF" w:themeShade="FF"/>
          <w:sz w:val="38"/>
          <w:szCs w:val="38"/>
          <w:lang w:val="en-GB"/>
        </w:rPr>
      </w:pPr>
    </w:p>
    <w:p w:rsidR="04505805" w:rsidP="04505805" w:rsidRDefault="04505805" w14:paraId="3927CB49" w14:textId="02AE2297">
      <w:pPr>
        <w:spacing w:after="0"/>
        <w:rPr>
          <w:rFonts w:ascii="Aptos" w:hAnsi="Aptos" w:eastAsia="Aptos" w:cs="Aptos"/>
          <w:b w:val="0"/>
          <w:bCs w:val="0"/>
          <w:i w:val="0"/>
          <w:iCs w:val="0"/>
          <w:caps w:val="0"/>
          <w:smallCaps w:val="0"/>
          <w:noProof w:val="0"/>
          <w:color w:val="000000" w:themeColor="text1" w:themeTint="FF" w:themeShade="FF"/>
          <w:sz w:val="38"/>
          <w:szCs w:val="38"/>
          <w:lang w:val="en-GB"/>
        </w:rPr>
      </w:pPr>
    </w:p>
    <w:p w:rsidR="49098FAD" w:rsidP="04505805" w:rsidRDefault="49098FAD" w14:paraId="2BF4904B" w14:textId="412B0524">
      <w:pPr>
        <w:spacing w:after="0"/>
        <w:rPr>
          <w:rFonts w:ascii="Aptos" w:hAnsi="Aptos" w:eastAsia="Aptos" w:cs="Aptos"/>
          <w:b w:val="1"/>
          <w:bCs w:val="1"/>
          <w:i w:val="0"/>
          <w:iCs w:val="0"/>
          <w:caps w:val="0"/>
          <w:smallCaps w:val="0"/>
          <w:noProof w:val="0"/>
          <w:color w:val="000000" w:themeColor="text1" w:themeTint="FF" w:themeShade="FF"/>
          <w:sz w:val="38"/>
          <w:szCs w:val="38"/>
          <w:lang w:val="en-GB"/>
        </w:rPr>
      </w:pPr>
      <w:r w:rsidRPr="04505805" w:rsidR="49098FAD">
        <w:rPr>
          <w:rFonts w:ascii="Aptos" w:hAnsi="Aptos" w:eastAsia="Aptos" w:cs="Aptos"/>
          <w:b w:val="1"/>
          <w:bCs w:val="1"/>
          <w:i w:val="0"/>
          <w:iCs w:val="0"/>
          <w:caps w:val="0"/>
          <w:smallCaps w:val="0"/>
          <w:noProof w:val="0"/>
          <w:color w:val="000000" w:themeColor="text1" w:themeTint="FF" w:themeShade="FF"/>
          <w:sz w:val="38"/>
          <w:szCs w:val="38"/>
          <w:lang w:val="en-GB"/>
        </w:rPr>
        <w:t>Title: The Influence of Contemporary Global Forces on Unilev</w:t>
      </w:r>
      <w:r w:rsidRPr="04505805" w:rsidR="63EEAD5E">
        <w:rPr>
          <w:rFonts w:ascii="Aptos" w:hAnsi="Aptos" w:eastAsia="Aptos" w:cs="Aptos"/>
          <w:b w:val="1"/>
          <w:bCs w:val="1"/>
          <w:i w:val="0"/>
          <w:iCs w:val="0"/>
          <w:caps w:val="0"/>
          <w:smallCaps w:val="0"/>
          <w:noProof w:val="0"/>
          <w:color w:val="000000" w:themeColor="text1" w:themeTint="FF" w:themeShade="FF"/>
          <w:sz w:val="38"/>
          <w:szCs w:val="38"/>
          <w:lang w:val="en-GB"/>
        </w:rPr>
        <w:t>er.</w:t>
      </w:r>
    </w:p>
    <w:p w:rsidR="04505805" w:rsidP="04505805" w:rsidRDefault="04505805" w14:paraId="05799131" w14:textId="09987B11">
      <w:pPr>
        <w:spacing w:after="0"/>
        <w:rPr>
          <w:rFonts w:ascii="Aptos" w:hAnsi="Aptos" w:eastAsia="Aptos" w:cs="Aptos"/>
          <w:b w:val="0"/>
          <w:bCs w:val="0"/>
          <w:i w:val="0"/>
          <w:iCs w:val="0"/>
          <w:caps w:val="0"/>
          <w:smallCaps w:val="0"/>
          <w:noProof w:val="0"/>
          <w:color w:val="000000" w:themeColor="text1" w:themeTint="FF" w:themeShade="FF"/>
          <w:sz w:val="38"/>
          <w:szCs w:val="38"/>
          <w:lang w:val="en-GB"/>
        </w:rPr>
      </w:pPr>
    </w:p>
    <w:p w:rsidR="49098FAD" w:rsidP="04505805" w:rsidRDefault="49098FAD" w14:paraId="7DE532B1" w14:textId="62A38652">
      <w:pPr>
        <w:spacing w:after="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04505805" w:rsidR="49098FAD">
        <w:rPr>
          <w:rFonts w:ascii="Aptos" w:hAnsi="Aptos" w:eastAsia="Aptos" w:cs="Aptos"/>
          <w:b w:val="1"/>
          <w:bCs w:val="1"/>
          <w:i w:val="0"/>
          <w:iCs w:val="0"/>
          <w:caps w:val="0"/>
          <w:smallCaps w:val="0"/>
          <w:noProof w:val="0"/>
          <w:color w:val="000000" w:themeColor="text1" w:themeTint="FF" w:themeShade="FF"/>
          <w:sz w:val="38"/>
          <w:szCs w:val="38"/>
          <w:lang w:val="en-GB"/>
        </w:rPr>
        <w:t xml:space="preserve">              Name: Laiba Haya</w:t>
      </w:r>
    </w:p>
    <w:p w:rsidR="49098FAD" w:rsidP="04505805" w:rsidRDefault="49098FAD" w14:paraId="61AE301A" w14:textId="52E006A2">
      <w:pPr>
        <w:spacing w:after="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04505805" w:rsidR="49098FAD">
        <w:rPr>
          <w:rFonts w:ascii="Aptos" w:hAnsi="Aptos" w:eastAsia="Aptos" w:cs="Aptos"/>
          <w:b w:val="1"/>
          <w:bCs w:val="1"/>
          <w:i w:val="0"/>
          <w:iCs w:val="0"/>
          <w:caps w:val="0"/>
          <w:smallCaps w:val="0"/>
          <w:noProof w:val="0"/>
          <w:color w:val="000000" w:themeColor="text1" w:themeTint="FF" w:themeShade="FF"/>
          <w:sz w:val="38"/>
          <w:szCs w:val="38"/>
          <w:lang w:val="en-GB"/>
        </w:rPr>
        <w:t xml:space="preserve">              Student ID: 2231322</w:t>
      </w:r>
    </w:p>
    <w:p w:rsidR="49098FAD" w:rsidP="04505805" w:rsidRDefault="49098FAD" w14:paraId="190C831A" w14:textId="2FF83B5F">
      <w:pPr>
        <w:spacing w:after="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04505805" w:rsidR="49098FAD">
        <w:rPr>
          <w:rFonts w:ascii="Aptos" w:hAnsi="Aptos" w:eastAsia="Aptos" w:cs="Aptos"/>
          <w:b w:val="1"/>
          <w:bCs w:val="1"/>
          <w:i w:val="0"/>
          <w:iCs w:val="0"/>
          <w:caps w:val="0"/>
          <w:smallCaps w:val="0"/>
          <w:noProof w:val="0"/>
          <w:color w:val="000000" w:themeColor="text1" w:themeTint="FF" w:themeShade="FF"/>
          <w:sz w:val="38"/>
          <w:szCs w:val="38"/>
          <w:lang w:val="en-GB"/>
        </w:rPr>
        <w:t xml:space="preserve">              Module: </w:t>
      </w:r>
      <w:r w:rsidRPr="04505805" w:rsidR="492BDEB3">
        <w:rPr>
          <w:rFonts w:ascii="Aptos" w:hAnsi="Aptos" w:eastAsia="Aptos" w:cs="Aptos"/>
          <w:b w:val="1"/>
          <w:bCs w:val="1"/>
          <w:i w:val="0"/>
          <w:iCs w:val="0"/>
          <w:caps w:val="0"/>
          <w:smallCaps w:val="0"/>
          <w:noProof w:val="0"/>
          <w:color w:val="000000" w:themeColor="text1" w:themeTint="FF" w:themeShade="FF"/>
          <w:sz w:val="38"/>
          <w:szCs w:val="38"/>
          <w:lang w:val="en-GB"/>
        </w:rPr>
        <w:t>Global Business Environment</w:t>
      </w:r>
    </w:p>
    <w:p w:rsidR="49098FAD" w:rsidP="04505805" w:rsidRDefault="49098FAD" w14:paraId="2FBE6558" w14:textId="4BFB8E91">
      <w:pPr>
        <w:spacing w:after="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04505805" w:rsidR="49098FAD">
        <w:rPr>
          <w:rFonts w:ascii="Aptos" w:hAnsi="Aptos" w:eastAsia="Aptos" w:cs="Aptos"/>
          <w:b w:val="1"/>
          <w:bCs w:val="1"/>
          <w:i w:val="0"/>
          <w:iCs w:val="0"/>
          <w:caps w:val="0"/>
          <w:smallCaps w:val="0"/>
          <w:noProof w:val="0"/>
          <w:color w:val="000000" w:themeColor="text1" w:themeTint="FF" w:themeShade="FF"/>
          <w:sz w:val="38"/>
          <w:szCs w:val="38"/>
          <w:lang w:val="en-GB"/>
        </w:rPr>
        <w:t xml:space="preserve">              Module Code: LCBB401</w:t>
      </w:r>
      <w:r w:rsidRPr="04505805" w:rsidR="743595B5">
        <w:rPr>
          <w:rFonts w:ascii="Aptos" w:hAnsi="Aptos" w:eastAsia="Aptos" w:cs="Aptos"/>
          <w:b w:val="1"/>
          <w:bCs w:val="1"/>
          <w:i w:val="0"/>
          <w:iCs w:val="0"/>
          <w:caps w:val="0"/>
          <w:smallCaps w:val="0"/>
          <w:noProof w:val="0"/>
          <w:color w:val="000000" w:themeColor="text1" w:themeTint="FF" w:themeShade="FF"/>
          <w:sz w:val="38"/>
          <w:szCs w:val="38"/>
          <w:lang w:val="en-GB"/>
        </w:rPr>
        <w:t>6</w:t>
      </w:r>
    </w:p>
    <w:p w:rsidR="04505805" w:rsidP="04505805" w:rsidRDefault="04505805" w14:paraId="7726DF9E" w14:textId="09003953">
      <w:pPr>
        <w:pStyle w:val="Normal"/>
        <w:rPr>
          <w:noProof w:val="0"/>
          <w:lang w:val="en-GB"/>
        </w:rPr>
      </w:pPr>
    </w:p>
    <w:p w:rsidR="04505805" w:rsidP="04505805" w:rsidRDefault="04505805" w14:paraId="69FBE14B" w14:textId="19D92A3C">
      <w:pPr>
        <w:pStyle w:val="Heading1"/>
        <w:shd w:val="clear" w:color="auto" w:fill="FFFFFF" w:themeFill="background1"/>
        <w:spacing w:before="261" w:beforeAutospacing="off" w:after="261" w:afterAutospacing="off"/>
        <w:rPr>
          <w:rFonts w:ascii="Arial" w:hAnsi="Arial" w:eastAsia="Arial" w:cs="Arial"/>
          <w:b w:val="1"/>
          <w:bCs w:val="1"/>
          <w:i w:val="0"/>
          <w:iCs w:val="0"/>
          <w:caps w:val="0"/>
          <w:smallCaps w:val="0"/>
          <w:noProof w:val="0"/>
          <w:color w:val="222222"/>
          <w:sz w:val="39"/>
          <w:szCs w:val="39"/>
          <w:lang w:val="en-GB"/>
        </w:rPr>
      </w:pPr>
    </w:p>
    <w:p w:rsidR="04505805" w:rsidP="04505805" w:rsidRDefault="04505805" w14:paraId="062FD150" w14:textId="767D70B9">
      <w:pPr>
        <w:pStyle w:val="Heading1"/>
        <w:shd w:val="clear" w:color="auto" w:fill="FFFFFF" w:themeFill="background1"/>
        <w:spacing w:before="261" w:beforeAutospacing="off" w:after="261" w:afterAutospacing="off"/>
        <w:rPr>
          <w:rFonts w:ascii="Arial" w:hAnsi="Arial" w:eastAsia="Arial" w:cs="Arial"/>
          <w:b w:val="1"/>
          <w:bCs w:val="1"/>
          <w:i w:val="0"/>
          <w:iCs w:val="0"/>
          <w:caps w:val="0"/>
          <w:smallCaps w:val="0"/>
          <w:noProof w:val="0"/>
          <w:color w:val="222222"/>
          <w:sz w:val="39"/>
          <w:szCs w:val="39"/>
          <w:lang w:val="en-GB"/>
        </w:rPr>
      </w:pPr>
    </w:p>
    <w:p w:rsidR="04505805" w:rsidP="04505805" w:rsidRDefault="04505805" w14:paraId="742B1062" w14:textId="30FD8470">
      <w:pPr>
        <w:shd w:val="clear" w:color="auto" w:fill="FFFFFF" w:themeFill="background1"/>
        <w:spacing w:before="0" w:beforeAutospacing="off" w:after="0" w:afterAutospacing="off"/>
      </w:pPr>
    </w:p>
    <w:p w:rsidR="44AD1D40" w:rsidP="04505805" w:rsidRDefault="44AD1D40" w14:paraId="5FCAC05B" w14:textId="7CF1A687">
      <w:pPr>
        <w:pStyle w:val="Heading2"/>
        <w:shd w:val="clear" w:color="auto" w:fill="FFFFFF" w:themeFill="background1"/>
        <w:spacing w:before="243" w:beforeAutospacing="off" w:after="243" w:afterAutospacing="off"/>
      </w:pPr>
      <w:r w:rsidRPr="04505805" w:rsidR="44AD1D40">
        <w:rPr>
          <w:rFonts w:ascii="Arial" w:hAnsi="Arial" w:eastAsia="Arial" w:cs="Arial"/>
          <w:b w:val="1"/>
          <w:bCs w:val="1"/>
          <w:i w:val="0"/>
          <w:iCs w:val="0"/>
          <w:caps w:val="0"/>
          <w:smallCaps w:val="0"/>
          <w:noProof w:val="0"/>
          <w:color w:val="222222"/>
          <w:sz w:val="29"/>
          <w:szCs w:val="29"/>
          <w:lang w:val="en-GB"/>
        </w:rPr>
        <w:t>Introduction</w:t>
      </w:r>
    </w:p>
    <w:p w:rsidR="04505805" w:rsidP="04505805" w:rsidRDefault="04505805" w14:paraId="4B222BC8" w14:textId="55860CC5">
      <w:pPr>
        <w:shd w:val="clear" w:color="auto" w:fill="FFFFFF" w:themeFill="background1"/>
        <w:spacing w:before="195" w:beforeAutospacing="off" w:after="195" w:afterAutospacing="off"/>
      </w:pPr>
    </w:p>
    <w:p w:rsidR="44AD1D40" w:rsidP="04505805" w:rsidRDefault="44AD1D40" w14:paraId="0CC936DC" w14:textId="08FC04BA">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In today’s interconnected world, global forces are reshaping how multinational companies operate. Rapid technological developments, shifting geopolitical landscapes, and increasingly strict environmental regulations are among the most significant influences shaping business strategy. For multinational companies like Unilever, these forces are not just abstract trends—they have real, tangible impacts on how products are sourced, manufactured, marketed, and sold.</w:t>
      </w:r>
    </w:p>
    <w:p w:rsidR="04505805" w:rsidP="04505805" w:rsidRDefault="04505805" w14:paraId="564603C1" w14:textId="702E5D5D">
      <w:pPr>
        <w:shd w:val="clear" w:color="auto" w:fill="FFFFFF" w:themeFill="background1"/>
        <w:spacing w:before="195" w:beforeAutospacing="off" w:after="195" w:afterAutospacing="off"/>
      </w:pPr>
    </w:p>
    <w:p w:rsidR="44AD1D40" w:rsidP="04505805" w:rsidRDefault="44AD1D40" w14:paraId="7476DA9E" w14:textId="5E26C975">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Unilever, a UK-based consumer goods giant operating in over 190 countries, faces a delicate balance: leveraging opportunities offered by globalisation and technology while mitigating risks related to supply chain instability, regulatory complexity, and workforce adaptation. This essay explores how contemporary global forces—particularly artificial intelligence (AI), geopolitical tensions, and sustainability regulations—affect Unilever’s strategy and operations. It also discusses actionable strategies that can help the company navigate this rapidly changing environment while maintaining its competitive edge and commitment to responsible business practices.</w:t>
      </w:r>
    </w:p>
    <w:p w:rsidR="04505805" w:rsidP="04505805" w:rsidRDefault="04505805" w14:paraId="3F241133" w14:textId="3F424DBD">
      <w:pPr>
        <w:shd w:val="clear" w:color="auto" w:fill="FFFFFF" w:themeFill="background1"/>
        <w:spacing w:before="0" w:beforeAutospacing="off" w:after="0" w:afterAutospacing="off"/>
      </w:pPr>
    </w:p>
    <w:p w:rsidR="44AD1D40" w:rsidP="04505805" w:rsidRDefault="44AD1D40" w14:paraId="30601A92" w14:textId="00104CB3">
      <w:pPr>
        <w:pStyle w:val="Heading2"/>
        <w:shd w:val="clear" w:color="auto" w:fill="FFFFFF" w:themeFill="background1"/>
        <w:spacing w:before="243" w:beforeAutospacing="off" w:after="243" w:afterAutospacing="off"/>
      </w:pPr>
      <w:r w:rsidRPr="04505805" w:rsidR="44AD1D40">
        <w:rPr>
          <w:rFonts w:ascii="Arial" w:hAnsi="Arial" w:eastAsia="Arial" w:cs="Arial"/>
          <w:b w:val="1"/>
          <w:bCs w:val="1"/>
          <w:i w:val="0"/>
          <w:iCs w:val="0"/>
          <w:caps w:val="0"/>
          <w:smallCaps w:val="0"/>
          <w:noProof w:val="0"/>
          <w:color w:val="222222"/>
          <w:sz w:val="29"/>
          <w:szCs w:val="29"/>
          <w:lang w:val="en-GB"/>
        </w:rPr>
        <w:t>Globalisation: Opportunities and Challenges</w:t>
      </w:r>
    </w:p>
    <w:p w:rsidR="04505805" w:rsidP="04505805" w:rsidRDefault="04505805" w14:paraId="300566F6" w14:textId="3F842A1F">
      <w:pPr>
        <w:shd w:val="clear" w:color="auto" w:fill="FFFFFF" w:themeFill="background1"/>
        <w:spacing w:before="195" w:beforeAutospacing="off" w:after="195" w:afterAutospacing="off"/>
      </w:pPr>
    </w:p>
    <w:p w:rsidR="44AD1D40" w:rsidP="04505805" w:rsidRDefault="44AD1D40" w14:paraId="02EB3DD4" w14:textId="764B67BE">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Globalisation continues to offer substantial opportunities for companies like Unilever. Operating across multiple continents allows access to diverse markets, cost-effective suppliers, and international expertise. For instance, sourcing raw materials from different regions helps Unilever maintain product quality while controlling production costs, which is critical for brands like Dove, Lipton, and Lifebuoy (Gereffi, 2018). Furthermore, emerging markets, especially in Asia and Africa, present enormous potential. Rising incomes, urbanisation, and a growing middle class increase demand for high-quality consumer goods, creating significant revenue growth opportunities (Cavusgil et al., 2020).</w:t>
      </w:r>
    </w:p>
    <w:p w:rsidR="04505805" w:rsidP="04505805" w:rsidRDefault="04505805" w14:paraId="238B45B1" w14:textId="15A89E81">
      <w:pPr>
        <w:shd w:val="clear" w:color="auto" w:fill="FFFFFF" w:themeFill="background1"/>
        <w:spacing w:before="195" w:beforeAutospacing="off" w:after="195" w:afterAutospacing="off"/>
      </w:pPr>
    </w:p>
    <w:p w:rsidR="44AD1D40" w:rsidP="04505805" w:rsidRDefault="44AD1D40" w14:paraId="34CFF757" w14:textId="790BCF49">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 xml:space="preserve">However, these opportunities come with challenges. Global supply chains are increasingly vulnerable to disruption. Events such as shipping delays, natural disasters, and regional conflicts can quickly interrupt production and distribution (Christopher, 2022). The recent Red Sea shipping congestion and tensions in East Asia exemplify how geopolitical instability can directly affect Unilever’s operations. Additionally, global competition is intensifying as local brands innovate </w:t>
      </w:r>
      <w:r w:rsidRPr="04505805" w:rsidR="4C6C302A">
        <w:rPr>
          <w:rFonts w:ascii="Arial" w:hAnsi="Arial" w:eastAsia="Arial" w:cs="Arial"/>
          <w:b w:val="0"/>
          <w:bCs w:val="0"/>
          <w:i w:val="0"/>
          <w:iCs w:val="0"/>
          <w:caps w:val="0"/>
          <w:smallCaps w:val="0"/>
          <w:noProof w:val="0"/>
          <w:color w:val="222222"/>
          <w:sz w:val="24"/>
          <w:szCs w:val="24"/>
          <w:lang w:val="en-GB"/>
        </w:rPr>
        <w:t>rapidly,</w:t>
      </w:r>
      <w:r w:rsidRPr="04505805" w:rsidR="44AD1D40">
        <w:rPr>
          <w:rFonts w:ascii="Arial" w:hAnsi="Arial" w:eastAsia="Arial" w:cs="Arial"/>
          <w:b w:val="0"/>
          <w:bCs w:val="0"/>
          <w:i w:val="0"/>
          <w:iCs w:val="0"/>
          <w:caps w:val="0"/>
          <w:smallCaps w:val="0"/>
          <w:noProof w:val="0"/>
          <w:color w:val="222222"/>
          <w:sz w:val="24"/>
          <w:szCs w:val="24"/>
          <w:lang w:val="en-GB"/>
        </w:rPr>
        <w:t xml:space="preserve"> and consumer preferences evolve. Navigating these challenges requires flexibility, foresight, and robust risk management strategies (Hill &amp; Hult, 2021).</w:t>
      </w:r>
    </w:p>
    <w:p w:rsidR="04505805" w:rsidP="04505805" w:rsidRDefault="04505805" w14:paraId="2849E360" w14:textId="538F246D">
      <w:pPr>
        <w:shd w:val="clear" w:color="auto" w:fill="FFFFFF" w:themeFill="background1"/>
        <w:spacing w:before="0" w:beforeAutospacing="off" w:after="0" w:afterAutospacing="off"/>
      </w:pPr>
    </w:p>
    <w:p w:rsidR="44AD1D40" w:rsidP="04505805" w:rsidRDefault="44AD1D40" w14:paraId="3EA6E6D8" w14:textId="2F01C153">
      <w:pPr>
        <w:pStyle w:val="Heading2"/>
        <w:shd w:val="clear" w:color="auto" w:fill="FFFFFF" w:themeFill="background1"/>
        <w:spacing w:before="243" w:beforeAutospacing="off" w:after="243" w:afterAutospacing="off"/>
      </w:pPr>
      <w:r w:rsidRPr="04505805" w:rsidR="44AD1D40">
        <w:rPr>
          <w:rFonts w:ascii="Arial" w:hAnsi="Arial" w:eastAsia="Arial" w:cs="Arial"/>
          <w:b w:val="1"/>
          <w:bCs w:val="1"/>
          <w:i w:val="0"/>
          <w:iCs w:val="0"/>
          <w:caps w:val="0"/>
          <w:smallCaps w:val="0"/>
          <w:noProof w:val="0"/>
          <w:color w:val="222222"/>
          <w:sz w:val="29"/>
          <w:szCs w:val="29"/>
          <w:lang w:val="en-GB"/>
        </w:rPr>
        <w:t>AI and Technological Transformation</w:t>
      </w:r>
    </w:p>
    <w:p w:rsidR="04505805" w:rsidP="04505805" w:rsidRDefault="04505805" w14:paraId="2DB89DAF" w14:textId="685363D6">
      <w:pPr>
        <w:shd w:val="clear" w:color="auto" w:fill="FFFFFF" w:themeFill="background1"/>
        <w:spacing w:before="195" w:beforeAutospacing="off" w:after="195" w:afterAutospacing="off"/>
      </w:pPr>
    </w:p>
    <w:p w:rsidR="44AD1D40" w:rsidP="04505805" w:rsidRDefault="44AD1D40" w14:paraId="7C1B48E3" w14:textId="711445C0">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Artificial intelligence is no longer a future concept—it is actively reshaping how multinational companies make decisions, understand consumers, and optimise operations. AI enables more accurate forecasting, smarter inventory management, and targeted marketing campaigns that adapt in real time to consumer behaviour (Davenport &amp; Ronanki, 2018). Unilever has already begun implementing AI in marketing optimisation and supply chain visibility, allowing faster, data-driven decisions that can improve efficiency and responsiveness.</w:t>
      </w:r>
    </w:p>
    <w:p w:rsidR="04505805" w:rsidP="04505805" w:rsidRDefault="04505805" w14:paraId="620C5604" w14:textId="18891617">
      <w:pPr>
        <w:shd w:val="clear" w:color="auto" w:fill="FFFFFF" w:themeFill="background1"/>
        <w:spacing w:before="195" w:beforeAutospacing="off" w:after="195" w:afterAutospacing="off"/>
      </w:pPr>
    </w:p>
    <w:p w:rsidR="44AD1D40" w:rsidP="04505805" w:rsidRDefault="44AD1D40" w14:paraId="78C7190B" w14:textId="21F42BC6">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 xml:space="preserve">Yet, adopting AI is not without obstacles. Deploying advanced technologies requires substantial investment in infrastructure, training, and cybersecurity measures (McKinsey Global Institute, 2023). Skilled AI professionals are in short supply globally, making talent acquisition a competitive challenge (ILO, 2023). Moreover, integrating AI raises ethical concerns. Companies must ensure that data privacy is protected, algorithms are free from bias, and employees are supported during the transition to </w:t>
      </w:r>
      <w:r w:rsidRPr="04505805" w:rsidR="4436D2AF">
        <w:rPr>
          <w:rFonts w:ascii="Arial" w:hAnsi="Arial" w:eastAsia="Arial" w:cs="Arial"/>
          <w:b w:val="0"/>
          <w:bCs w:val="0"/>
          <w:i w:val="0"/>
          <w:iCs w:val="0"/>
          <w:caps w:val="0"/>
          <w:smallCaps w:val="0"/>
          <w:noProof w:val="0"/>
          <w:color w:val="222222"/>
          <w:sz w:val="24"/>
          <w:szCs w:val="24"/>
          <w:lang w:val="en-GB"/>
        </w:rPr>
        <w:t>digitally driven</w:t>
      </w:r>
      <w:r w:rsidRPr="04505805" w:rsidR="44AD1D40">
        <w:rPr>
          <w:rFonts w:ascii="Arial" w:hAnsi="Arial" w:eastAsia="Arial" w:cs="Arial"/>
          <w:b w:val="0"/>
          <w:bCs w:val="0"/>
          <w:i w:val="0"/>
          <w:iCs w:val="0"/>
          <w:caps w:val="0"/>
          <w:smallCaps w:val="0"/>
          <w:noProof w:val="0"/>
          <w:color w:val="222222"/>
          <w:sz w:val="24"/>
          <w:szCs w:val="24"/>
          <w:lang w:val="en-GB"/>
        </w:rPr>
        <w:t xml:space="preserve"> workflows.</w:t>
      </w:r>
    </w:p>
    <w:p w:rsidR="04505805" w:rsidP="04505805" w:rsidRDefault="04505805" w14:paraId="5B2D6264" w14:textId="18E371E7">
      <w:pPr>
        <w:shd w:val="clear" w:color="auto" w:fill="FFFFFF" w:themeFill="background1"/>
        <w:spacing w:before="195" w:beforeAutospacing="off" w:after="195" w:afterAutospacing="off"/>
      </w:pPr>
    </w:p>
    <w:p w:rsidR="44AD1D40" w:rsidP="04505805" w:rsidRDefault="44AD1D40" w14:paraId="2D7DF34F" w14:textId="3A7DD8A3">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The strategic potential of AI goes beyond efficiency. By analysing global consumer sentiment and purchasing patterns, AI can help Unilever develop products that meet specific cultural and environmental preferences in different regions. It also allows predictive modelling for production planning, reducing waste and supporting sustainability goals.</w:t>
      </w:r>
    </w:p>
    <w:p w:rsidR="04505805" w:rsidP="04505805" w:rsidRDefault="04505805" w14:paraId="55A6B0AD" w14:textId="4BA76049">
      <w:pPr>
        <w:shd w:val="clear" w:color="auto" w:fill="FFFFFF" w:themeFill="background1"/>
        <w:spacing w:before="0" w:beforeAutospacing="off" w:after="0" w:afterAutospacing="off"/>
      </w:pPr>
    </w:p>
    <w:p w:rsidR="1FCD51A4" w:rsidP="04505805" w:rsidRDefault="1FCD51A4" w14:paraId="3202D707" w14:textId="37F16804">
      <w:pPr>
        <w:pStyle w:val="Heading3"/>
        <w:shd w:val="clear" w:color="auto" w:fill="FFFFFF" w:themeFill="background1"/>
        <w:spacing w:before="281" w:beforeAutospacing="off" w:after="281" w:afterAutospacing="off"/>
      </w:pPr>
      <w:r w:rsidRPr="04505805" w:rsidR="1FCD51A4">
        <w:rPr>
          <w:rFonts w:ascii="Arial" w:hAnsi="Arial" w:eastAsia="Arial" w:cs="Arial"/>
          <w:b w:val="1"/>
          <w:bCs w:val="1"/>
          <w:i w:val="0"/>
          <w:iCs w:val="0"/>
          <w:caps w:val="0"/>
          <w:smallCaps w:val="0"/>
          <w:noProof w:val="0"/>
          <w:color w:val="222222"/>
          <w:sz w:val="28"/>
          <w:szCs w:val="28"/>
          <w:lang w:val="en-GB"/>
        </w:rPr>
        <w:t>Human Capital and Workforce Adaptation</w:t>
      </w:r>
    </w:p>
    <w:p w:rsidR="04505805" w:rsidP="04505805" w:rsidRDefault="04505805" w14:paraId="1CBD2BEF" w14:textId="7B6FCBA0">
      <w:pPr>
        <w:shd w:val="clear" w:color="auto" w:fill="FFFFFF" w:themeFill="background1"/>
        <w:spacing w:before="195" w:beforeAutospacing="off" w:after="195" w:afterAutospacing="off"/>
      </w:pPr>
    </w:p>
    <w:p w:rsidR="1FCD51A4" w:rsidP="04505805" w:rsidRDefault="1FCD51A4" w14:paraId="0F6EC94E" w14:textId="0DC240CD">
      <w:pPr>
        <w:shd w:val="clear" w:color="auto" w:fill="FFFFFF" w:themeFill="background1"/>
        <w:spacing w:before="195" w:beforeAutospacing="off" w:after="195" w:afterAutospacing="off"/>
      </w:pPr>
      <w:r w:rsidRPr="04505805" w:rsidR="1FCD51A4">
        <w:rPr>
          <w:rFonts w:ascii="Arial" w:hAnsi="Arial" w:eastAsia="Arial" w:cs="Arial"/>
          <w:b w:val="0"/>
          <w:bCs w:val="0"/>
          <w:i w:val="0"/>
          <w:iCs w:val="0"/>
          <w:caps w:val="0"/>
          <w:smallCaps w:val="0"/>
          <w:noProof w:val="0"/>
          <w:color w:val="222222"/>
          <w:sz w:val="24"/>
          <w:szCs w:val="24"/>
          <w:lang w:val="en-GB"/>
        </w:rPr>
        <w:t>One of the most critical but often overlooked aspects of responding to global forces is human capital. As Unilever integrates AI and other digital technologies, employees need to adapt to new ways of working. This includes not only technical skills in data analytics and machine learning but also softer skills such as adaptability, problem-solving, and cross-cultural communication. Upskilling initiatives, mentorship programs, and collaboration with universities or professional institutions can help bridge the skills gap (ILO, 2023).</w:t>
      </w:r>
    </w:p>
    <w:p w:rsidR="04505805" w:rsidP="04505805" w:rsidRDefault="04505805" w14:paraId="12305026" w14:textId="72C0D6DA">
      <w:pPr>
        <w:shd w:val="clear" w:color="auto" w:fill="FFFFFF" w:themeFill="background1"/>
        <w:spacing w:before="195" w:beforeAutospacing="off" w:after="195" w:afterAutospacing="off"/>
      </w:pPr>
    </w:p>
    <w:p w:rsidR="1FCD51A4" w:rsidP="04505805" w:rsidRDefault="1FCD51A4" w14:paraId="1FF5A50D" w14:textId="164D58CF">
      <w:pPr>
        <w:shd w:val="clear" w:color="auto" w:fill="FFFFFF" w:themeFill="background1"/>
        <w:spacing w:before="195" w:beforeAutospacing="off" w:after="195" w:afterAutospacing="off"/>
      </w:pPr>
      <w:r w:rsidRPr="04505805" w:rsidR="1FCD51A4">
        <w:rPr>
          <w:rFonts w:ascii="Arial" w:hAnsi="Arial" w:eastAsia="Arial" w:cs="Arial"/>
          <w:b w:val="0"/>
          <w:bCs w:val="0"/>
          <w:i w:val="0"/>
          <w:iCs w:val="0"/>
          <w:caps w:val="0"/>
          <w:smallCaps w:val="0"/>
          <w:noProof w:val="0"/>
          <w:color w:val="222222"/>
          <w:sz w:val="24"/>
          <w:szCs w:val="24"/>
          <w:lang w:val="en-GB"/>
        </w:rPr>
        <w:t>Furthermore, promoting diversity and inclusion in the workforce enhances creativity and decision-making. By fostering teams that reflect the multicultural markets in which Unilever operates, the company can better understand local consumer needs and design products that resonate across regions. Inclusive leadership also strengthens employee engagement, which can translate into higher productivity and better operational outcomes.</w:t>
      </w:r>
    </w:p>
    <w:p w:rsidR="04505805" w:rsidP="04505805" w:rsidRDefault="04505805" w14:paraId="42BB83EB" w14:textId="718E2A35">
      <w:pPr>
        <w:shd w:val="clear" w:color="auto" w:fill="FFFFFF" w:themeFill="background1"/>
        <w:spacing w:before="0" w:beforeAutospacing="off" w:after="0" w:afterAutospacing="off"/>
      </w:pPr>
    </w:p>
    <w:p w:rsidR="44AD1D40" w:rsidP="04505805" w:rsidRDefault="44AD1D40" w14:paraId="664F4AC8" w14:textId="08BEEAAF">
      <w:pPr>
        <w:pStyle w:val="Heading2"/>
        <w:shd w:val="clear" w:color="auto" w:fill="FFFFFF" w:themeFill="background1"/>
        <w:spacing w:before="243" w:beforeAutospacing="off" w:after="243" w:afterAutospacing="off"/>
      </w:pPr>
      <w:r w:rsidRPr="04505805" w:rsidR="44AD1D40">
        <w:rPr>
          <w:rFonts w:ascii="Arial" w:hAnsi="Arial" w:eastAsia="Arial" w:cs="Arial"/>
          <w:b w:val="1"/>
          <w:bCs w:val="1"/>
          <w:i w:val="0"/>
          <w:iCs w:val="0"/>
          <w:caps w:val="0"/>
          <w:smallCaps w:val="0"/>
          <w:noProof w:val="0"/>
          <w:color w:val="222222"/>
          <w:sz w:val="29"/>
          <w:szCs w:val="29"/>
          <w:lang w:val="en-GB"/>
        </w:rPr>
        <w:t>Geopolitical Tensions and Supply Chain Resilience</w:t>
      </w:r>
    </w:p>
    <w:p w:rsidR="04505805" w:rsidP="04505805" w:rsidRDefault="04505805" w14:paraId="4F31FE03" w14:textId="4B66101A">
      <w:pPr>
        <w:shd w:val="clear" w:color="auto" w:fill="FFFFFF" w:themeFill="background1"/>
        <w:spacing w:before="195" w:beforeAutospacing="off" w:after="195" w:afterAutospacing="off"/>
      </w:pPr>
    </w:p>
    <w:p w:rsidR="44AD1D40" w:rsidP="04505805" w:rsidRDefault="44AD1D40" w14:paraId="084D88B5" w14:textId="15A7E23C">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Geopolitical instability is another major factor influencing Unilever’s global strategy. Trade restrictions, regional conflicts, and fluctuating energy prices can disrupt supply chains, inflate costs, and create uncertainty in procurement (Baldwin, 2022). For example, sourcing raw materials from politically sensitive regions in Asia can expose the company to sudden regulatory changes or shipping delays.</w:t>
      </w:r>
    </w:p>
    <w:p w:rsidR="04505805" w:rsidP="04505805" w:rsidRDefault="04505805" w14:paraId="689EA3F7" w14:textId="1CE1AFC4">
      <w:pPr>
        <w:shd w:val="clear" w:color="auto" w:fill="FFFFFF" w:themeFill="background1"/>
        <w:spacing w:before="195" w:beforeAutospacing="off" w:after="195" w:afterAutospacing="off"/>
      </w:pPr>
    </w:p>
    <w:p w:rsidR="44AD1D40" w:rsidP="04505805" w:rsidRDefault="44AD1D40" w14:paraId="3B17BA99" w14:textId="4AE6863D">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To navigate these risks, Unilever is increasingly adopting multi-regional sourcing strategies and exploring nearshoring or “friend-shoring”—producing goods in geopolitically stable regions (</w:t>
      </w:r>
      <w:r w:rsidRPr="04505805" w:rsidR="44AD1D40">
        <w:rPr>
          <w:rFonts w:ascii="Arial" w:hAnsi="Arial" w:eastAsia="Arial" w:cs="Arial"/>
          <w:b w:val="0"/>
          <w:bCs w:val="0"/>
          <w:i w:val="0"/>
          <w:iCs w:val="0"/>
          <w:caps w:val="0"/>
          <w:smallCaps w:val="0"/>
          <w:noProof w:val="0"/>
          <w:color w:val="222222"/>
          <w:sz w:val="24"/>
          <w:szCs w:val="24"/>
          <w:lang w:val="en-GB"/>
        </w:rPr>
        <w:t>Antràs</w:t>
      </w:r>
      <w:r w:rsidRPr="04505805" w:rsidR="44AD1D40">
        <w:rPr>
          <w:rFonts w:ascii="Arial" w:hAnsi="Arial" w:eastAsia="Arial" w:cs="Arial"/>
          <w:b w:val="0"/>
          <w:bCs w:val="0"/>
          <w:i w:val="0"/>
          <w:iCs w:val="0"/>
          <w:caps w:val="0"/>
          <w:smallCaps w:val="0"/>
          <w:noProof w:val="0"/>
          <w:color w:val="222222"/>
          <w:sz w:val="24"/>
          <w:szCs w:val="24"/>
          <w:lang w:val="en-GB"/>
        </w:rPr>
        <w:t xml:space="preserve">, 2023). Additionally, digital supply chain simulations, or “digital twins,” can model potential disruptions and </w:t>
      </w:r>
      <w:r w:rsidRPr="04505805" w:rsidR="44AD1D40">
        <w:rPr>
          <w:rFonts w:ascii="Arial" w:hAnsi="Arial" w:eastAsia="Arial" w:cs="Arial"/>
          <w:b w:val="0"/>
          <w:bCs w:val="0"/>
          <w:i w:val="0"/>
          <w:iCs w:val="0"/>
          <w:caps w:val="0"/>
          <w:smallCaps w:val="0"/>
          <w:noProof w:val="0"/>
          <w:color w:val="222222"/>
          <w:sz w:val="24"/>
          <w:szCs w:val="24"/>
          <w:lang w:val="en-GB"/>
        </w:rPr>
        <w:t>identify</w:t>
      </w:r>
      <w:r w:rsidRPr="04505805" w:rsidR="44AD1D40">
        <w:rPr>
          <w:rFonts w:ascii="Arial" w:hAnsi="Arial" w:eastAsia="Arial" w:cs="Arial"/>
          <w:b w:val="0"/>
          <w:bCs w:val="0"/>
          <w:i w:val="0"/>
          <w:iCs w:val="0"/>
          <w:caps w:val="0"/>
          <w:smallCaps w:val="0"/>
          <w:noProof w:val="0"/>
          <w:color w:val="222222"/>
          <w:sz w:val="24"/>
          <w:szCs w:val="24"/>
          <w:lang w:val="en-GB"/>
        </w:rPr>
        <w:t xml:space="preserve"> alternative suppliers or </w:t>
      </w:r>
      <w:r w:rsidRPr="04505805" w:rsidR="376D06A9">
        <w:rPr>
          <w:rFonts w:ascii="Arial" w:hAnsi="Arial" w:eastAsia="Arial" w:cs="Arial"/>
          <w:b w:val="0"/>
          <w:bCs w:val="0"/>
          <w:i w:val="0"/>
          <w:iCs w:val="0"/>
          <w:caps w:val="0"/>
          <w:smallCaps w:val="0"/>
          <w:noProof w:val="0"/>
          <w:color w:val="222222"/>
          <w:sz w:val="24"/>
          <w:szCs w:val="24"/>
          <w:lang w:val="en-GB"/>
        </w:rPr>
        <w:t>planning</w:t>
      </w:r>
      <w:r w:rsidRPr="04505805" w:rsidR="44AD1D40">
        <w:rPr>
          <w:rFonts w:ascii="Arial" w:hAnsi="Arial" w:eastAsia="Arial" w:cs="Arial"/>
          <w:b w:val="0"/>
          <w:bCs w:val="0"/>
          <w:i w:val="0"/>
          <w:iCs w:val="0"/>
          <w:caps w:val="0"/>
          <w:smallCaps w:val="0"/>
          <w:noProof w:val="0"/>
          <w:color w:val="222222"/>
          <w:sz w:val="24"/>
          <w:szCs w:val="24"/>
          <w:lang w:val="en-GB"/>
        </w:rPr>
        <w:t xml:space="preserve"> routes in advance. Collaborating with local governments and industry partners can further strengthen supply chain reliability and reduce operational vulnerability.</w:t>
      </w:r>
    </w:p>
    <w:p w:rsidR="04505805" w:rsidP="04505805" w:rsidRDefault="04505805" w14:paraId="30956AE2" w14:textId="00A7FB62">
      <w:pPr>
        <w:shd w:val="clear" w:color="auto" w:fill="FFFFFF" w:themeFill="background1"/>
        <w:spacing w:before="195" w:beforeAutospacing="off" w:after="195" w:afterAutospacing="off"/>
      </w:pPr>
    </w:p>
    <w:p w:rsidR="44AD1D40" w:rsidP="04505805" w:rsidRDefault="44AD1D40" w14:paraId="671A0C0F" w14:textId="2708EE56">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By proactively managing geopolitical risks, Unilever can maintain production continuity, reduce the impact of crises, and protect brand trust among consumers.</w:t>
      </w:r>
    </w:p>
    <w:p w:rsidR="3C9DB29D" w:rsidP="04505805" w:rsidRDefault="3C9DB29D" w14:paraId="4E83824D" w14:textId="509CA643">
      <w:pPr>
        <w:pStyle w:val="Heading3"/>
        <w:shd w:val="clear" w:color="auto" w:fill="FFFFFF" w:themeFill="background1"/>
        <w:spacing w:before="281" w:beforeAutospacing="off" w:after="281" w:afterAutospacing="off"/>
      </w:pPr>
      <w:r w:rsidRPr="04505805" w:rsidR="3C9DB29D">
        <w:rPr>
          <w:rFonts w:ascii="Arial" w:hAnsi="Arial" w:eastAsia="Arial" w:cs="Arial"/>
          <w:b w:val="1"/>
          <w:bCs w:val="1"/>
          <w:i w:val="0"/>
          <w:iCs w:val="0"/>
          <w:caps w:val="0"/>
          <w:smallCaps w:val="0"/>
          <w:noProof w:val="0"/>
          <w:color w:val="222222"/>
          <w:sz w:val="28"/>
          <w:szCs w:val="28"/>
          <w:lang w:val="en-GB"/>
        </w:rPr>
        <w:t>Consumer Behaviour and Market Trends</w:t>
      </w:r>
    </w:p>
    <w:p w:rsidR="04505805" w:rsidP="04505805" w:rsidRDefault="04505805" w14:paraId="4C30037E" w14:textId="0F3AAE28">
      <w:pPr>
        <w:shd w:val="clear" w:color="auto" w:fill="FFFFFF" w:themeFill="background1"/>
        <w:spacing w:before="195" w:beforeAutospacing="off" w:after="195" w:afterAutospacing="off"/>
      </w:pPr>
    </w:p>
    <w:p w:rsidR="3C9DB29D" w:rsidP="04505805" w:rsidRDefault="3C9DB29D" w14:paraId="28A3BEA8" w14:textId="773B0D14">
      <w:pPr>
        <w:shd w:val="clear" w:color="auto" w:fill="FFFFFF" w:themeFill="background1"/>
        <w:spacing w:before="195" w:beforeAutospacing="off" w:after="195" w:afterAutospacing="off"/>
      </w:pPr>
      <w:r w:rsidRPr="04505805" w:rsidR="3C9DB29D">
        <w:rPr>
          <w:rFonts w:ascii="Arial" w:hAnsi="Arial" w:eastAsia="Arial" w:cs="Arial"/>
          <w:b w:val="0"/>
          <w:bCs w:val="0"/>
          <w:i w:val="0"/>
          <w:iCs w:val="0"/>
          <w:caps w:val="0"/>
          <w:smallCaps w:val="0"/>
          <w:noProof w:val="0"/>
          <w:color w:val="222222"/>
          <w:sz w:val="24"/>
          <w:szCs w:val="24"/>
          <w:lang w:val="en-GB"/>
        </w:rPr>
        <w:t>Global forces are reshaping consumer expectations as well. Increasingly, buyers are looking for brands that are digitally accessible, environmentally responsible, and socially conscious. This trend is particularly strong among younger demographics who value transparency, ethical sourcing, and sustainability in their purchase decisions. Unilever can leverage AI and advanced analytics to understand these preferences in real time, tailoring marketing campaigns and product offerings accordingly.</w:t>
      </w:r>
    </w:p>
    <w:p w:rsidR="04505805" w:rsidP="04505805" w:rsidRDefault="04505805" w14:paraId="23B9EB26" w14:textId="3E138BD5">
      <w:pPr>
        <w:shd w:val="clear" w:color="auto" w:fill="FFFFFF" w:themeFill="background1"/>
        <w:spacing w:before="195" w:beforeAutospacing="off" w:after="195" w:afterAutospacing="off"/>
      </w:pPr>
    </w:p>
    <w:p w:rsidR="3C9DB29D" w:rsidP="04505805" w:rsidRDefault="3C9DB29D" w14:paraId="39EF1276" w14:textId="54C10BBD">
      <w:pPr>
        <w:shd w:val="clear" w:color="auto" w:fill="FFFFFF" w:themeFill="background1"/>
        <w:spacing w:before="195" w:beforeAutospacing="off" w:after="195" w:afterAutospacing="off"/>
      </w:pPr>
      <w:r w:rsidRPr="04505805" w:rsidR="3C9DB29D">
        <w:rPr>
          <w:rFonts w:ascii="Arial" w:hAnsi="Arial" w:eastAsia="Arial" w:cs="Arial"/>
          <w:b w:val="0"/>
          <w:bCs w:val="0"/>
          <w:i w:val="0"/>
          <w:iCs w:val="0"/>
          <w:caps w:val="0"/>
          <w:smallCaps w:val="0"/>
          <w:noProof w:val="0"/>
          <w:color w:val="222222"/>
          <w:sz w:val="24"/>
          <w:szCs w:val="24"/>
          <w:lang w:val="en-GB"/>
        </w:rPr>
        <w:t>For instance, AI-driven consumer insight platforms can identify emerging trends such as plant-based foods, water-saving cleaning products, or low-carbon personal care items. By acting quickly on these insights, Unilever can remain a market leader while aligning its offerings with global sustainability goals. This proactive approach not only strengthens brand loyalty but also helps anticipate regulatory changes that may influence consumer behaviour in different regions.</w:t>
      </w:r>
    </w:p>
    <w:p w:rsidR="04505805" w:rsidP="04505805" w:rsidRDefault="04505805" w14:paraId="5399C863" w14:textId="0D3D15F2">
      <w:pPr>
        <w:shd w:val="clear" w:color="auto" w:fill="FFFFFF" w:themeFill="background1"/>
        <w:spacing w:before="0" w:beforeAutospacing="off" w:after="0" w:afterAutospacing="off"/>
      </w:pPr>
    </w:p>
    <w:p w:rsidR="3C9DB29D" w:rsidP="04505805" w:rsidRDefault="3C9DB29D" w14:paraId="08F3995B" w14:textId="05F0A064">
      <w:pPr>
        <w:pStyle w:val="Heading3"/>
        <w:shd w:val="clear" w:color="auto" w:fill="FFFFFF" w:themeFill="background1"/>
        <w:spacing w:before="281" w:beforeAutospacing="off" w:after="281" w:afterAutospacing="off"/>
      </w:pPr>
      <w:r w:rsidRPr="04505805" w:rsidR="3C9DB29D">
        <w:rPr>
          <w:rFonts w:ascii="Arial" w:hAnsi="Arial" w:eastAsia="Arial" w:cs="Arial"/>
          <w:b w:val="1"/>
          <w:bCs w:val="1"/>
          <w:i w:val="0"/>
          <w:iCs w:val="0"/>
          <w:caps w:val="0"/>
          <w:smallCaps w:val="0"/>
          <w:noProof w:val="0"/>
          <w:color w:val="222222"/>
          <w:sz w:val="28"/>
          <w:szCs w:val="28"/>
          <w:lang w:val="en-GB"/>
        </w:rPr>
        <w:t>Future Global Trends and Strategic Foresight</w:t>
      </w:r>
    </w:p>
    <w:p w:rsidR="04505805" w:rsidP="04505805" w:rsidRDefault="04505805" w14:paraId="163E1E60" w14:textId="759886CC">
      <w:pPr>
        <w:shd w:val="clear" w:color="auto" w:fill="FFFFFF" w:themeFill="background1"/>
        <w:spacing w:before="195" w:beforeAutospacing="off" w:after="195" w:afterAutospacing="off"/>
      </w:pPr>
    </w:p>
    <w:p w:rsidR="3C9DB29D" w:rsidP="04505805" w:rsidRDefault="3C9DB29D" w14:paraId="3ECD1FBA" w14:textId="41835EF4">
      <w:pPr>
        <w:shd w:val="clear" w:color="auto" w:fill="FFFFFF" w:themeFill="background1"/>
        <w:spacing w:before="195" w:beforeAutospacing="off" w:after="195" w:afterAutospacing="off"/>
      </w:pPr>
      <w:r w:rsidRPr="04505805" w:rsidR="3C9DB29D">
        <w:rPr>
          <w:rFonts w:ascii="Arial" w:hAnsi="Arial" w:eastAsia="Arial" w:cs="Arial"/>
          <w:b w:val="0"/>
          <w:bCs w:val="0"/>
          <w:i w:val="0"/>
          <w:iCs w:val="0"/>
          <w:caps w:val="0"/>
          <w:smallCaps w:val="0"/>
          <w:noProof w:val="0"/>
          <w:color w:val="222222"/>
          <w:sz w:val="24"/>
          <w:szCs w:val="24"/>
          <w:lang w:val="en-GB"/>
        </w:rPr>
        <w:t>Looking ahead, Unilever must consider longer-term global trends beyond the immediate 2024–2025 horizon. Climate change, urbanisation, and digital transformation are likely to accelerate, increasing demand for sustainable and efficient solutions. Companies that fail to anticipate these trends may struggle with supply chain disruptions, reputational risks, and declining consumer trust.</w:t>
      </w:r>
    </w:p>
    <w:p w:rsidR="04505805" w:rsidP="04505805" w:rsidRDefault="04505805" w14:paraId="0C4C07BE" w14:textId="53BF793D">
      <w:pPr>
        <w:shd w:val="clear" w:color="auto" w:fill="FFFFFF" w:themeFill="background1"/>
        <w:spacing w:before="195" w:beforeAutospacing="off" w:after="195" w:afterAutospacing="off"/>
      </w:pPr>
    </w:p>
    <w:p w:rsidR="3C9DB29D" w:rsidP="04505805" w:rsidRDefault="3C9DB29D" w14:paraId="1D670AE5" w14:textId="07FAEF35">
      <w:pPr>
        <w:shd w:val="clear" w:color="auto" w:fill="FFFFFF" w:themeFill="background1"/>
        <w:spacing w:before="195" w:beforeAutospacing="off" w:after="195" w:afterAutospacing="off"/>
      </w:pPr>
      <w:r w:rsidRPr="04505805" w:rsidR="3C9DB29D">
        <w:rPr>
          <w:rFonts w:ascii="Arial" w:hAnsi="Arial" w:eastAsia="Arial" w:cs="Arial"/>
          <w:b w:val="0"/>
          <w:bCs w:val="0"/>
          <w:i w:val="0"/>
          <w:iCs w:val="0"/>
          <w:caps w:val="0"/>
          <w:smallCaps w:val="0"/>
          <w:noProof w:val="0"/>
          <w:color w:val="222222"/>
          <w:sz w:val="24"/>
          <w:szCs w:val="24"/>
          <w:lang w:val="en-GB"/>
        </w:rPr>
        <w:t>Strategic foresight involves scenario planning, horizon scanning, and investment in innovation to stay ahead of these changes. By developing multiple scenarios for potential geopolitical, technological, and environmental developments, Unilever can prepare contingency plans, adjust resource allocation, and ensure that operations remain resilient under different circumstances. This approach turns uncertainty into an advantage by enabling faster, more informed decision-making.</w:t>
      </w:r>
    </w:p>
    <w:p w:rsidR="04505805" w:rsidRDefault="04505805" w14:paraId="66779CDA" w14:textId="6C97E41A"/>
    <w:p w:rsidR="04505805" w:rsidP="04505805" w:rsidRDefault="04505805" w14:paraId="2076B696" w14:textId="46E27204">
      <w:pPr>
        <w:shd w:val="clear" w:color="auto" w:fill="FFFFFF" w:themeFill="background1"/>
        <w:spacing w:before="0" w:beforeAutospacing="off" w:after="0" w:afterAutospacing="off"/>
      </w:pPr>
    </w:p>
    <w:p w:rsidR="44AD1D40" w:rsidP="04505805" w:rsidRDefault="44AD1D40" w14:paraId="0D898606" w14:textId="7F8E999F">
      <w:pPr>
        <w:pStyle w:val="Heading2"/>
        <w:shd w:val="clear" w:color="auto" w:fill="FFFFFF" w:themeFill="background1"/>
        <w:spacing w:before="243" w:beforeAutospacing="off" w:after="243" w:afterAutospacing="off"/>
      </w:pPr>
      <w:r w:rsidRPr="04505805" w:rsidR="44AD1D40">
        <w:rPr>
          <w:rFonts w:ascii="Arial" w:hAnsi="Arial" w:eastAsia="Arial" w:cs="Arial"/>
          <w:b w:val="1"/>
          <w:bCs w:val="1"/>
          <w:i w:val="0"/>
          <w:iCs w:val="0"/>
          <w:caps w:val="0"/>
          <w:smallCaps w:val="0"/>
          <w:noProof w:val="0"/>
          <w:color w:val="222222"/>
          <w:sz w:val="29"/>
          <w:szCs w:val="29"/>
          <w:lang w:val="en-GB"/>
        </w:rPr>
        <w:t>Sustainability and Corporate Responsibility</w:t>
      </w:r>
    </w:p>
    <w:p w:rsidR="04505805" w:rsidP="04505805" w:rsidRDefault="04505805" w14:paraId="66671C0E" w14:textId="02DD0737">
      <w:pPr>
        <w:shd w:val="clear" w:color="auto" w:fill="FFFFFF" w:themeFill="background1"/>
        <w:spacing w:before="195" w:beforeAutospacing="off" w:after="195" w:afterAutospacing="off"/>
      </w:pPr>
    </w:p>
    <w:p w:rsidR="44AD1D40" w:rsidP="04505805" w:rsidRDefault="44AD1D40" w14:paraId="167B9E1E" w14:textId="7C1A73A1">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Environmental regulations are becoming more stringent worldwide, with frameworks like the EU’s Corporate Sustainability Reporting Directive (CSRD) setting higher standards for ESG reporting. CSRD requires companies to track and disclose extensive environmental, social, and governance data across their supply chains (Eccles &amp; Krzus, 2022).</w:t>
      </w:r>
    </w:p>
    <w:p w:rsidR="04505805" w:rsidP="04505805" w:rsidRDefault="04505805" w14:paraId="31DDC64E" w14:textId="41521B19">
      <w:pPr>
        <w:shd w:val="clear" w:color="auto" w:fill="FFFFFF" w:themeFill="background1"/>
        <w:spacing w:before="195" w:beforeAutospacing="off" w:after="195" w:afterAutospacing="off"/>
      </w:pPr>
    </w:p>
    <w:p w:rsidR="44AD1D40" w:rsidP="04505805" w:rsidRDefault="44AD1D40" w14:paraId="5C4F516A" w14:textId="18075B0B">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Unilever has long positioned itself as a sustainability leader, making CSRD compliance an opportunity rather than a burden. Initiatives such as low-carbon manufacturing, recyclable packaging, and responsibly sourced raw materials allow the company to differentiate itself in the marketplace. At the same time, gathering accurate ESG data from a complex global supply chain can be resource-intensive and may expose the company to reputational risk if standards are not met (OECD, 2021).</w:t>
      </w:r>
    </w:p>
    <w:p w:rsidR="04505805" w:rsidP="04505805" w:rsidRDefault="04505805" w14:paraId="69D9CD51" w14:textId="30853783">
      <w:pPr>
        <w:shd w:val="clear" w:color="auto" w:fill="FFFFFF" w:themeFill="background1"/>
        <w:spacing w:before="195" w:beforeAutospacing="off" w:after="195" w:afterAutospacing="off"/>
      </w:pPr>
    </w:p>
    <w:p w:rsidR="44AD1D40" w:rsidP="04505805" w:rsidRDefault="44AD1D40" w14:paraId="2500C839" w14:textId="6C6B84FC">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Sustainability also aligns with changing consumer preferences. Increasingly, buyers expect transparency and environmental accountability. Integrating ESG considerations into product innovation not only strengthens Unilever’s market position but also supports long-term resilience, as environmentally responsible practices often lead to cost savings and risk mitigation over time.</w:t>
      </w:r>
    </w:p>
    <w:p w:rsidR="04505805" w:rsidP="04505805" w:rsidRDefault="04505805" w14:paraId="6A7E0880" w14:textId="0BCDDF1C">
      <w:pPr>
        <w:shd w:val="clear" w:color="auto" w:fill="FFFFFF" w:themeFill="background1"/>
        <w:spacing w:before="0" w:beforeAutospacing="off" w:after="0" w:afterAutospacing="off"/>
      </w:pPr>
    </w:p>
    <w:p w:rsidR="44AD1D40" w:rsidP="04505805" w:rsidRDefault="44AD1D40" w14:paraId="576E74B4" w14:textId="5FD024A2">
      <w:pPr>
        <w:pStyle w:val="Heading2"/>
        <w:shd w:val="clear" w:color="auto" w:fill="FFFFFF" w:themeFill="background1"/>
        <w:spacing w:before="243" w:beforeAutospacing="off" w:after="243" w:afterAutospacing="off"/>
      </w:pPr>
      <w:r w:rsidRPr="04505805" w:rsidR="44AD1D40">
        <w:rPr>
          <w:rFonts w:ascii="Arial" w:hAnsi="Arial" w:eastAsia="Arial" w:cs="Arial"/>
          <w:b w:val="1"/>
          <w:bCs w:val="1"/>
          <w:i w:val="0"/>
          <w:iCs w:val="0"/>
          <w:caps w:val="0"/>
          <w:smallCaps w:val="0"/>
          <w:noProof w:val="0"/>
          <w:color w:val="222222"/>
          <w:sz w:val="29"/>
          <w:szCs w:val="29"/>
          <w:lang w:val="en-GB"/>
        </w:rPr>
        <w:t>Strategic Implications</w:t>
      </w:r>
    </w:p>
    <w:p w:rsidR="04505805" w:rsidP="04505805" w:rsidRDefault="04505805" w14:paraId="192E2F02" w14:textId="55759327">
      <w:pPr>
        <w:shd w:val="clear" w:color="auto" w:fill="FFFFFF" w:themeFill="background1"/>
        <w:spacing w:before="195" w:beforeAutospacing="off" w:after="195" w:afterAutospacing="off"/>
      </w:pPr>
    </w:p>
    <w:p w:rsidR="44AD1D40" w:rsidP="04505805" w:rsidRDefault="44AD1D40" w14:paraId="2DD58F9D" w14:textId="0C0C5774">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The combined influence of AI, geopolitical pressures, and sustainability regulations requires an integrated strategy. Several approaches are crucial for Unilever:</w:t>
      </w:r>
    </w:p>
    <w:p w:rsidR="44AD1D40" w:rsidP="04505805" w:rsidRDefault="44AD1D40" w14:paraId="21B30159" w14:textId="181BDB87">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04505805" w:rsidR="44AD1D40">
        <w:rPr>
          <w:rFonts w:ascii="Arial" w:hAnsi="Arial" w:eastAsia="Arial" w:cs="Arial"/>
          <w:b w:val="0"/>
          <w:bCs w:val="0"/>
          <w:i w:val="0"/>
          <w:iCs w:val="0"/>
          <w:caps w:val="0"/>
          <w:smallCaps w:val="0"/>
          <w:noProof w:val="0"/>
          <w:color w:val="222222"/>
          <w:sz w:val="24"/>
          <w:szCs w:val="24"/>
          <w:lang w:val="en-GB"/>
        </w:rPr>
        <w:t xml:space="preserve">Invest in AI and Digital Capabilities: Expanding AI platforms for </w:t>
      </w:r>
      <w:r w:rsidRPr="04505805" w:rsidR="3E11C709">
        <w:rPr>
          <w:rFonts w:ascii="Arial" w:hAnsi="Arial" w:eastAsia="Arial" w:cs="Arial"/>
          <w:b w:val="0"/>
          <w:bCs w:val="0"/>
          <w:i w:val="0"/>
          <w:iCs w:val="0"/>
          <w:caps w:val="0"/>
          <w:smallCaps w:val="0"/>
          <w:noProof w:val="0"/>
          <w:color w:val="222222"/>
          <w:sz w:val="24"/>
          <w:szCs w:val="24"/>
          <w:lang w:val="en-GB"/>
        </w:rPr>
        <w:t>organization</w:t>
      </w:r>
      <w:r w:rsidRPr="04505805" w:rsidR="44AD1D40">
        <w:rPr>
          <w:rFonts w:ascii="Arial" w:hAnsi="Arial" w:eastAsia="Arial" w:cs="Arial"/>
          <w:b w:val="0"/>
          <w:bCs w:val="0"/>
          <w:i w:val="0"/>
          <w:iCs w:val="0"/>
          <w:caps w:val="0"/>
          <w:smallCaps w:val="0"/>
          <w:noProof w:val="0"/>
          <w:color w:val="222222"/>
          <w:sz w:val="24"/>
          <w:szCs w:val="24"/>
          <w:lang w:val="en-GB"/>
        </w:rPr>
        <w:t xml:space="preserve">, marketing, and production forecasting enhances efficiency and decision-making. Continuous employee training ensures the workforce can </w:t>
      </w:r>
      <w:r w:rsidRPr="04505805" w:rsidR="44AD1D40">
        <w:rPr>
          <w:rFonts w:ascii="Arial" w:hAnsi="Arial" w:eastAsia="Arial" w:cs="Arial"/>
          <w:b w:val="0"/>
          <w:bCs w:val="0"/>
          <w:i w:val="0"/>
          <w:iCs w:val="0"/>
          <w:caps w:val="0"/>
          <w:smallCaps w:val="0"/>
          <w:noProof w:val="0"/>
          <w:color w:val="222222"/>
          <w:sz w:val="24"/>
          <w:szCs w:val="24"/>
          <w:lang w:val="en-GB"/>
        </w:rPr>
        <w:t>leverage</w:t>
      </w:r>
      <w:r w:rsidRPr="04505805" w:rsidR="44AD1D40">
        <w:rPr>
          <w:rFonts w:ascii="Arial" w:hAnsi="Arial" w:eastAsia="Arial" w:cs="Arial"/>
          <w:b w:val="0"/>
          <w:bCs w:val="0"/>
          <w:i w:val="0"/>
          <w:iCs w:val="0"/>
          <w:caps w:val="0"/>
          <w:smallCaps w:val="0"/>
          <w:noProof w:val="0"/>
          <w:color w:val="222222"/>
          <w:sz w:val="24"/>
          <w:szCs w:val="24"/>
          <w:lang w:val="en-GB"/>
        </w:rPr>
        <w:t xml:space="preserve"> these tools effectively.</w:t>
      </w:r>
    </w:p>
    <w:p w:rsidR="44AD1D40" w:rsidP="04505805" w:rsidRDefault="44AD1D40" w14:paraId="5DD6068A" w14:textId="13F76452">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04505805" w:rsidR="44AD1D40">
        <w:rPr>
          <w:rFonts w:ascii="Arial" w:hAnsi="Arial" w:eastAsia="Arial" w:cs="Arial"/>
          <w:b w:val="0"/>
          <w:bCs w:val="0"/>
          <w:i w:val="0"/>
          <w:iCs w:val="0"/>
          <w:caps w:val="0"/>
          <w:smallCaps w:val="0"/>
          <w:noProof w:val="0"/>
          <w:color w:val="222222"/>
          <w:sz w:val="24"/>
          <w:szCs w:val="24"/>
          <w:lang w:val="en-GB"/>
        </w:rPr>
        <w:t>Diversify Supply Chains: Multi-regional sourcing, nearshoring, and scenario-based simulations help reduce vulnerability to geopolitical or climate-related disruptions.</w:t>
      </w:r>
    </w:p>
    <w:p w:rsidR="44AD1D40" w:rsidP="04505805" w:rsidRDefault="44AD1D40" w14:paraId="6EC6D3FE" w14:textId="180C93DF">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04505805" w:rsidR="44AD1D40">
        <w:rPr>
          <w:rFonts w:ascii="Arial" w:hAnsi="Arial" w:eastAsia="Arial" w:cs="Arial"/>
          <w:b w:val="0"/>
          <w:bCs w:val="0"/>
          <w:i w:val="0"/>
          <w:iCs w:val="0"/>
          <w:caps w:val="0"/>
          <w:smallCaps w:val="0"/>
          <w:noProof w:val="0"/>
          <w:color w:val="222222"/>
          <w:sz w:val="24"/>
          <w:szCs w:val="24"/>
          <w:lang w:val="en-GB"/>
        </w:rPr>
        <w:t>Sustainability Leadership: Strengthening ESG reporting, using blockchain for traceability, and embedding circular economy principles in product design position Unilever as a responsible market leader.</w:t>
      </w:r>
    </w:p>
    <w:p w:rsidR="44AD1D40" w:rsidP="04505805" w:rsidRDefault="44AD1D40" w14:paraId="4D956BAA" w14:textId="0463BAA7">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04505805" w:rsidR="44AD1D40">
        <w:rPr>
          <w:rFonts w:ascii="Arial" w:hAnsi="Arial" w:eastAsia="Arial" w:cs="Arial"/>
          <w:b w:val="0"/>
          <w:bCs w:val="0"/>
          <w:i w:val="0"/>
          <w:iCs w:val="0"/>
          <w:caps w:val="0"/>
          <w:smallCaps w:val="0"/>
          <w:noProof w:val="0"/>
          <w:color w:val="222222"/>
          <w:sz w:val="24"/>
          <w:szCs w:val="24"/>
          <w:lang w:val="en-GB"/>
        </w:rPr>
        <w:t>Develop Human Capital: Upskilling staff in digital, AI, and sustainability competencies ensures operational agility and innovation capability. Diversity and inclusion initiatives further enhance creativity and market understanding.</w:t>
      </w:r>
    </w:p>
    <w:p w:rsidR="44AD1D40" w:rsidP="04505805" w:rsidRDefault="44AD1D40" w14:paraId="47A9AEC9" w14:textId="24D50BA8">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04505805" w:rsidR="44AD1D40">
        <w:rPr>
          <w:rFonts w:ascii="Arial" w:hAnsi="Arial" w:eastAsia="Arial" w:cs="Arial"/>
          <w:b w:val="0"/>
          <w:bCs w:val="0"/>
          <w:i w:val="0"/>
          <w:iCs w:val="0"/>
          <w:caps w:val="0"/>
          <w:smallCaps w:val="0"/>
          <w:noProof w:val="0"/>
          <w:color w:val="222222"/>
          <w:sz w:val="24"/>
          <w:szCs w:val="24"/>
          <w:lang w:val="en-GB"/>
        </w:rPr>
        <w:t>Enhance Market Agility: Flexible manufacturing, data-driven consumer insights, and expanded e-commerce platforms allow rapid adaptation to shifting consumer demands, particularly in emerging economies.</w:t>
      </w:r>
    </w:p>
    <w:p w:rsidR="04505805" w:rsidP="04505805" w:rsidRDefault="04505805" w14:paraId="3597D5BB" w14:textId="3CCC94CF">
      <w:pPr>
        <w:shd w:val="clear" w:color="auto" w:fill="FFFFFF" w:themeFill="background1"/>
        <w:spacing w:before="195" w:beforeAutospacing="off" w:after="195" w:afterAutospacing="off"/>
      </w:pPr>
    </w:p>
    <w:p w:rsidR="44AD1D40" w:rsidP="04505805" w:rsidRDefault="44AD1D40" w14:paraId="34A6675A" w14:textId="0CC2128D">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Implementing these strategies enables Unilever to turn global challenges into opportunities, maintain competitive advantage, and safeguard brand reputation in a complex international environment.</w:t>
      </w:r>
    </w:p>
    <w:p w:rsidR="04505805" w:rsidP="04505805" w:rsidRDefault="04505805" w14:paraId="3EA4722A" w14:textId="3A9FB712">
      <w:pPr>
        <w:shd w:val="clear" w:color="auto" w:fill="FFFFFF" w:themeFill="background1"/>
        <w:spacing w:before="0" w:beforeAutospacing="off" w:after="0" w:afterAutospacing="off"/>
      </w:pPr>
    </w:p>
    <w:p w:rsidR="44AD1D40" w:rsidP="04505805" w:rsidRDefault="44AD1D40" w14:paraId="0DE1F182" w14:textId="58558969">
      <w:pPr>
        <w:pStyle w:val="Heading2"/>
        <w:shd w:val="clear" w:color="auto" w:fill="FFFFFF" w:themeFill="background1"/>
        <w:spacing w:before="243" w:beforeAutospacing="off" w:after="243" w:afterAutospacing="off"/>
      </w:pPr>
      <w:r w:rsidRPr="04505805" w:rsidR="44AD1D40">
        <w:rPr>
          <w:rFonts w:ascii="Arial" w:hAnsi="Arial" w:eastAsia="Arial" w:cs="Arial"/>
          <w:b w:val="1"/>
          <w:bCs w:val="1"/>
          <w:i w:val="0"/>
          <w:iCs w:val="0"/>
          <w:caps w:val="0"/>
          <w:smallCaps w:val="0"/>
          <w:noProof w:val="0"/>
          <w:color w:val="222222"/>
          <w:sz w:val="29"/>
          <w:szCs w:val="29"/>
          <w:lang w:val="en-GB"/>
        </w:rPr>
        <w:t>Conclusion</w:t>
      </w:r>
    </w:p>
    <w:p w:rsidR="04505805" w:rsidP="04505805" w:rsidRDefault="04505805" w14:paraId="71259301" w14:textId="1B183165">
      <w:pPr>
        <w:shd w:val="clear" w:color="auto" w:fill="FFFFFF" w:themeFill="background1"/>
        <w:spacing w:before="195" w:beforeAutospacing="off" w:after="195" w:afterAutospacing="off"/>
      </w:pPr>
    </w:p>
    <w:p w:rsidR="44AD1D40" w:rsidP="04505805" w:rsidRDefault="44AD1D40" w14:paraId="0FF6A21E" w14:textId="09CBCFEC">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Global forces are reshaping the landscape in which Unilever operates. AI offers unprecedented efficiency and insights, geopolitical volatility demands resilient supply chains, and sustainability regulations present both opportunities and compliance challenges. Navigating these forces successfully requires a proactive, integrated strategy that combines technology investment, risk management, sustainability leadership, and human capital development.</w:t>
      </w:r>
    </w:p>
    <w:p w:rsidR="04505805" w:rsidP="04505805" w:rsidRDefault="04505805" w14:paraId="5ED9F945" w14:textId="79E91D5E">
      <w:pPr>
        <w:shd w:val="clear" w:color="auto" w:fill="FFFFFF" w:themeFill="background1"/>
        <w:spacing w:before="195" w:beforeAutospacing="off" w:after="195" w:afterAutospacing="off"/>
      </w:pPr>
    </w:p>
    <w:p w:rsidR="44AD1D40" w:rsidP="04505805" w:rsidRDefault="44AD1D40" w14:paraId="242E4577" w14:textId="345781DD">
      <w:pPr>
        <w:shd w:val="clear" w:color="auto" w:fill="FFFFFF" w:themeFill="background1"/>
        <w:spacing w:before="195" w:beforeAutospacing="off" w:after="195" w:afterAutospacing="off"/>
      </w:pPr>
      <w:r w:rsidRPr="04505805" w:rsidR="44AD1D40">
        <w:rPr>
          <w:rFonts w:ascii="Arial" w:hAnsi="Arial" w:eastAsia="Arial" w:cs="Arial"/>
          <w:b w:val="0"/>
          <w:bCs w:val="0"/>
          <w:i w:val="0"/>
          <w:iCs w:val="0"/>
          <w:caps w:val="0"/>
          <w:smallCaps w:val="0"/>
          <w:noProof w:val="0"/>
          <w:color w:val="222222"/>
          <w:sz w:val="24"/>
          <w:szCs w:val="24"/>
          <w:lang w:val="en-GB"/>
        </w:rPr>
        <w:t>By embracing these strategies, Unilever can not only mitigate potential risks but also seize opportunities for innovation, brand growth, and global competitiveness. In an era defined by uncertainty and rapid change, the company’s ability to adapt, innovate, and lead responsibly will determine its long-term success.</w:t>
      </w:r>
    </w:p>
    <w:p w:rsidR="04505805" w:rsidRDefault="04505805" w14:paraId="645B79DE" w14:textId="66AE246D"/>
    <w:p w:rsidR="04505805" w:rsidP="04505805" w:rsidRDefault="04505805" w14:paraId="05065A90" w14:textId="454591DE">
      <w:pPr>
        <w:pStyle w:val="Normal"/>
      </w:pPr>
    </w:p>
    <w:p w:rsidR="04505805" w:rsidP="04505805" w:rsidRDefault="04505805" w14:paraId="1EE570A1" w14:textId="4E90C8B8">
      <w:pPr>
        <w:pStyle w:val="Normal"/>
      </w:pPr>
    </w:p>
    <w:p w:rsidR="76A6E6E3" w:rsidP="04505805" w:rsidRDefault="76A6E6E3" w14:paraId="69A058BF" w14:textId="2E5EE2E5">
      <w:pPr>
        <w:pStyle w:val="Normal"/>
        <w:rPr>
          <w:b w:val="1"/>
          <w:bCs w:val="1"/>
          <w:sz w:val="28"/>
          <w:szCs w:val="28"/>
        </w:rPr>
      </w:pPr>
      <w:r w:rsidRPr="04505805" w:rsidR="76A6E6E3">
        <w:rPr>
          <w:b w:val="1"/>
          <w:bCs w:val="1"/>
          <w:sz w:val="28"/>
          <w:szCs w:val="28"/>
        </w:rPr>
        <w:t>References:</w:t>
      </w:r>
    </w:p>
    <w:p w:rsidR="04505805" w:rsidP="04505805" w:rsidRDefault="04505805" w14:paraId="1FC4CBFE" w14:textId="691607B6">
      <w:pPr>
        <w:pStyle w:val="Normal"/>
      </w:pPr>
    </w:p>
    <w:p w:rsidR="76A6E6E3" w:rsidP="04505805" w:rsidRDefault="76A6E6E3" w14:paraId="13065612" w14:textId="5FA72E9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04505805" w:rsidR="76A6E6E3">
        <w:rPr>
          <w:rFonts w:ascii="Arial" w:hAnsi="Arial" w:eastAsia="Arial" w:cs="Arial"/>
          <w:b w:val="0"/>
          <w:bCs w:val="0"/>
          <w:i w:val="0"/>
          <w:iCs w:val="0"/>
          <w:caps w:val="0"/>
          <w:smallCaps w:val="0"/>
          <w:noProof w:val="0"/>
          <w:color w:val="222222"/>
          <w:sz w:val="24"/>
          <w:szCs w:val="24"/>
          <w:lang w:val="en-GB"/>
        </w:rPr>
        <w:t>Antràs</w:t>
      </w:r>
      <w:r w:rsidRPr="04505805" w:rsidR="76A6E6E3">
        <w:rPr>
          <w:rFonts w:ascii="Arial" w:hAnsi="Arial" w:eastAsia="Arial" w:cs="Arial"/>
          <w:b w:val="0"/>
          <w:bCs w:val="0"/>
          <w:i w:val="0"/>
          <w:iCs w:val="0"/>
          <w:caps w:val="0"/>
          <w:smallCaps w:val="0"/>
          <w:noProof w:val="0"/>
          <w:color w:val="222222"/>
          <w:sz w:val="24"/>
          <w:szCs w:val="24"/>
          <w:lang w:val="en-GB"/>
        </w:rPr>
        <w:t>, P. (2023). Globalisation after the pandemic: reconfiguring supply chains. *Journal of International Economics*, 103789.</w:t>
      </w:r>
    </w:p>
    <w:p w:rsidR="76A6E6E3" w:rsidP="04505805" w:rsidRDefault="76A6E6E3" w14:paraId="3296FDED" w14:textId="0076107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04505805" w:rsidR="76A6E6E3">
        <w:rPr>
          <w:rFonts w:ascii="Arial" w:hAnsi="Arial" w:eastAsia="Arial" w:cs="Arial"/>
          <w:b w:val="0"/>
          <w:bCs w:val="0"/>
          <w:i w:val="0"/>
          <w:iCs w:val="0"/>
          <w:caps w:val="0"/>
          <w:smallCaps w:val="0"/>
          <w:noProof w:val="0"/>
          <w:color w:val="222222"/>
          <w:sz w:val="24"/>
          <w:szCs w:val="24"/>
          <w:lang w:val="en-GB"/>
        </w:rPr>
        <w:t xml:space="preserve"> </w:t>
      </w:r>
      <w:hyperlink r:id="Ra3c2258ebacd4653">
        <w:r w:rsidRPr="04505805" w:rsidR="76A6E6E3">
          <w:rPr>
            <w:rStyle w:val="Hyperlink"/>
            <w:rFonts w:ascii="Arial" w:hAnsi="Arial" w:eastAsia="Arial" w:cs="Arial"/>
            <w:b w:val="0"/>
            <w:bCs w:val="0"/>
            <w:i w:val="0"/>
            <w:iCs w:val="0"/>
            <w:caps w:val="0"/>
            <w:smallCaps w:val="0"/>
            <w:noProof w:val="0"/>
            <w:color w:val="1155CC"/>
            <w:sz w:val="24"/>
            <w:szCs w:val="24"/>
            <w:lang w:val="en-GB"/>
          </w:rPr>
          <w:t>https://doi.org/10.1016/j.jinteco.2023.103789</w:t>
        </w:r>
      </w:hyperlink>
      <w:r w:rsidRPr="04505805" w:rsidR="76A6E6E3">
        <w:rPr>
          <w:rFonts w:ascii="Arial" w:hAnsi="Arial" w:eastAsia="Arial" w:cs="Arial"/>
          <w:b w:val="0"/>
          <w:bCs w:val="0"/>
          <w:i w:val="0"/>
          <w:iCs w:val="0"/>
          <w:caps w:val="0"/>
          <w:smallCaps w:val="0"/>
          <w:noProof w:val="0"/>
          <w:color w:val="222222"/>
          <w:sz w:val="24"/>
          <w:szCs w:val="24"/>
          <w:lang w:val="en-GB"/>
        </w:rPr>
        <w:t xml:space="preserve"> </w:t>
      </w:r>
      <w:r>
        <w:br/>
      </w:r>
      <w:r>
        <w:br/>
      </w:r>
      <w:r w:rsidRPr="04505805" w:rsidR="76A6E6E3">
        <w:rPr>
          <w:rFonts w:ascii="Arial" w:hAnsi="Arial" w:eastAsia="Arial" w:cs="Arial"/>
          <w:b w:val="0"/>
          <w:bCs w:val="0"/>
          <w:i w:val="0"/>
          <w:iCs w:val="0"/>
          <w:caps w:val="0"/>
          <w:smallCaps w:val="0"/>
          <w:noProof w:val="0"/>
          <w:color w:val="222222"/>
          <w:sz w:val="24"/>
          <w:szCs w:val="24"/>
          <w:lang w:val="en-GB"/>
        </w:rPr>
        <w:t>Baldwin, R. (2022). *The Great Convergence Revisited: Geopolitics and Global Trade*. Oxford: Oxford University Press.</w:t>
      </w:r>
      <w:r w:rsidRPr="04505805" w:rsidR="77E363D8">
        <w:rPr>
          <w:rFonts w:ascii="Arial" w:hAnsi="Arial" w:eastAsia="Arial" w:cs="Arial"/>
          <w:b w:val="0"/>
          <w:bCs w:val="0"/>
          <w:i w:val="0"/>
          <w:iCs w:val="0"/>
          <w:caps w:val="0"/>
          <w:smallCaps w:val="0"/>
          <w:noProof w:val="0"/>
          <w:color w:val="222222"/>
          <w:sz w:val="24"/>
          <w:szCs w:val="24"/>
          <w:lang w:val="en-GB"/>
        </w:rPr>
        <w:t xml:space="preserve"> </w:t>
      </w:r>
      <w:r w:rsidRPr="04505805" w:rsidR="76A6E6E3">
        <w:rPr>
          <w:rFonts w:ascii="Arial" w:hAnsi="Arial" w:eastAsia="Arial" w:cs="Arial"/>
          <w:b w:val="0"/>
          <w:bCs w:val="0"/>
          <w:i w:val="0"/>
          <w:iCs w:val="0"/>
          <w:caps w:val="0"/>
          <w:smallCaps w:val="0"/>
          <w:noProof w:val="0"/>
          <w:color w:val="222222"/>
          <w:sz w:val="24"/>
          <w:szCs w:val="24"/>
          <w:lang w:val="en-GB"/>
        </w:rPr>
        <w:t xml:space="preserve"> </w:t>
      </w:r>
      <w:hyperlink r:id="Rba21e3dbf0b44a1c">
        <w:r w:rsidRPr="04505805" w:rsidR="76A6E6E3">
          <w:rPr>
            <w:rStyle w:val="Hyperlink"/>
            <w:rFonts w:ascii="Arial" w:hAnsi="Arial" w:eastAsia="Arial" w:cs="Arial"/>
            <w:b w:val="0"/>
            <w:bCs w:val="0"/>
            <w:i w:val="0"/>
            <w:iCs w:val="0"/>
            <w:caps w:val="0"/>
            <w:smallCaps w:val="0"/>
            <w:noProof w:val="0"/>
            <w:color w:val="1155CC"/>
            <w:sz w:val="24"/>
            <w:szCs w:val="24"/>
            <w:lang w:val="en-GB"/>
          </w:rPr>
          <w:t>https://global.oup.com/academic/product/the-great-convergence-revisited-9780197644460</w:t>
        </w:r>
      </w:hyperlink>
      <w:r>
        <w:br/>
      </w:r>
      <w:r>
        <w:br/>
      </w:r>
      <w:r w:rsidRPr="04505805" w:rsidR="76A6E6E3">
        <w:rPr>
          <w:rFonts w:ascii="Arial" w:hAnsi="Arial" w:eastAsia="Arial" w:cs="Arial"/>
          <w:b w:val="0"/>
          <w:bCs w:val="0"/>
          <w:i w:val="0"/>
          <w:iCs w:val="0"/>
          <w:caps w:val="0"/>
          <w:smallCaps w:val="0"/>
          <w:noProof w:val="0"/>
          <w:color w:val="222222"/>
          <w:sz w:val="24"/>
          <w:szCs w:val="24"/>
          <w:lang w:val="en-GB"/>
        </w:rPr>
        <w:t xml:space="preserve">Cavusgil, S., Knight, G., &amp; Riesenberger, J. (2020). *International Business: The New Realities*. 5th </w:t>
      </w:r>
      <w:r w:rsidRPr="04505805" w:rsidR="76A6E6E3">
        <w:rPr>
          <w:rFonts w:ascii="Arial" w:hAnsi="Arial" w:eastAsia="Arial" w:cs="Arial"/>
          <w:b w:val="0"/>
          <w:bCs w:val="0"/>
          <w:i w:val="0"/>
          <w:iCs w:val="0"/>
          <w:caps w:val="0"/>
          <w:smallCaps w:val="0"/>
          <w:noProof w:val="0"/>
          <w:color w:val="222222"/>
          <w:sz w:val="24"/>
          <w:szCs w:val="24"/>
          <w:lang w:val="en-GB"/>
        </w:rPr>
        <w:t>edn</w:t>
      </w:r>
      <w:r w:rsidRPr="04505805" w:rsidR="76A6E6E3">
        <w:rPr>
          <w:rFonts w:ascii="Arial" w:hAnsi="Arial" w:eastAsia="Arial" w:cs="Arial"/>
          <w:b w:val="0"/>
          <w:bCs w:val="0"/>
          <w:i w:val="0"/>
          <w:iCs w:val="0"/>
          <w:caps w:val="0"/>
          <w:smallCaps w:val="0"/>
          <w:noProof w:val="0"/>
          <w:color w:val="222222"/>
          <w:sz w:val="24"/>
          <w:szCs w:val="24"/>
          <w:lang w:val="en-GB"/>
        </w:rPr>
        <w:t xml:space="preserve">. Harlow: Pearson. </w:t>
      </w:r>
      <w:hyperlink r:id="R55f3f783c24344eb">
        <w:r w:rsidRPr="04505805" w:rsidR="76A6E6E3">
          <w:rPr>
            <w:rStyle w:val="Hyperlink"/>
            <w:rFonts w:ascii="Arial" w:hAnsi="Arial" w:eastAsia="Arial" w:cs="Arial"/>
            <w:b w:val="0"/>
            <w:bCs w:val="0"/>
            <w:i w:val="0"/>
            <w:iCs w:val="0"/>
            <w:caps w:val="0"/>
            <w:smallCaps w:val="0"/>
            <w:noProof w:val="0"/>
            <w:color w:val="1155CC"/>
            <w:sz w:val="24"/>
            <w:szCs w:val="24"/>
            <w:lang w:val="en-GB"/>
          </w:rPr>
          <w:t>https://www.pearson.com/en-us/subject-catalog/p/international-business-the-new-realities/P200000005845/9780137592742</w:t>
        </w:r>
      </w:hyperlink>
      <w:r>
        <w:br/>
      </w:r>
      <w:r>
        <w:br/>
      </w:r>
      <w:r w:rsidRPr="04505805" w:rsidR="76A6E6E3">
        <w:rPr>
          <w:rFonts w:ascii="Arial" w:hAnsi="Arial" w:eastAsia="Arial" w:cs="Arial"/>
          <w:b w:val="0"/>
          <w:bCs w:val="0"/>
          <w:i w:val="0"/>
          <w:iCs w:val="0"/>
          <w:caps w:val="0"/>
          <w:smallCaps w:val="0"/>
          <w:noProof w:val="0"/>
          <w:color w:val="222222"/>
          <w:sz w:val="24"/>
          <w:szCs w:val="24"/>
          <w:lang w:val="en-GB"/>
        </w:rPr>
        <w:t xml:space="preserve">Christopher, M. (2022). *Logistics &amp; Supply Chain Management*. 6th </w:t>
      </w:r>
      <w:r w:rsidRPr="04505805" w:rsidR="76A6E6E3">
        <w:rPr>
          <w:rFonts w:ascii="Arial" w:hAnsi="Arial" w:eastAsia="Arial" w:cs="Arial"/>
          <w:b w:val="0"/>
          <w:bCs w:val="0"/>
          <w:i w:val="0"/>
          <w:iCs w:val="0"/>
          <w:caps w:val="0"/>
          <w:smallCaps w:val="0"/>
          <w:noProof w:val="0"/>
          <w:color w:val="222222"/>
          <w:sz w:val="24"/>
          <w:szCs w:val="24"/>
          <w:lang w:val="en-GB"/>
        </w:rPr>
        <w:t>edn</w:t>
      </w:r>
      <w:r w:rsidRPr="04505805" w:rsidR="76A6E6E3">
        <w:rPr>
          <w:rFonts w:ascii="Arial" w:hAnsi="Arial" w:eastAsia="Arial" w:cs="Arial"/>
          <w:b w:val="0"/>
          <w:bCs w:val="0"/>
          <w:i w:val="0"/>
          <w:iCs w:val="0"/>
          <w:caps w:val="0"/>
          <w:smallCaps w:val="0"/>
          <w:noProof w:val="0"/>
          <w:color w:val="222222"/>
          <w:sz w:val="24"/>
          <w:szCs w:val="24"/>
          <w:lang w:val="en-GB"/>
        </w:rPr>
        <w:t>. Harlow: Pearson</w:t>
      </w:r>
      <w:r w:rsidRPr="04505805" w:rsidR="32014620">
        <w:rPr>
          <w:rFonts w:ascii="Arial" w:hAnsi="Arial" w:eastAsia="Arial" w:cs="Arial"/>
          <w:b w:val="0"/>
          <w:bCs w:val="0"/>
          <w:i w:val="0"/>
          <w:iCs w:val="0"/>
          <w:caps w:val="0"/>
          <w:smallCaps w:val="0"/>
          <w:noProof w:val="0"/>
          <w:color w:val="222222"/>
          <w:sz w:val="24"/>
          <w:szCs w:val="24"/>
          <w:lang w:val="en-GB"/>
        </w:rPr>
        <w:t xml:space="preserve">. </w:t>
      </w:r>
      <w:hyperlink r:id="R4384c2b40ac94cae">
        <w:r w:rsidRPr="04505805" w:rsidR="76A6E6E3">
          <w:rPr>
            <w:rStyle w:val="Hyperlink"/>
            <w:rFonts w:ascii="Arial" w:hAnsi="Arial" w:eastAsia="Arial" w:cs="Arial"/>
            <w:b w:val="0"/>
            <w:bCs w:val="0"/>
            <w:i w:val="0"/>
            <w:iCs w:val="0"/>
            <w:caps w:val="0"/>
            <w:smallCaps w:val="0"/>
            <w:noProof w:val="0"/>
            <w:color w:val="1155CC"/>
            <w:sz w:val="24"/>
            <w:szCs w:val="24"/>
            <w:lang w:val="en-GB"/>
          </w:rPr>
          <w:t>https://www.pearson.com/en-us/subject-catalog/p/logistics-supply-chain-management/P200000005845/9781292416182</w:t>
        </w:r>
      </w:hyperlink>
      <w:r>
        <w:br/>
      </w:r>
      <w:r>
        <w:br/>
      </w:r>
      <w:r w:rsidRPr="04505805" w:rsidR="76A6E6E3">
        <w:rPr>
          <w:rFonts w:ascii="Arial" w:hAnsi="Arial" w:eastAsia="Arial" w:cs="Arial"/>
          <w:b w:val="0"/>
          <w:bCs w:val="0"/>
          <w:i w:val="0"/>
          <w:iCs w:val="0"/>
          <w:caps w:val="0"/>
          <w:smallCaps w:val="0"/>
          <w:noProof w:val="0"/>
          <w:color w:val="222222"/>
          <w:sz w:val="24"/>
          <w:szCs w:val="24"/>
          <w:lang w:val="en-GB"/>
        </w:rPr>
        <w:t xml:space="preserve">Davenport, T. &amp; </w:t>
      </w:r>
      <w:r w:rsidRPr="04505805" w:rsidR="76A6E6E3">
        <w:rPr>
          <w:rFonts w:ascii="Arial" w:hAnsi="Arial" w:eastAsia="Arial" w:cs="Arial"/>
          <w:b w:val="0"/>
          <w:bCs w:val="0"/>
          <w:i w:val="0"/>
          <w:iCs w:val="0"/>
          <w:caps w:val="0"/>
          <w:smallCaps w:val="0"/>
          <w:noProof w:val="0"/>
          <w:color w:val="222222"/>
          <w:sz w:val="24"/>
          <w:szCs w:val="24"/>
          <w:lang w:val="en-GB"/>
        </w:rPr>
        <w:t>Ronanki</w:t>
      </w:r>
      <w:r w:rsidRPr="04505805" w:rsidR="76A6E6E3">
        <w:rPr>
          <w:rFonts w:ascii="Arial" w:hAnsi="Arial" w:eastAsia="Arial" w:cs="Arial"/>
          <w:b w:val="0"/>
          <w:bCs w:val="0"/>
          <w:i w:val="0"/>
          <w:iCs w:val="0"/>
          <w:caps w:val="0"/>
          <w:smallCaps w:val="0"/>
          <w:noProof w:val="0"/>
          <w:color w:val="222222"/>
          <w:sz w:val="24"/>
          <w:szCs w:val="24"/>
          <w:lang w:val="en-GB"/>
        </w:rPr>
        <w:t xml:space="preserve">, R. (2018). Artificial Intelligence for the Real World. *Harvard Business Review*. </w:t>
      </w:r>
      <w:hyperlink r:id="Rce817f57d9cd4167">
        <w:r w:rsidRPr="04505805" w:rsidR="76A6E6E3">
          <w:rPr>
            <w:rStyle w:val="Hyperlink"/>
            <w:rFonts w:ascii="Arial" w:hAnsi="Arial" w:eastAsia="Arial" w:cs="Arial"/>
            <w:b w:val="0"/>
            <w:bCs w:val="0"/>
            <w:i w:val="0"/>
            <w:iCs w:val="0"/>
            <w:caps w:val="0"/>
            <w:smallCaps w:val="0"/>
            <w:noProof w:val="0"/>
            <w:color w:val="1155CC"/>
            <w:sz w:val="24"/>
            <w:szCs w:val="24"/>
            <w:lang w:val="en-GB"/>
          </w:rPr>
          <w:t>https://hbr.org/2018/01/artificial-intelligence-for-the-real-world</w:t>
        </w:r>
      </w:hyperlink>
      <w:r w:rsidRPr="04505805" w:rsidR="76A6E6E3">
        <w:rPr>
          <w:rFonts w:ascii="Arial" w:hAnsi="Arial" w:eastAsia="Arial" w:cs="Arial"/>
          <w:b w:val="0"/>
          <w:bCs w:val="0"/>
          <w:i w:val="0"/>
          <w:iCs w:val="0"/>
          <w:caps w:val="0"/>
          <w:smallCaps w:val="0"/>
          <w:noProof w:val="0"/>
          <w:color w:val="222222"/>
          <w:sz w:val="24"/>
          <w:szCs w:val="24"/>
          <w:lang w:val="en-GB"/>
        </w:rPr>
        <w:t xml:space="preserve"> </w:t>
      </w:r>
      <w:r>
        <w:br/>
      </w:r>
      <w:r>
        <w:br/>
      </w:r>
      <w:r w:rsidRPr="04505805" w:rsidR="76A6E6E3">
        <w:rPr>
          <w:rFonts w:ascii="Arial" w:hAnsi="Arial" w:eastAsia="Arial" w:cs="Arial"/>
          <w:b w:val="0"/>
          <w:bCs w:val="0"/>
          <w:i w:val="0"/>
          <w:iCs w:val="0"/>
          <w:caps w:val="0"/>
          <w:smallCaps w:val="0"/>
          <w:noProof w:val="0"/>
          <w:color w:val="222222"/>
          <w:sz w:val="24"/>
          <w:szCs w:val="24"/>
          <w:lang w:val="en-GB"/>
        </w:rPr>
        <w:t xml:space="preserve">Eccles, R. &amp; </w:t>
      </w:r>
      <w:r w:rsidRPr="04505805" w:rsidR="76A6E6E3">
        <w:rPr>
          <w:rFonts w:ascii="Arial" w:hAnsi="Arial" w:eastAsia="Arial" w:cs="Arial"/>
          <w:b w:val="0"/>
          <w:bCs w:val="0"/>
          <w:i w:val="0"/>
          <w:iCs w:val="0"/>
          <w:caps w:val="0"/>
          <w:smallCaps w:val="0"/>
          <w:noProof w:val="0"/>
          <w:color w:val="222222"/>
          <w:sz w:val="24"/>
          <w:szCs w:val="24"/>
          <w:lang w:val="en-GB"/>
        </w:rPr>
        <w:t>Krzus</w:t>
      </w:r>
      <w:r w:rsidRPr="04505805" w:rsidR="76A6E6E3">
        <w:rPr>
          <w:rFonts w:ascii="Arial" w:hAnsi="Arial" w:eastAsia="Arial" w:cs="Arial"/>
          <w:b w:val="0"/>
          <w:bCs w:val="0"/>
          <w:i w:val="0"/>
          <w:iCs w:val="0"/>
          <w:caps w:val="0"/>
          <w:smallCaps w:val="0"/>
          <w:noProof w:val="0"/>
          <w:color w:val="222222"/>
          <w:sz w:val="24"/>
          <w:szCs w:val="24"/>
          <w:lang w:val="en-GB"/>
        </w:rPr>
        <w:t xml:space="preserve">, M. (2022). *Corporate Sustainability Reporting: Frameworks and Standards*. Hoboken: Wiley. </w:t>
      </w:r>
      <w:hyperlink r:id="Rd1887b12909c4bba">
        <w:r w:rsidRPr="04505805" w:rsidR="76A6E6E3">
          <w:rPr>
            <w:rStyle w:val="Hyperlink"/>
            <w:rFonts w:ascii="Arial" w:hAnsi="Arial" w:eastAsia="Arial" w:cs="Arial"/>
            <w:b w:val="0"/>
            <w:bCs w:val="0"/>
            <w:i w:val="0"/>
            <w:iCs w:val="0"/>
            <w:caps w:val="0"/>
            <w:smallCaps w:val="0"/>
            <w:noProof w:val="0"/>
            <w:color w:val="1155CC"/>
            <w:sz w:val="24"/>
            <w:szCs w:val="24"/>
            <w:lang w:val="en-GB"/>
          </w:rPr>
          <w:t>https://www.wiley.com/en-us/Corporate+Sustainability+Reporting%3A+Frameworks+and+Standards-p-9781119891169</w:t>
        </w:r>
      </w:hyperlink>
      <w:r>
        <w:br/>
      </w:r>
      <w:r>
        <w:br/>
      </w:r>
      <w:r w:rsidRPr="04505805" w:rsidR="76A6E6E3">
        <w:rPr>
          <w:rFonts w:ascii="Arial" w:hAnsi="Arial" w:eastAsia="Arial" w:cs="Arial"/>
          <w:b w:val="0"/>
          <w:bCs w:val="0"/>
          <w:i w:val="0"/>
          <w:iCs w:val="0"/>
          <w:caps w:val="0"/>
          <w:smallCaps w:val="0"/>
          <w:noProof w:val="0"/>
          <w:color w:val="222222"/>
          <w:sz w:val="24"/>
          <w:szCs w:val="24"/>
          <w:lang w:val="en-GB"/>
        </w:rPr>
        <w:t xml:space="preserve">Gereffi, G. (2018). *Global Value Chains and Development*. Cambridge: Cambridge University Press. </w:t>
      </w:r>
      <w:hyperlink r:id="R0797b957c88f4228">
        <w:r w:rsidRPr="04505805" w:rsidR="76A6E6E3">
          <w:rPr>
            <w:rStyle w:val="Hyperlink"/>
            <w:rFonts w:ascii="Arial" w:hAnsi="Arial" w:eastAsia="Arial" w:cs="Arial"/>
            <w:b w:val="0"/>
            <w:bCs w:val="0"/>
            <w:i w:val="0"/>
            <w:iCs w:val="0"/>
            <w:caps w:val="0"/>
            <w:smallCaps w:val="0"/>
            <w:noProof w:val="0"/>
            <w:color w:val="1155CC"/>
            <w:sz w:val="24"/>
            <w:szCs w:val="24"/>
            <w:lang w:val="en-GB"/>
          </w:rPr>
          <w:t>https://www.cambridge.org/core/books/global-value-chains-and-development/2C8A2D936B2A399C57BECB0D2A44A8C4</w:t>
        </w:r>
      </w:hyperlink>
      <w:r>
        <w:br/>
      </w:r>
      <w:r w:rsidRPr="04505805" w:rsidR="76A6E6E3">
        <w:rPr>
          <w:rFonts w:ascii="Arial" w:hAnsi="Arial" w:eastAsia="Arial" w:cs="Arial"/>
          <w:b w:val="0"/>
          <w:bCs w:val="0"/>
          <w:i w:val="0"/>
          <w:iCs w:val="0"/>
          <w:caps w:val="0"/>
          <w:smallCaps w:val="0"/>
          <w:noProof w:val="0"/>
          <w:color w:val="222222"/>
          <w:sz w:val="24"/>
          <w:szCs w:val="24"/>
          <w:lang w:val="en-GB"/>
        </w:rPr>
        <w:t xml:space="preserve">Hill, C. &amp; Hult, T. (2021). *Global Business Today*. 12th </w:t>
      </w:r>
      <w:r w:rsidRPr="04505805" w:rsidR="76A6E6E3">
        <w:rPr>
          <w:rFonts w:ascii="Arial" w:hAnsi="Arial" w:eastAsia="Arial" w:cs="Arial"/>
          <w:b w:val="0"/>
          <w:bCs w:val="0"/>
          <w:i w:val="0"/>
          <w:iCs w:val="0"/>
          <w:caps w:val="0"/>
          <w:smallCaps w:val="0"/>
          <w:noProof w:val="0"/>
          <w:color w:val="222222"/>
          <w:sz w:val="24"/>
          <w:szCs w:val="24"/>
          <w:lang w:val="en-GB"/>
        </w:rPr>
        <w:t>edn</w:t>
      </w:r>
      <w:r w:rsidRPr="04505805" w:rsidR="76A6E6E3">
        <w:rPr>
          <w:rFonts w:ascii="Arial" w:hAnsi="Arial" w:eastAsia="Arial" w:cs="Arial"/>
          <w:b w:val="0"/>
          <w:bCs w:val="0"/>
          <w:i w:val="0"/>
          <w:iCs w:val="0"/>
          <w:caps w:val="0"/>
          <w:smallCaps w:val="0"/>
          <w:noProof w:val="0"/>
          <w:color w:val="222222"/>
          <w:sz w:val="24"/>
          <w:szCs w:val="24"/>
          <w:lang w:val="en-GB"/>
        </w:rPr>
        <w:t>. New York: McGraw-Hill.</w:t>
      </w:r>
      <w:hyperlink r:id="R2766917fd0a84c7c">
        <w:r w:rsidRPr="04505805" w:rsidR="76A6E6E3">
          <w:rPr>
            <w:rStyle w:val="Hyperlink"/>
            <w:rFonts w:ascii="Arial" w:hAnsi="Arial" w:eastAsia="Arial" w:cs="Arial"/>
            <w:b w:val="0"/>
            <w:bCs w:val="0"/>
            <w:i w:val="0"/>
            <w:iCs w:val="0"/>
            <w:caps w:val="0"/>
            <w:smallCaps w:val="0"/>
            <w:noProof w:val="0"/>
            <w:color w:val="1155CC"/>
            <w:sz w:val="24"/>
            <w:szCs w:val="24"/>
            <w:lang w:val="en-GB"/>
          </w:rPr>
          <w:t>https://www.mheducation.com/highered/product/global-business-today-hill-hult/M9781264080286.html</w:t>
        </w:r>
      </w:hyperlink>
      <w:r w:rsidRPr="04505805" w:rsidR="76A6E6E3">
        <w:rPr>
          <w:rFonts w:ascii="Arial" w:hAnsi="Arial" w:eastAsia="Arial" w:cs="Arial"/>
          <w:b w:val="0"/>
          <w:bCs w:val="0"/>
          <w:i w:val="0"/>
          <w:iCs w:val="0"/>
          <w:caps w:val="0"/>
          <w:smallCaps w:val="0"/>
          <w:noProof w:val="0"/>
          <w:color w:val="222222"/>
          <w:sz w:val="24"/>
          <w:szCs w:val="24"/>
          <w:lang w:val="en-GB"/>
        </w:rPr>
        <w:t xml:space="preserve"> </w:t>
      </w:r>
      <w:r>
        <w:br/>
      </w:r>
      <w:r>
        <w:br/>
      </w:r>
      <w:r w:rsidRPr="04505805" w:rsidR="76A6E6E3">
        <w:rPr>
          <w:rFonts w:ascii="Arial" w:hAnsi="Arial" w:eastAsia="Arial" w:cs="Arial"/>
          <w:b w:val="0"/>
          <w:bCs w:val="0"/>
          <w:i w:val="0"/>
          <w:iCs w:val="0"/>
          <w:caps w:val="0"/>
          <w:smallCaps w:val="0"/>
          <w:noProof w:val="0"/>
          <w:color w:val="222222"/>
          <w:sz w:val="24"/>
          <w:szCs w:val="24"/>
          <w:lang w:val="en-GB"/>
        </w:rPr>
        <w:t xml:space="preserve">International Labour Organization (ILO) (2023). *Digital Skills and the Future Workforce*. </w:t>
      </w:r>
      <w:hyperlink r:id="R0af6ad8330464161">
        <w:r w:rsidRPr="04505805" w:rsidR="76A6E6E3">
          <w:rPr>
            <w:rStyle w:val="Hyperlink"/>
            <w:rFonts w:ascii="Arial" w:hAnsi="Arial" w:eastAsia="Arial" w:cs="Arial"/>
            <w:b w:val="0"/>
            <w:bCs w:val="0"/>
            <w:i w:val="0"/>
            <w:iCs w:val="0"/>
            <w:caps w:val="0"/>
            <w:smallCaps w:val="0"/>
            <w:noProof w:val="0"/>
            <w:color w:val="1155CC"/>
            <w:sz w:val="24"/>
            <w:szCs w:val="24"/>
            <w:lang w:val="en-GB"/>
          </w:rPr>
          <w:t>https://www.ilo.org/global/topics/future-of-work/publications/digital-skills/lang--en/index.htm</w:t>
        </w:r>
      </w:hyperlink>
      <w:r w:rsidRPr="04505805" w:rsidR="76A6E6E3">
        <w:rPr>
          <w:rFonts w:ascii="Arial" w:hAnsi="Arial" w:eastAsia="Arial" w:cs="Arial"/>
          <w:b w:val="0"/>
          <w:bCs w:val="0"/>
          <w:i w:val="0"/>
          <w:iCs w:val="0"/>
          <w:caps w:val="0"/>
          <w:smallCaps w:val="0"/>
          <w:noProof w:val="0"/>
          <w:color w:val="222222"/>
          <w:sz w:val="24"/>
          <w:szCs w:val="24"/>
          <w:lang w:val="en-GB"/>
        </w:rPr>
        <w:t xml:space="preserve"> </w:t>
      </w:r>
      <w:r>
        <w:br/>
      </w:r>
      <w:r>
        <w:br/>
      </w:r>
      <w:r w:rsidRPr="04505805" w:rsidR="76A6E6E3">
        <w:rPr>
          <w:rFonts w:ascii="Arial" w:hAnsi="Arial" w:eastAsia="Arial" w:cs="Arial"/>
          <w:b w:val="0"/>
          <w:bCs w:val="0"/>
          <w:i w:val="0"/>
          <w:iCs w:val="0"/>
          <w:caps w:val="0"/>
          <w:smallCaps w:val="0"/>
          <w:noProof w:val="0"/>
          <w:color w:val="222222"/>
          <w:sz w:val="24"/>
          <w:szCs w:val="24"/>
          <w:lang w:val="en-GB"/>
        </w:rPr>
        <w:t xml:space="preserve">McKinsey Global Institute (2023). </w:t>
      </w:r>
      <w:bookmarkStart w:name="_Int_ej40FYQj" w:id="862716855"/>
      <w:r w:rsidRPr="04505805" w:rsidR="76A6E6E3">
        <w:rPr>
          <w:rFonts w:ascii="Arial" w:hAnsi="Arial" w:eastAsia="Arial" w:cs="Arial"/>
          <w:b w:val="0"/>
          <w:bCs w:val="0"/>
          <w:i w:val="0"/>
          <w:iCs w:val="0"/>
          <w:caps w:val="0"/>
          <w:smallCaps w:val="0"/>
          <w:noProof w:val="0"/>
          <w:color w:val="222222"/>
          <w:sz w:val="24"/>
          <w:szCs w:val="24"/>
          <w:lang w:val="en-GB"/>
        </w:rPr>
        <w:t>*The state of AI in 2023: Generative AI’s breakout year*.</w:t>
      </w:r>
      <w:bookmarkEnd w:id="862716855"/>
      <w:r w:rsidRPr="04505805" w:rsidR="76A6E6E3">
        <w:rPr>
          <w:rFonts w:ascii="Arial" w:hAnsi="Arial" w:eastAsia="Arial" w:cs="Arial"/>
          <w:b w:val="0"/>
          <w:bCs w:val="0"/>
          <w:i w:val="0"/>
          <w:iCs w:val="0"/>
          <w:caps w:val="0"/>
          <w:smallCaps w:val="0"/>
          <w:noProof w:val="0"/>
          <w:color w:val="222222"/>
          <w:sz w:val="24"/>
          <w:szCs w:val="24"/>
          <w:lang w:val="en-GB"/>
        </w:rPr>
        <w:t xml:space="preserve"> </w:t>
      </w:r>
      <w:hyperlink r:id="R915c4e5bc47a47ed">
        <w:r w:rsidRPr="04505805" w:rsidR="76A6E6E3">
          <w:rPr>
            <w:rStyle w:val="Hyperlink"/>
            <w:rFonts w:ascii="Arial" w:hAnsi="Arial" w:eastAsia="Arial" w:cs="Arial"/>
            <w:b w:val="0"/>
            <w:bCs w:val="0"/>
            <w:i w:val="0"/>
            <w:iCs w:val="0"/>
            <w:caps w:val="0"/>
            <w:smallCaps w:val="0"/>
            <w:noProof w:val="0"/>
            <w:color w:val="1155CC"/>
            <w:sz w:val="24"/>
            <w:szCs w:val="24"/>
            <w:lang w:val="en-GB"/>
          </w:rPr>
          <w:t>https://www.mckinsey.com/capabilities/quantumblack/our-insights/the-state-of-ai-in-2023-generative-ais-breakout-year</w:t>
        </w:r>
      </w:hyperlink>
      <w:r w:rsidRPr="04505805" w:rsidR="76A6E6E3">
        <w:rPr>
          <w:rFonts w:ascii="Arial" w:hAnsi="Arial" w:eastAsia="Arial" w:cs="Arial"/>
          <w:b w:val="0"/>
          <w:bCs w:val="0"/>
          <w:i w:val="0"/>
          <w:iCs w:val="0"/>
          <w:caps w:val="0"/>
          <w:smallCaps w:val="0"/>
          <w:noProof w:val="0"/>
          <w:color w:val="222222"/>
          <w:sz w:val="24"/>
          <w:szCs w:val="24"/>
          <w:lang w:val="en-GB"/>
        </w:rPr>
        <w:t xml:space="preserve"> </w:t>
      </w:r>
      <w:r>
        <w:br/>
      </w:r>
      <w:r>
        <w:br/>
      </w:r>
      <w:r w:rsidRPr="04505805" w:rsidR="76A6E6E3">
        <w:rPr>
          <w:rFonts w:ascii="Arial" w:hAnsi="Arial" w:eastAsia="Arial" w:cs="Arial"/>
          <w:b w:val="0"/>
          <w:bCs w:val="0"/>
          <w:i w:val="0"/>
          <w:iCs w:val="0"/>
          <w:caps w:val="0"/>
          <w:smallCaps w:val="0"/>
          <w:noProof w:val="0"/>
          <w:color w:val="222222"/>
          <w:sz w:val="24"/>
          <w:szCs w:val="24"/>
          <w:lang w:val="en-GB"/>
        </w:rPr>
        <w:t>Organisation for Economic Co-operation and Development (OECD) (2021). *ESG Due Diligence and Financial Value in Global Supply Chains*.</w:t>
      </w:r>
    </w:p>
    <w:p w:rsidR="76A6E6E3" w:rsidP="04505805" w:rsidRDefault="76A6E6E3" w14:paraId="7C7594B2" w14:textId="327EE17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04505805" w:rsidR="76A6E6E3">
        <w:rPr>
          <w:rFonts w:ascii="Arial" w:hAnsi="Arial" w:eastAsia="Arial" w:cs="Arial"/>
          <w:b w:val="0"/>
          <w:bCs w:val="0"/>
          <w:i w:val="0"/>
          <w:iCs w:val="0"/>
          <w:caps w:val="0"/>
          <w:smallCaps w:val="0"/>
          <w:noProof w:val="0"/>
          <w:color w:val="222222"/>
          <w:sz w:val="24"/>
          <w:szCs w:val="24"/>
          <w:lang w:val="en-GB"/>
        </w:rPr>
        <w:t xml:space="preserve"> </w:t>
      </w:r>
      <w:hyperlink r:id="Rfbc81996e72f420c">
        <w:r w:rsidRPr="04505805" w:rsidR="76A6E6E3">
          <w:rPr>
            <w:rStyle w:val="Hyperlink"/>
            <w:rFonts w:ascii="Arial" w:hAnsi="Arial" w:eastAsia="Arial" w:cs="Arial"/>
            <w:b w:val="0"/>
            <w:bCs w:val="0"/>
            <w:i w:val="0"/>
            <w:iCs w:val="0"/>
            <w:caps w:val="0"/>
            <w:smallCaps w:val="0"/>
            <w:noProof w:val="0"/>
            <w:color w:val="1155CC"/>
            <w:sz w:val="24"/>
            <w:szCs w:val="24"/>
            <w:lang w:val="en-GB"/>
          </w:rPr>
          <w:t>https://www.oecd.org/publications/esg-due-diligence-and-financial-value-in-global-supply-chains-8dcb7c4c-en.htm</w:t>
        </w:r>
      </w:hyperlink>
    </w:p>
    <w:p w:rsidR="04505805" w:rsidRDefault="04505805" w14:paraId="721CEC8F" w14:textId="248E0274"/>
    <w:p w:rsidR="04505805" w:rsidP="04505805" w:rsidRDefault="04505805" w14:paraId="1D095D9A" w14:textId="50FA18BE">
      <w:pPr>
        <w:pStyle w:val="Normal"/>
      </w:pPr>
    </w:p>
    <w:sectPr>
      <w:pgSz w:w="11906" w:h="16838" w:orient="portrait"/>
      <w:pgMar w:top="1440" w:right="1440" w:bottom="1440" w:left="1440" w:header="720" w:footer="720" w:gutter="0"/>
      <w:cols w:space="720"/>
      <w:docGrid w:linePitch="360"/>
      <w:headerReference w:type="default" r:id="Rcf03830d0fcf400e"/>
      <w:footerReference w:type="default" r:id="Rb3adaa166e6e49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505805" w:rsidTr="04505805" w14:paraId="393200F1">
      <w:trPr>
        <w:trHeight w:val="300"/>
      </w:trPr>
      <w:tc>
        <w:tcPr>
          <w:tcW w:w="3005" w:type="dxa"/>
          <w:tcMar/>
        </w:tcPr>
        <w:p w:rsidR="04505805" w:rsidP="04505805" w:rsidRDefault="04505805" w14:paraId="6188D0E5" w14:textId="24FDB2F9">
          <w:pPr>
            <w:pStyle w:val="Header"/>
            <w:bidi w:val="0"/>
            <w:ind w:left="-115"/>
            <w:jc w:val="left"/>
          </w:pPr>
        </w:p>
      </w:tc>
      <w:tc>
        <w:tcPr>
          <w:tcW w:w="3005" w:type="dxa"/>
          <w:tcMar/>
        </w:tcPr>
        <w:p w:rsidR="04505805" w:rsidP="04505805" w:rsidRDefault="04505805" w14:paraId="3563BE29" w14:textId="67067DAF">
          <w:pPr>
            <w:pStyle w:val="Header"/>
            <w:bidi w:val="0"/>
            <w:jc w:val="center"/>
          </w:pPr>
        </w:p>
      </w:tc>
      <w:tc>
        <w:tcPr>
          <w:tcW w:w="3005" w:type="dxa"/>
          <w:tcMar/>
        </w:tcPr>
        <w:p w:rsidR="04505805" w:rsidP="04505805" w:rsidRDefault="04505805" w14:paraId="070FBCDA" w14:textId="2A505E43">
          <w:pPr>
            <w:pStyle w:val="Header"/>
            <w:bidi w:val="0"/>
            <w:ind w:right="-115"/>
            <w:jc w:val="right"/>
          </w:pPr>
        </w:p>
      </w:tc>
    </w:tr>
  </w:tbl>
  <w:p w:rsidR="04505805" w:rsidP="04505805" w:rsidRDefault="04505805" w14:paraId="6C2E373B" w14:textId="540281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505805" w:rsidTr="04505805" w14:paraId="7E366DA3">
      <w:trPr>
        <w:trHeight w:val="300"/>
      </w:trPr>
      <w:tc>
        <w:tcPr>
          <w:tcW w:w="3005" w:type="dxa"/>
          <w:tcMar/>
        </w:tcPr>
        <w:p w:rsidR="04505805" w:rsidP="04505805" w:rsidRDefault="04505805" w14:paraId="67C67F3B" w14:textId="2BA5E265">
          <w:pPr>
            <w:pStyle w:val="Header"/>
            <w:bidi w:val="0"/>
            <w:ind w:left="-115"/>
            <w:jc w:val="left"/>
          </w:pPr>
        </w:p>
      </w:tc>
      <w:tc>
        <w:tcPr>
          <w:tcW w:w="3005" w:type="dxa"/>
          <w:tcMar/>
        </w:tcPr>
        <w:p w:rsidR="04505805" w:rsidP="04505805" w:rsidRDefault="04505805" w14:paraId="7B6E0F8D" w14:textId="4867BA4A">
          <w:pPr>
            <w:pStyle w:val="Header"/>
            <w:bidi w:val="0"/>
            <w:jc w:val="center"/>
          </w:pPr>
        </w:p>
      </w:tc>
      <w:tc>
        <w:tcPr>
          <w:tcW w:w="3005" w:type="dxa"/>
          <w:tcMar/>
        </w:tcPr>
        <w:p w:rsidR="04505805" w:rsidP="04505805" w:rsidRDefault="04505805" w14:paraId="49D0A180" w14:textId="50C1374F">
          <w:pPr>
            <w:pStyle w:val="Header"/>
            <w:bidi w:val="0"/>
            <w:ind w:right="-115"/>
            <w:jc w:val="right"/>
          </w:pPr>
        </w:p>
      </w:tc>
    </w:tr>
  </w:tbl>
  <w:p w:rsidR="04505805" w:rsidP="04505805" w:rsidRDefault="04505805" w14:paraId="20B5D538" w14:textId="6B44F94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NecQKjsPqIrLZ9" int2:id="o64h9BGg">
      <int2:state int2:type="spell" int2:value="Rejected"/>
    </int2:textHash>
    <int2:textHash int2:hashCode="r0PA7pVDcXayiz" int2:id="KmsAO8sW">
      <int2:state int2:type="spell" int2:value="Rejected"/>
    </int2:textHash>
    <int2:textHash int2:hashCode="Dz9MHGiwsB0fwg" int2:id="MrW5Hb88">
      <int2:state int2:type="spell" int2:value="Rejected"/>
    </int2:textHash>
    <int2:textHash int2:hashCode="Y7rxyEYEGk+h8X" int2:id="UWFnPX0U">
      <int2:state int2:type="spell" int2:value="Rejected"/>
    </int2:textHash>
    <int2:textHash int2:hashCode="X9HlHiZ0FygwRu" int2:id="SUkzBzM1">
      <int2:state int2:type="spell" int2:value="Rejected"/>
    </int2:textHash>
    <int2:textHash int2:hashCode="SKy8P9tNyDKi/W" int2:id="geIUTLcb">
      <int2:state int2:type="spell" int2:value="Rejected"/>
    </int2:textHash>
    <int2:bookmark int2:bookmarkName="_Int_ej40FYQj" int2:invalidationBookmarkName="" int2:hashCode="kKPxN5lw0x8GwJ" int2:id="JxE2RqT9">
      <int2:extLst>
        <oel:ext uri="426473B9-03D8-482F-96C9-C2C85392BACA">
          <int2:similarityCritique int2:version="1" int2:context="*The state of AI in 2023: Generative AI’s breakout year*.">
            <int2:source int2:sourceType="Online" int2:sourceTitle="McKinsey’s Report: The state of AI in 2023: Generative AI ... - Medium" int2:sourceUrl="https://medium.com/@raimundt/mckinseys-report-the-state-of-ai-in-2023-generative-ai-s-breakout-year-ca88fa8a3e37" int2:sourceSnippet="McKinsey’s Report: The state of AI in 2023: Generative AI’s breakout year The McKinsey report makes a bold prediction that AI could contribute up to $13 trillion to global economic activity by …">
              <int2:suggestions int2:citationType="Inline">
                <int2:suggestion int2:citationStyle="Mla" int2:isIdentical="0">
                  <int2:citationText>(“McKinsey’s Report: The state of AI in 2023: Generative AI ... - Medium”)</int2:citationText>
                </int2:suggestion>
                <int2:suggestion int2:citationStyle="Apa" int2:isIdentical="0">
                  <int2:citationText>(“McKinsey’s Report: The state of AI in 2023: Generative AI ... - Medium”)</int2:citationText>
                </int2:suggestion>
                <int2:suggestion int2:citationStyle="Chicago" int2:isIdentical="0">
                  <int2:citationText>(“McKinsey’s Report: The state of AI in 2023: Generative AI ... - Medium”)</int2:citationText>
                </int2:suggestion>
              </int2:suggestions>
              <int2:suggestions int2:citationType="Full">
                <int2:suggestion int2:citationStyle="Mla" int2:isIdentical="0">
                  <int2:citationText>&lt;i&gt;McKinsey’s Report: The state of AI in 2023: Generative AI ... - Medium&lt;/i&gt;, https://medium.com/@raimundt/mckinseys-report-the-state-of-ai-in-2023-generative-ai-s-breakout-year-ca88fa8a3e37.</int2:citationText>
                </int2:suggestion>
                <int2:suggestion int2:citationStyle="Apa" int2:isIdentical="0">
                  <int2:citationText>&lt;i&gt;McKinsey’s Report: The state of AI in 2023: Generative AI ... - Medium&lt;/i&gt;. (n.d.). Retrieved from https://medium.com/@raimundt/mckinseys-report-the-state-of-ai-in-2023-generative-ai-s-breakout-year-ca88fa8a3e37</int2:citationText>
                </int2:suggestion>
                <int2:suggestion int2:citationStyle="Chicago" int2:isIdentical="0">
                  <int2:citationText>“McKinsey’s Report: The state of AI in 2023: Generative AI ... - Medium” n.d., https://medium.com/@raimundt/mckinseys-report-the-state-of-ai-in-2023-generative-ai-s-breakout-year-ca88fa8a3e37.</int2:citationText>
                </int2:suggestion>
              </int2:suggestions>
            </int2:source>
            <int2:source int2:sourceType="Online" int2:sourceTitle="AI Digital Library - McKinsey &amp; Company - CFTE" int2:sourceUrl="https://courses.cfte.education/ai-digital-library-mckinsey-2023-report/" int2:sourceSnippet="AI Digital Library – McKinsey &amp; Company – The state of AI in 2023: Generative AI’s breakout year CFTE and Elevandi published the report with the discussion with leading experts to help governments, organisations and individuals address the current skills gap in finance and build a digital-resilient workforce in the industry.">
              <int2:suggestions int2:citationType="Inline">
                <int2:suggestion int2:citationStyle="Mla" int2:isIdentical="0">
                  <int2:citationText>(“AI Digital Library - McKinsey &amp; Company - CFTE”)</int2:citationText>
                </int2:suggestion>
                <int2:suggestion int2:citationStyle="Apa" int2:isIdentical="0">
                  <int2:citationText>(“AI Digital Library - McKinsey &amp; Company - CFTE”)</int2:citationText>
                </int2:suggestion>
                <int2:suggestion int2:citationStyle="Chicago" int2:isIdentical="0">
                  <int2:citationText>(“AI Digital Library - McKinsey &amp; Company - CFTE”)</int2:citationText>
                </int2:suggestion>
              </int2:suggestions>
              <int2:suggestions int2:citationType="Full">
                <int2:suggestion int2:citationStyle="Mla" int2:isIdentical="0">
                  <int2:citationText>&lt;i&gt;AI Digital Library - McKinsey &amp; Company - CFTE&lt;/i&gt;, https://courses.cfte.education/ai-digital-library-mckinsey-2023-report/.</int2:citationText>
                </int2:suggestion>
                <int2:suggestion int2:citationStyle="Apa" int2:isIdentical="0">
                  <int2:citationText>&lt;i&gt;AI Digital Library - McKinsey &amp; Company - CFTE&lt;/i&gt;. (n.d.). Retrieved from https://courses.cfte.education/ai-digital-library-mckinsey-2023-report/</int2:citationText>
                </int2:suggestion>
                <int2:suggestion int2:citationStyle="Chicago" int2:isIdentical="0">
                  <int2:citationText>“AI Digital Library - McKinsey &amp; Company - CFTE” n.d., https://courses.cfte.education/ai-digital-library-mckinsey-2023-report/.</int2:citationText>
                </int2:suggestion>
              </int2:suggestions>
            </int2:source>
          </int2:similarityCritique>
        </oel:ext>
      </int2:extLst>
    </int2:bookmark>
    <int2:entireDocument int2:id="9y0Wqvxb">
      <int2:extLst>
        <oel:ext uri="E302BA01-7950-474C-9AD3-286E660C40A8">
          <int2:similaritySummary int2:version="1" int2:runId="1763689016143" int2:tilesCheckedInThisRun="43" int2:totalNumOfTiles="43" int2:similarityAnnotationCount="1" int2:numWords="1628" int2:numFlaggedWords="10"/>
        </oel:ext>
      </int2:extLst>
    </int2:entireDocument>
  </int2:observations>
  <int2:intelligenceSettings/>
  <int2:onDemandWorkflows>
    <int2:onDemandWorkflow int2:type="SimilarityCheck" int2:paragraphVersions="0AF0564E-7CD9CBD8 742B1062-30FD8470 5FCAC05B-7CF1A687 4B222BC8-55860CC5 0CC936DC-08FC04BA 564603C1-702E5D5D 7476DA9E-5E26C975 3F241133-3F424DBD 30601A92-00104CB3 300566F6-3F842A1F 02EB3DD4-764B67BE 238B45B1-15A89E81 34CFF757-790BCF49 2849E360-538F246D 3EA6E6D8-2F01C153 2DB89DAF-685363D6 7C1B48E3-711445C0 620C5604-18891617 78C7190B-21F42BC6 5B2D6264-18E371E7 2D7DF34F-3A7DD8A3 55A6B0AD-4BA76049 3202D707-37F16804 1CBD2BEF-7B6FCBA0 0F6EC94E-0DC240CD 12305026-72C0D6DA 1FF5A50D-164D58CF 42BB83EB-718E2A35 664F4AC8-08BEEAAF 4F31FE03-4B66101A 084D88B5-15A7E23C 689EA3F7-1CE1AFC4 3B17BA99-4AE6863D 30956AE2-00A7FB62 671A0C0F-2708EE56 4E83824D-509CA643 4C30037E-0F3AAE28 28A3BEA8-773B0D14 23B9EB26-3E138BD5 39EF1276-54C10BBD 5399C863-0D3D15F2 08F3995B-05F0A064 163E1E60-759886CC 3ECD1FBA-41835EF4 0C4C07BE-53BF793D 1D670AE5-07FAEF35 66779CDA-6C97E41A 2076B696-46E27204 0D898606-7F8E999F 66671C0E-02DD0737 167B9E1E-7C1A73A1 31DDC64E-41521B19 5C4F516A-18075B0B 69D9CD51-30853783 2500C839-6C6B84FC 6A7E0880-0BCDDF1C 576E74B4-5FD024A2 192E2F02-55759327 2DD58F9D-0C0C5774 21B30159-181BDB87 5DD6068A-13F76452 6EC6D3FE-180C93DF 4D956BAA-0463BAA7 47A9AEC9-24D50BA8 3597D5BB-3CCC94CF 34A6675A-0CC2128D 3EA4722A-3A9FB712 0DE1F182-58558969 71259301-1B183165 0FF6A21E-09CBCFEC 5ED9F945-79E91D5E 242E4577-345781DD 645B79DE-66AE246D 05065A90-454591DE 1EE570A1-4E90C8B8 69A058BF-2E5EE2E5 1FC4CBFE-691607B6 13065612-5FA72E99 3296FDED-0076107E 7C7594B2-327EE177 721CEC8F-248E0274 1D095D9A-50FA18BE"/>
  </int2:onDemandWorkflows>
</int2:intelligence>
</file>

<file path=word/numbering.xml><?xml version="1.0" encoding="utf-8"?>
<w:numbering xmlns:w="http://schemas.openxmlformats.org/wordprocessingml/2006/main">
  <w:abstractNum xmlns:w="http://schemas.openxmlformats.org/wordprocessingml/2006/main" w:abstractNumId="1">
    <w:nsid w:val="10a3d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9CF7C3"/>
    <w:rsid w:val="04505805"/>
    <w:rsid w:val="09CB23E0"/>
    <w:rsid w:val="139DE559"/>
    <w:rsid w:val="16427ACC"/>
    <w:rsid w:val="1FCD51A4"/>
    <w:rsid w:val="285F4C9C"/>
    <w:rsid w:val="2AAC83EB"/>
    <w:rsid w:val="32014620"/>
    <w:rsid w:val="336E498C"/>
    <w:rsid w:val="35298CD6"/>
    <w:rsid w:val="35E51359"/>
    <w:rsid w:val="376D06A9"/>
    <w:rsid w:val="3C9DB29D"/>
    <w:rsid w:val="3E11C709"/>
    <w:rsid w:val="4009D98C"/>
    <w:rsid w:val="4436D2AF"/>
    <w:rsid w:val="44AD1D40"/>
    <w:rsid w:val="49098FAD"/>
    <w:rsid w:val="492BDEB3"/>
    <w:rsid w:val="4C6C302A"/>
    <w:rsid w:val="539D877E"/>
    <w:rsid w:val="60643B7C"/>
    <w:rsid w:val="63EEAD5E"/>
    <w:rsid w:val="6E69652E"/>
    <w:rsid w:val="7256CE93"/>
    <w:rsid w:val="743595B5"/>
    <w:rsid w:val="76A6E6E3"/>
    <w:rsid w:val="77E363D8"/>
    <w:rsid w:val="7978BF92"/>
    <w:rsid w:val="799CF7C3"/>
    <w:rsid w:val="7DEB0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CF7C3"/>
  <w15:chartTrackingRefBased/>
  <w15:docId w15:val="{AFE49141-830A-41E6-A30E-288A0CFA0B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4505805"/>
    <w:pPr>
      <w:spacing/>
      <w:ind w:left="720"/>
      <w:contextualSpacing/>
    </w:pPr>
  </w:style>
  <w:style w:type="character" w:styleId="Hyperlink">
    <w:uiPriority w:val="99"/>
    <w:name w:val="Hyperlink"/>
    <w:basedOn w:val="DefaultParagraphFont"/>
    <w:unhideWhenUsed/>
    <w:rsid w:val="04505805"/>
    <w:rPr>
      <w:color w:val="467886"/>
      <w:u w:val="single"/>
    </w:rPr>
  </w:style>
  <w:style w:type="paragraph" w:styleId="Header">
    <w:uiPriority w:val="99"/>
    <w:name w:val="header"/>
    <w:basedOn w:val="Normal"/>
    <w:unhideWhenUsed/>
    <w:rsid w:val="04505805"/>
    <w:pPr>
      <w:tabs>
        <w:tab w:val="center" w:leader="none" w:pos="4680"/>
        <w:tab w:val="right" w:leader="none" w:pos="9360"/>
      </w:tabs>
      <w:spacing w:after="0" w:line="240" w:lineRule="auto"/>
    </w:pPr>
  </w:style>
  <w:style w:type="paragraph" w:styleId="Footer">
    <w:uiPriority w:val="99"/>
    <w:name w:val="footer"/>
    <w:basedOn w:val="Normal"/>
    <w:unhideWhenUsed/>
    <w:rsid w:val="0450580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99605138" /><Relationship Type="http://schemas.openxmlformats.org/officeDocument/2006/relationships/hyperlink" Target="https://doi.org/10.1016/j.jinteco.2023.103789" TargetMode="External" Id="Ra3c2258ebacd4653" /><Relationship Type="http://schemas.openxmlformats.org/officeDocument/2006/relationships/hyperlink" Target="https://global.oup.com/academic/product/the-great-convergence-revisited-9780197644460" TargetMode="External" Id="Rba21e3dbf0b44a1c" /><Relationship Type="http://schemas.openxmlformats.org/officeDocument/2006/relationships/hyperlink" Target="https://www.pearson.com/en-us/subject-catalog/p/international-business-the-new-realities/P200000005845/9780137592742" TargetMode="External" Id="R55f3f783c24344eb" /><Relationship Type="http://schemas.openxmlformats.org/officeDocument/2006/relationships/hyperlink" Target="https://www.pearson.com/en-us/subject-catalog/p/logistics-supply-chain-management/P200000005845/9781292416182" TargetMode="External" Id="R4384c2b40ac94cae" /><Relationship Type="http://schemas.openxmlformats.org/officeDocument/2006/relationships/hyperlink" Target="https://hbr.org/2018/01/artificial-intelligence-for-the-real-world" TargetMode="External" Id="Rce817f57d9cd4167" /><Relationship Type="http://schemas.openxmlformats.org/officeDocument/2006/relationships/hyperlink" Target="https://www.wiley.com/en-us/Corporate+Sustainability+Reporting%3A+Frameworks+and+Standards-p-9781119891169" TargetMode="External" Id="Rd1887b12909c4bba" /><Relationship Type="http://schemas.openxmlformats.org/officeDocument/2006/relationships/hyperlink" Target="https://www.cambridge.org/core/books/global-value-chains-and-development/2C8A2D936B2A399C57BECB0D2A44A8C4" TargetMode="External" Id="R0797b957c88f4228" /><Relationship Type="http://schemas.openxmlformats.org/officeDocument/2006/relationships/hyperlink" Target="https://www.mheducation.com/highered/product/global-business-today-hill-hult/M9781264080286.html" TargetMode="External" Id="R2766917fd0a84c7c" /><Relationship Type="http://schemas.openxmlformats.org/officeDocument/2006/relationships/hyperlink" Target="https://www.ilo.org/global/topics/future-of-work/publications/digital-skills/lang--en/index.htm" TargetMode="External" Id="R0af6ad8330464161" /><Relationship Type="http://schemas.openxmlformats.org/officeDocument/2006/relationships/hyperlink" Target="https://www.mckinsey.com/capabilities/quantumblack/our-insights/the-state-of-ai-in-2023-generative-ais-breakout-year" TargetMode="External" Id="R915c4e5bc47a47ed" /><Relationship Type="http://schemas.openxmlformats.org/officeDocument/2006/relationships/hyperlink" Target="https://www.oecd.org/publications/esg-due-diligence-and-financial-value-in-global-supply-chains-8dcb7c4c-en.htm" TargetMode="External" Id="Rfbc81996e72f420c" /><Relationship Type="http://schemas.openxmlformats.org/officeDocument/2006/relationships/header" Target="/word/header.xml" Id="Rcf03830d0fcf400e" /><Relationship Type="http://schemas.openxmlformats.org/officeDocument/2006/relationships/footer" Target="/word/footer.xml" Id="Rb3adaa166e6e4907" /><Relationship Type="http://schemas.microsoft.com/office/2020/10/relationships/intelligence" Target="/word/intelligence2.xml" Id="Rea2afa14dab14959" /><Relationship Type="http://schemas.openxmlformats.org/officeDocument/2006/relationships/numbering" Target="/word/numbering.xml" Id="R428dd6865a0d4a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Haya (2231322)</dc:creator>
  <keywords/>
  <dc:description/>
  <lastModifiedBy>Laiba Haya (2231322)</lastModifiedBy>
  <revision>2</revision>
  <dcterms:created xsi:type="dcterms:W3CDTF">2025-11-21T01:18:11.7370545Z</dcterms:created>
  <dcterms:modified xsi:type="dcterms:W3CDTF">2025-11-21T01:40:55.4993523Z</dcterms:modified>
</coreProperties>
</file>