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46886" w14:textId="2704436F" w:rsidR="00E91FDE" w:rsidRDefault="00760EE7" w:rsidP="0036625E">
      <w:pPr>
        <w:jc w:val="both"/>
        <w:rPr>
          <w:rFonts w:ascii="Baskerville Old Face" w:hAnsi="Baskerville Old Face"/>
          <w:sz w:val="32"/>
          <w:szCs w:val="32"/>
          <w:u w:val="single"/>
        </w:rPr>
      </w:pPr>
      <w:r w:rsidRPr="00760EE7">
        <w:rPr>
          <w:rFonts w:ascii="Baskerville Old Face" w:hAnsi="Baskerville Old Face"/>
          <w:sz w:val="32"/>
          <w:szCs w:val="32"/>
          <w:u w:val="single"/>
        </w:rPr>
        <w:t xml:space="preserve">‘The narrative of Adam and Eve in Genesis is a perfect example of misogynism.’ Examine </w:t>
      </w:r>
      <w:proofErr w:type="gramStart"/>
      <w:r w:rsidRPr="00760EE7">
        <w:rPr>
          <w:rFonts w:ascii="Baskerville Old Face" w:hAnsi="Baskerville Old Face"/>
          <w:sz w:val="32"/>
          <w:szCs w:val="32"/>
          <w:u w:val="single"/>
        </w:rPr>
        <w:t xml:space="preserve">this </w:t>
      </w:r>
      <w:r w:rsidR="006012CB">
        <w:rPr>
          <w:rFonts w:ascii="Baskerville Old Face" w:hAnsi="Baskerville Old Face"/>
          <w:sz w:val="32"/>
          <w:szCs w:val="32"/>
          <w:u w:val="single"/>
        </w:rPr>
        <w:t xml:space="preserve"> </w:t>
      </w:r>
      <w:r w:rsidRPr="00760EE7">
        <w:rPr>
          <w:rFonts w:ascii="Baskerville Old Face" w:hAnsi="Baskerville Old Face"/>
          <w:sz w:val="32"/>
          <w:szCs w:val="32"/>
          <w:u w:val="single"/>
        </w:rPr>
        <w:t>statement</w:t>
      </w:r>
      <w:proofErr w:type="gramEnd"/>
      <w:r w:rsidRPr="00760EE7">
        <w:rPr>
          <w:rFonts w:ascii="Baskerville Old Face" w:hAnsi="Baskerville Old Face"/>
          <w:sz w:val="32"/>
          <w:szCs w:val="32"/>
          <w:u w:val="single"/>
        </w:rPr>
        <w:t xml:space="preserve"> using primary and secondary sources. </w:t>
      </w:r>
      <w:r w:rsidR="00C20DA5" w:rsidRPr="00C20DA5">
        <w:rPr>
          <w:rFonts w:ascii="Baskerville Old Face" w:hAnsi="Baskerville Old Face"/>
          <w:noProof/>
          <w:sz w:val="32"/>
          <w:szCs w:val="32"/>
          <w:u w:val="single"/>
        </w:rPr>
        <mc:AlternateContent>
          <mc:Choice Requires="wps">
            <w:drawing>
              <wp:anchor distT="45720" distB="45720" distL="114300" distR="114300" simplePos="0" relativeHeight="251659264" behindDoc="1" locked="0" layoutInCell="1" allowOverlap="1" wp14:anchorId="18935ED5" wp14:editId="2B328A40">
                <wp:simplePos x="0" y="0"/>
                <wp:positionH relativeFrom="column">
                  <wp:posOffset>-267970</wp:posOffset>
                </wp:positionH>
                <wp:positionV relativeFrom="paragraph">
                  <wp:posOffset>-375920</wp:posOffset>
                </wp:positionV>
                <wp:extent cx="2360930" cy="1404620"/>
                <wp:effectExtent l="0" t="0" r="0" b="190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7CC5CDF" w14:textId="0C209CA1" w:rsidR="00C20DA5" w:rsidRPr="00C20DA5" w:rsidRDefault="00C20DA5">
                            <w:pPr>
                              <w:rPr>
                                <w:rFonts w:ascii="Baskerville Old Face" w:hAnsi="Baskerville Old Face"/>
                                <w:u w:val="single"/>
                              </w:rPr>
                            </w:pPr>
                            <w:r w:rsidRPr="00C20DA5">
                              <w:rPr>
                                <w:rFonts w:ascii="Baskerville Old Face" w:hAnsi="Baskerville Old Face"/>
                                <w:u w:val="single"/>
                              </w:rPr>
                              <w:t>Francesca Quieros – 2211531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8935ED5" id="_x0000_t202" coordsize="21600,21600" o:spt="202" path="m,l,21600r21600,l21600,xe">
                <v:stroke joinstyle="miter"/>
                <v:path gradientshapeok="t" o:connecttype="rect"/>
              </v:shapetype>
              <v:shape id="Text Box 2" o:spid="_x0000_s1026" type="#_x0000_t202" style="position:absolute;left:0;text-align:left;margin-left:-21.1pt;margin-top:-29.6pt;width:185.9pt;height:110.6pt;z-index:-2516572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" stroked="f">
                <v:textbox style="mso-fit-shape-to-text:t">
                  <w:txbxContent>
                    <w:p w14:paraId="07CC5CDF" w14:textId="0C209CA1" w:rsidR="00C20DA5" w:rsidRPr="00C20DA5" w:rsidRDefault="00C20DA5">
                      <w:pPr>
                        <w:rPr>
                          <w:rFonts w:ascii="Baskerville Old Face" w:hAnsi="Baskerville Old Face"/>
                          <w:u w:val="single"/>
                        </w:rPr>
                      </w:pPr>
                      <w:r w:rsidRPr="00C20DA5">
                        <w:rPr>
                          <w:rFonts w:ascii="Baskerville Old Face" w:hAnsi="Baskerville Old Face"/>
                          <w:u w:val="single"/>
                        </w:rPr>
                        <w:t>Francesca Quieros – 2211531</w:t>
                      </w:r>
                    </w:p>
                  </w:txbxContent>
                </v:textbox>
              </v:shape>
            </w:pict>
          </mc:Fallback>
        </mc:AlternateContent>
      </w:r>
    </w:p>
    <w:p w14:paraId="20F0BF76" w14:textId="624174BC" w:rsidR="00FE395D" w:rsidRDefault="00094165" w:rsidP="0036625E">
      <w:pPr>
        <w:jc w:val="both"/>
        <w:rPr>
          <w:rFonts w:ascii="Baskerville Old Face" w:hAnsi="Baskerville Old Face"/>
          <w:sz w:val="28"/>
          <w:szCs w:val="28"/>
        </w:rPr>
      </w:pPr>
      <w:r>
        <w:rPr>
          <w:rFonts w:ascii="Baskerville Old Face" w:hAnsi="Baskerville Old Face"/>
          <w:sz w:val="28"/>
          <w:szCs w:val="28"/>
        </w:rPr>
        <w:t>It has been argued by feminists and those with like views both aware and sympathetic to the ways in which the patriarchy demean women through literature, that Genesis stands as historically one of, if not the most harmful biblical literature to women. The story of Adam and Eve has inspired many male theologians over the course of history to correlate the examples of Eve</w:t>
      </w:r>
      <w:r w:rsidR="002631A2">
        <w:rPr>
          <w:rFonts w:ascii="Baskerville Old Face" w:hAnsi="Baskerville Old Face"/>
          <w:sz w:val="28"/>
          <w:szCs w:val="28"/>
        </w:rPr>
        <w:t>’s poor decisions and her having been tricked to the failings of women today – or in the time of the theologian’s writing, and thus an image of women as slaves to their weaker-minded biology began to perpetuate, and has been for thousands of years since</w:t>
      </w:r>
      <w:r w:rsidR="00974B5D">
        <w:rPr>
          <w:rStyle w:val="FootnoteReference"/>
          <w:rFonts w:ascii="Baskerville Old Face" w:hAnsi="Baskerville Old Face"/>
          <w:sz w:val="28"/>
          <w:szCs w:val="28"/>
        </w:rPr>
        <w:footnoteReference w:id="1"/>
      </w:r>
      <w:r w:rsidR="002631A2">
        <w:rPr>
          <w:rFonts w:ascii="Baskerville Old Face" w:hAnsi="Baskerville Old Face"/>
          <w:sz w:val="28"/>
          <w:szCs w:val="28"/>
        </w:rPr>
        <w:t>.</w:t>
      </w:r>
      <w:r w:rsidR="00B00127">
        <w:rPr>
          <w:rFonts w:ascii="Baskerville Old Face" w:hAnsi="Baskerville Old Face"/>
          <w:sz w:val="28"/>
          <w:szCs w:val="28"/>
        </w:rPr>
        <w:t xml:space="preserve"> The negative portrayal of women has evolved with the natural evolution and growth of a patriarchal society and its ideals, but at its essence women have always been targeted for promiscuity, absent-mindedness and a host of other ‘weaker’ attributes that ultimately reduce women to sex objects</w:t>
      </w:r>
      <w:r w:rsidR="00271C21">
        <w:rPr>
          <w:rFonts w:ascii="Baskerville Old Face" w:hAnsi="Baskerville Old Face"/>
          <w:sz w:val="28"/>
          <w:szCs w:val="28"/>
        </w:rPr>
        <w:t xml:space="preserve"> or possessions</w:t>
      </w:r>
      <w:r w:rsidR="00B00127">
        <w:rPr>
          <w:rFonts w:ascii="Baskerville Old Face" w:hAnsi="Baskerville Old Face"/>
          <w:sz w:val="28"/>
          <w:szCs w:val="28"/>
        </w:rPr>
        <w:t>.</w:t>
      </w:r>
    </w:p>
    <w:p w14:paraId="48033495" w14:textId="76CBD8C1" w:rsidR="00974B5D" w:rsidRDefault="00974B5D" w:rsidP="0036625E">
      <w:pPr>
        <w:jc w:val="both"/>
        <w:rPr>
          <w:rFonts w:ascii="Baskerville Old Face" w:hAnsi="Baskerville Old Face"/>
          <w:sz w:val="28"/>
          <w:szCs w:val="28"/>
        </w:rPr>
      </w:pPr>
      <w:r>
        <w:rPr>
          <w:rFonts w:ascii="Baskerville Old Face" w:hAnsi="Baskerville Old Face"/>
          <w:sz w:val="28"/>
          <w:szCs w:val="28"/>
        </w:rPr>
        <w:t>There are countless examples of the way in which original sin has influenced how society sees and treats their women</w:t>
      </w:r>
      <w:r w:rsidR="00173243">
        <w:rPr>
          <w:rFonts w:ascii="Baskerville Old Face" w:hAnsi="Baskerville Old Face"/>
          <w:sz w:val="28"/>
          <w:szCs w:val="28"/>
        </w:rPr>
        <w:t xml:space="preserve"> – a tangible attitude that can be noticed in artwork also. Britain in the Middle Ages, for example, was heavily non-secular, with no concept or inclination toward a separation of church and state, and the lives of women were </w:t>
      </w:r>
      <w:r w:rsidR="00FF60F0">
        <w:rPr>
          <w:rFonts w:ascii="Baskerville Old Face" w:hAnsi="Baskerville Old Face"/>
          <w:sz w:val="28"/>
          <w:szCs w:val="28"/>
        </w:rPr>
        <w:t xml:space="preserve">therefore </w:t>
      </w:r>
      <w:r w:rsidR="00173243">
        <w:rPr>
          <w:rFonts w:ascii="Baskerville Old Face" w:hAnsi="Baskerville Old Face"/>
          <w:sz w:val="28"/>
          <w:szCs w:val="28"/>
        </w:rPr>
        <w:t xml:space="preserve">dictated </w:t>
      </w:r>
      <w:r w:rsidR="00FF60F0">
        <w:rPr>
          <w:rFonts w:ascii="Baskerville Old Face" w:hAnsi="Baskerville Old Face"/>
          <w:sz w:val="28"/>
          <w:szCs w:val="28"/>
        </w:rPr>
        <w:t>by biblical text</w:t>
      </w:r>
      <w:r w:rsidR="00057A3C">
        <w:rPr>
          <w:rStyle w:val="FootnoteReference"/>
          <w:rFonts w:ascii="Baskerville Old Face" w:hAnsi="Baskerville Old Face"/>
          <w:sz w:val="28"/>
          <w:szCs w:val="28"/>
        </w:rPr>
        <w:footnoteReference w:id="2"/>
      </w:r>
      <w:r w:rsidR="004B2160">
        <w:rPr>
          <w:rFonts w:ascii="Baskerville Old Face" w:hAnsi="Baskerville Old Face"/>
          <w:sz w:val="28"/>
          <w:szCs w:val="28"/>
        </w:rPr>
        <w:t xml:space="preserve">. The </w:t>
      </w:r>
      <w:r w:rsidR="00271C21">
        <w:rPr>
          <w:rFonts w:ascii="Baskerville Old Face" w:hAnsi="Baskerville Old Face"/>
          <w:sz w:val="28"/>
          <w:szCs w:val="28"/>
        </w:rPr>
        <w:t>attitudes</w:t>
      </w:r>
      <w:r w:rsidR="004B2160">
        <w:rPr>
          <w:rFonts w:ascii="Baskerville Old Face" w:hAnsi="Baskerville Old Face"/>
          <w:sz w:val="28"/>
          <w:szCs w:val="28"/>
        </w:rPr>
        <w:t xml:space="preserve"> in the writings of apostle Paul</w:t>
      </w:r>
      <w:r w:rsidR="008E2CC5">
        <w:rPr>
          <w:rFonts w:ascii="Baskerville Old Face" w:hAnsi="Baskerville Old Face"/>
          <w:sz w:val="28"/>
          <w:szCs w:val="28"/>
        </w:rPr>
        <w:t>, for example</w:t>
      </w:r>
      <w:r w:rsidR="004B2160">
        <w:rPr>
          <w:rFonts w:ascii="Baskerville Old Face" w:hAnsi="Baskerville Old Face"/>
          <w:sz w:val="28"/>
          <w:szCs w:val="28"/>
        </w:rPr>
        <w:t xml:space="preserve"> were </w:t>
      </w:r>
      <w:r w:rsidR="008E2CC5">
        <w:rPr>
          <w:rFonts w:ascii="Baskerville Old Face" w:hAnsi="Baskerville Old Face"/>
          <w:sz w:val="28"/>
          <w:szCs w:val="28"/>
        </w:rPr>
        <w:t xml:space="preserve">greatly heeded </w:t>
      </w:r>
      <w:r w:rsidR="004B2160">
        <w:rPr>
          <w:rFonts w:ascii="Baskerville Old Face" w:hAnsi="Baskerville Old Face"/>
          <w:sz w:val="28"/>
          <w:szCs w:val="28"/>
        </w:rPr>
        <w:t xml:space="preserve">during these times, </w:t>
      </w:r>
      <w:r w:rsidR="008E2CC5">
        <w:rPr>
          <w:rFonts w:ascii="Baskerville Old Face" w:hAnsi="Baskerville Old Face"/>
          <w:sz w:val="28"/>
          <w:szCs w:val="28"/>
        </w:rPr>
        <w:t>specifically those that have been the target of criticism for their patriarchal message; in his first letter to Timothy, Paul wrote ‘I do not permit a woman to teach or assume authority over a man; she must be quiet’</w:t>
      </w:r>
      <w:r w:rsidR="00057A3C">
        <w:rPr>
          <w:rStyle w:val="FootnoteReference"/>
          <w:rFonts w:ascii="Baskerville Old Face" w:hAnsi="Baskerville Old Face"/>
          <w:sz w:val="28"/>
          <w:szCs w:val="28"/>
        </w:rPr>
        <w:footnoteReference w:id="3"/>
      </w:r>
      <w:r w:rsidR="008E2CC5">
        <w:rPr>
          <w:rFonts w:ascii="Baskerville Old Face" w:hAnsi="Baskerville Old Face"/>
          <w:sz w:val="28"/>
          <w:szCs w:val="28"/>
        </w:rPr>
        <w:t>.</w:t>
      </w:r>
      <w:r w:rsidR="00057A3C">
        <w:rPr>
          <w:rFonts w:ascii="Baskerville Old Face" w:hAnsi="Baskerville Old Face"/>
          <w:sz w:val="28"/>
          <w:szCs w:val="28"/>
        </w:rPr>
        <w:t xml:space="preserve"> </w:t>
      </w:r>
      <w:r w:rsidR="001A32FA">
        <w:rPr>
          <w:rFonts w:ascii="Baskerville Old Face" w:hAnsi="Baskerville Old Face"/>
          <w:sz w:val="28"/>
          <w:szCs w:val="28"/>
        </w:rPr>
        <w:t>Paul’s teachings, evidently, would be assumed derogatory and harmful by feminists which, in my opinion, they would have great cause to believe so. While just a single line, the ways in which it seeks to control women and has greatly succeeded in doing so (as we know from church-led periods like the Middle Ages), is uncontested and potent. Comparing the Genesis story to that of Paul’s scripture tells us that the creation story must be even more sinister in its attack on women, in recognition of those that would argue Genesis as the most damaging biblical scripture toward women.</w:t>
      </w:r>
    </w:p>
    <w:p w14:paraId="66049899" w14:textId="1A2742DD" w:rsidR="002161F6" w:rsidRDefault="002161F6" w:rsidP="0036625E">
      <w:pPr>
        <w:jc w:val="both"/>
        <w:rPr>
          <w:rFonts w:ascii="Baskerville Old Face" w:hAnsi="Baskerville Old Face"/>
          <w:sz w:val="28"/>
          <w:szCs w:val="28"/>
        </w:rPr>
      </w:pPr>
      <w:r>
        <w:rPr>
          <w:rFonts w:ascii="Baskerville Old Face" w:hAnsi="Baskerville Old Face"/>
          <w:sz w:val="28"/>
          <w:szCs w:val="28"/>
        </w:rPr>
        <w:t xml:space="preserve">Creation myths are not unique to Abrahamic religion, as we can note examples of the varying creation stories across the world, differing with every mythology and </w:t>
      </w:r>
      <w:r w:rsidR="00271C21">
        <w:rPr>
          <w:rFonts w:ascii="Baskerville Old Face" w:hAnsi="Baskerville Old Face"/>
          <w:sz w:val="28"/>
          <w:szCs w:val="28"/>
        </w:rPr>
        <w:t>theism</w:t>
      </w:r>
      <w:r>
        <w:rPr>
          <w:rFonts w:ascii="Baskerville Old Face" w:hAnsi="Baskerville Old Face"/>
          <w:sz w:val="28"/>
          <w:szCs w:val="28"/>
        </w:rPr>
        <w:t>. In regards to Christianity and Judaism, the story of Genesis is</w:t>
      </w:r>
      <w:r w:rsidR="00271C21">
        <w:rPr>
          <w:rFonts w:ascii="Baskerville Old Face" w:hAnsi="Baskerville Old Face"/>
          <w:sz w:val="28"/>
          <w:szCs w:val="28"/>
        </w:rPr>
        <w:t xml:space="preserve"> recognised</w:t>
      </w:r>
      <w:r>
        <w:rPr>
          <w:rFonts w:ascii="Baskerville Old Face" w:hAnsi="Baskerville Old Face"/>
          <w:sz w:val="28"/>
          <w:szCs w:val="28"/>
        </w:rPr>
        <w:t xml:space="preserve"> as the </w:t>
      </w:r>
      <w:r w:rsidR="0029084A">
        <w:rPr>
          <w:rFonts w:ascii="Baskerville Old Face" w:hAnsi="Baskerville Old Face"/>
          <w:sz w:val="28"/>
          <w:szCs w:val="28"/>
        </w:rPr>
        <w:t xml:space="preserve">truth of the world’s birth. Whether one is talking about the Bible or just the </w:t>
      </w:r>
      <w:r w:rsidR="0029084A">
        <w:rPr>
          <w:rFonts w:ascii="Baskerville Old Face" w:hAnsi="Baskerville Old Face"/>
          <w:sz w:val="28"/>
          <w:szCs w:val="28"/>
        </w:rPr>
        <w:lastRenderedPageBreak/>
        <w:t>Old Testament as the Jewish would solely refer, Genesis is the first book within, and starts from the beginning of time. Before the first couple are mentioned, the book describes God as first creating Heaven and Earth – creating the divide between the realm of man and that of God</w:t>
      </w:r>
      <w:r w:rsidR="007B018A">
        <w:rPr>
          <w:rStyle w:val="FootnoteReference"/>
          <w:rFonts w:ascii="Baskerville Old Face" w:hAnsi="Baskerville Old Face"/>
          <w:sz w:val="28"/>
          <w:szCs w:val="28"/>
        </w:rPr>
        <w:footnoteReference w:id="4"/>
      </w:r>
      <w:r w:rsidR="0029084A">
        <w:rPr>
          <w:rFonts w:ascii="Baskerville Old Face" w:hAnsi="Baskerville Old Face"/>
          <w:sz w:val="28"/>
          <w:szCs w:val="28"/>
        </w:rPr>
        <w:t>.</w:t>
      </w:r>
      <w:r w:rsidR="00362820">
        <w:rPr>
          <w:rFonts w:ascii="Baskerville Old Face" w:hAnsi="Baskerville Old Face"/>
          <w:sz w:val="28"/>
          <w:szCs w:val="28"/>
        </w:rPr>
        <w:t xml:space="preserve"> In fact, it is not until line twenty-six that man is even mentioned, as God announces ‘Let us make man in our image, after our likeness’</w:t>
      </w:r>
      <w:r w:rsidR="00362820">
        <w:rPr>
          <w:rStyle w:val="FootnoteReference"/>
          <w:rFonts w:ascii="Baskerville Old Face" w:hAnsi="Baskerville Old Face"/>
          <w:sz w:val="28"/>
          <w:szCs w:val="28"/>
        </w:rPr>
        <w:footnoteReference w:id="5"/>
      </w:r>
      <w:r w:rsidR="00362820">
        <w:rPr>
          <w:rFonts w:ascii="Baskerville Old Face" w:hAnsi="Baskerville Old Face"/>
          <w:sz w:val="28"/>
          <w:szCs w:val="28"/>
        </w:rPr>
        <w:t>. In its original Hebrew, the word ‘</w:t>
      </w:r>
      <w:proofErr w:type="spellStart"/>
      <w:r w:rsidR="00362820">
        <w:rPr>
          <w:rFonts w:ascii="Baskerville Old Face" w:hAnsi="Baskerville Old Face"/>
          <w:sz w:val="28"/>
          <w:szCs w:val="28"/>
        </w:rPr>
        <w:t>adam</w:t>
      </w:r>
      <w:proofErr w:type="spellEnd"/>
      <w:r w:rsidR="00362820">
        <w:rPr>
          <w:rFonts w:ascii="Baskerville Old Face" w:hAnsi="Baskerville Old Face"/>
          <w:sz w:val="28"/>
          <w:szCs w:val="28"/>
        </w:rPr>
        <w:t>’ is used in place of man, which is how we came to name this first man. The etymology and interchanging languages of the Bible, while fascinating, can create a confusion or complete change in translation</w:t>
      </w:r>
      <w:r w:rsidR="00606610">
        <w:rPr>
          <w:rFonts w:ascii="Baskerville Old Face" w:hAnsi="Baskerville Old Face"/>
          <w:sz w:val="28"/>
          <w:szCs w:val="28"/>
        </w:rPr>
        <w:t xml:space="preserve"> which should be considered when drawing meaning or analysis from a text such as this – thousands of years old, translated over and over and subject to rewriting. Later in the essay, I will explore how etymology and translation affected how the Bible is understood and applied, specifically in terms of determining misogyny.</w:t>
      </w:r>
      <w:r w:rsidR="00770862">
        <w:rPr>
          <w:rFonts w:ascii="Baskerville Old Face" w:hAnsi="Baskerville Old Face"/>
          <w:sz w:val="28"/>
          <w:szCs w:val="28"/>
        </w:rPr>
        <w:t xml:space="preserve"> </w:t>
      </w:r>
    </w:p>
    <w:p w14:paraId="44A61797" w14:textId="1383E1C4" w:rsidR="00770862" w:rsidRDefault="00770862" w:rsidP="0036625E">
      <w:pPr>
        <w:jc w:val="both"/>
        <w:rPr>
          <w:rFonts w:ascii="Baskerville Old Face" w:hAnsi="Baskerville Old Face"/>
          <w:sz w:val="28"/>
          <w:szCs w:val="28"/>
        </w:rPr>
      </w:pPr>
      <w:r>
        <w:rPr>
          <w:rFonts w:ascii="Baskerville Old Face" w:hAnsi="Baskerville Old Face"/>
          <w:sz w:val="28"/>
          <w:szCs w:val="28"/>
        </w:rPr>
        <w:t>Many attempts have been made to ‘</w:t>
      </w:r>
      <w:proofErr w:type="spellStart"/>
      <w:r>
        <w:rPr>
          <w:rFonts w:ascii="Baskerville Old Face" w:hAnsi="Baskerville Old Face"/>
          <w:sz w:val="28"/>
          <w:szCs w:val="28"/>
        </w:rPr>
        <w:t>depatriarchalise</w:t>
      </w:r>
      <w:proofErr w:type="spellEnd"/>
      <w:r>
        <w:rPr>
          <w:rFonts w:ascii="Baskerville Old Face" w:hAnsi="Baskerville Old Face"/>
          <w:sz w:val="28"/>
          <w:szCs w:val="28"/>
        </w:rPr>
        <w:t xml:space="preserve">’ </w:t>
      </w:r>
      <w:r w:rsidR="00AB6835">
        <w:rPr>
          <w:rFonts w:ascii="Baskerville Old Face" w:hAnsi="Baskerville Old Face"/>
          <w:sz w:val="28"/>
          <w:szCs w:val="28"/>
        </w:rPr>
        <w:t>biblical texts, specifically that of Genesis. The scholarly pursuit of understanding the Bible under a new feminist worldview, discarding the primitive themes of misogyny has grown more popular adjacent to the rise of feminism and female empowerment as women and even men question whether Christianity and feminism can coexist, when so many texts suggest otherwise.</w:t>
      </w:r>
      <w:r w:rsidR="00916364">
        <w:rPr>
          <w:rFonts w:ascii="Baskerville Old Face" w:hAnsi="Baskerville Old Face"/>
          <w:sz w:val="28"/>
          <w:szCs w:val="28"/>
        </w:rPr>
        <w:t xml:space="preserve"> Trevor Dennis, author of </w:t>
      </w:r>
      <w:r w:rsidR="00916364" w:rsidRPr="00916364">
        <w:rPr>
          <w:rFonts w:ascii="Baskerville Old Face" w:hAnsi="Baskerville Old Face"/>
          <w:i/>
          <w:iCs/>
          <w:sz w:val="28"/>
          <w:szCs w:val="28"/>
        </w:rPr>
        <w:t xml:space="preserve">The Gospel Beyond Gospels </w:t>
      </w:r>
      <w:r w:rsidR="00916364">
        <w:rPr>
          <w:rFonts w:ascii="Baskerville Old Face" w:hAnsi="Baskerville Old Face"/>
          <w:sz w:val="28"/>
          <w:szCs w:val="28"/>
        </w:rPr>
        <w:t xml:space="preserve">and </w:t>
      </w:r>
      <w:r w:rsidR="00916364" w:rsidRPr="00916364">
        <w:rPr>
          <w:rFonts w:ascii="Baskerville Old Face" w:hAnsi="Baskerville Old Face"/>
          <w:i/>
          <w:iCs/>
          <w:sz w:val="28"/>
          <w:szCs w:val="28"/>
        </w:rPr>
        <w:t>Sarah Laughed: Women’s voices in the Old Testament</w:t>
      </w:r>
      <w:r w:rsidR="00916364">
        <w:rPr>
          <w:rFonts w:ascii="Baskerville Old Face" w:hAnsi="Baskerville Old Face"/>
          <w:i/>
          <w:iCs/>
          <w:sz w:val="28"/>
          <w:szCs w:val="28"/>
        </w:rPr>
        <w:t xml:space="preserve"> </w:t>
      </w:r>
      <w:r w:rsidR="00916364">
        <w:rPr>
          <w:rFonts w:ascii="Baskerville Old Face" w:hAnsi="Baskerville Old Face"/>
          <w:sz w:val="28"/>
          <w:szCs w:val="28"/>
        </w:rPr>
        <w:t xml:space="preserve"> is an example of one such scholar with interest in revaluating the Old Testament with a modern mindset, shaking old biases and challenging our understanding of what we interpret Christianity as wanting us to be. The great thing about study</w:t>
      </w:r>
      <w:r w:rsidR="00271C21">
        <w:rPr>
          <w:rFonts w:ascii="Baskerville Old Face" w:hAnsi="Baskerville Old Face"/>
          <w:sz w:val="28"/>
          <w:szCs w:val="28"/>
        </w:rPr>
        <w:t>, specifically its theological branch,</w:t>
      </w:r>
      <w:r w:rsidR="00916364">
        <w:rPr>
          <w:rFonts w:ascii="Baskerville Old Face" w:hAnsi="Baskerville Old Face"/>
          <w:sz w:val="28"/>
          <w:szCs w:val="28"/>
        </w:rPr>
        <w:t xml:space="preserve"> is its perpetual evolution; its abstractness with no margin, </w:t>
      </w:r>
      <w:r w:rsidR="006A6024">
        <w:rPr>
          <w:rFonts w:ascii="Baskerville Old Face" w:hAnsi="Baskerville Old Face"/>
          <w:sz w:val="28"/>
          <w:szCs w:val="28"/>
        </w:rPr>
        <w:t>the infinitesimal conclusions we can draw. In studying the Bible, we see that in action and therefore we must shrug off black and white rigidity to appreciate every interpretation.</w:t>
      </w:r>
    </w:p>
    <w:p w14:paraId="42DE5839" w14:textId="6F9A267D" w:rsidR="006A6024" w:rsidRDefault="006A6024" w:rsidP="0036625E">
      <w:pPr>
        <w:jc w:val="both"/>
        <w:rPr>
          <w:rFonts w:ascii="Baskerville Old Face" w:hAnsi="Baskerville Old Face"/>
          <w:sz w:val="28"/>
          <w:szCs w:val="28"/>
        </w:rPr>
      </w:pPr>
      <w:r>
        <w:rPr>
          <w:rFonts w:ascii="Baskerville Old Face" w:hAnsi="Baskerville Old Face"/>
          <w:sz w:val="28"/>
          <w:szCs w:val="28"/>
        </w:rPr>
        <w:t xml:space="preserve">In the second half of Genesis, the snake is introduced: ‘Now the snake was cleverer than any other wild animal that the Lord God had made’ (3:1). In Dennis’s book </w:t>
      </w:r>
      <w:r w:rsidRPr="006A6024">
        <w:rPr>
          <w:rFonts w:ascii="Baskerville Old Face" w:hAnsi="Baskerville Old Face"/>
          <w:i/>
          <w:iCs/>
          <w:sz w:val="28"/>
          <w:szCs w:val="28"/>
        </w:rPr>
        <w:t>Sarah Laughed</w:t>
      </w:r>
      <w:r>
        <w:rPr>
          <w:rFonts w:ascii="Baskerville Old Face" w:hAnsi="Baskerville Old Face"/>
          <w:sz w:val="28"/>
          <w:szCs w:val="28"/>
        </w:rPr>
        <w:t xml:space="preserve">, in the chapter </w:t>
      </w:r>
      <w:r w:rsidRPr="006A6024">
        <w:rPr>
          <w:rFonts w:ascii="Baskerville Old Face" w:hAnsi="Baskerville Old Face"/>
          <w:i/>
          <w:iCs/>
          <w:sz w:val="28"/>
          <w:szCs w:val="28"/>
        </w:rPr>
        <w:t>Eve: A Woman Much Maligned</w:t>
      </w:r>
      <w:r>
        <w:rPr>
          <w:rFonts w:ascii="Baskerville Old Face" w:hAnsi="Baskerville Old Face"/>
          <w:i/>
          <w:iCs/>
          <w:sz w:val="28"/>
          <w:szCs w:val="28"/>
        </w:rPr>
        <w:t xml:space="preserve">, </w:t>
      </w:r>
      <w:r>
        <w:rPr>
          <w:rFonts w:ascii="Baskerville Old Face" w:hAnsi="Baskerville Old Face"/>
          <w:sz w:val="28"/>
          <w:szCs w:val="28"/>
        </w:rPr>
        <w:t>Dennis makes the point that initially, the snake was just a snake.</w:t>
      </w:r>
      <w:r w:rsidR="00794E3D">
        <w:rPr>
          <w:rFonts w:ascii="Baskerville Old Face" w:hAnsi="Baskerville Old Face"/>
          <w:sz w:val="28"/>
          <w:szCs w:val="28"/>
        </w:rPr>
        <w:t xml:space="preserve"> It was later that the Christian doctrine interpreted the creature to be the devil, in the form of the serpent. So initially, the pair were simply approached by one of God’s animals of whom was much smarter than them. It is now that Eve speaks for the first time</w:t>
      </w:r>
      <w:r w:rsidR="00794E3D">
        <w:rPr>
          <w:rStyle w:val="FootnoteReference"/>
          <w:rFonts w:ascii="Baskerville Old Face" w:hAnsi="Baskerville Old Face"/>
          <w:sz w:val="28"/>
          <w:szCs w:val="28"/>
        </w:rPr>
        <w:footnoteReference w:id="6"/>
      </w:r>
      <w:r w:rsidR="004C056D">
        <w:rPr>
          <w:rFonts w:ascii="Baskerville Old Face" w:hAnsi="Baskerville Old Face"/>
          <w:sz w:val="28"/>
          <w:szCs w:val="28"/>
        </w:rPr>
        <w:t>, and becomes focal along with the snake ‘and the man slips so far back into the shadows of the narrative that we can very easily forget he is there’ (Dennis, p19).</w:t>
      </w:r>
      <w:r w:rsidR="00D204EE">
        <w:rPr>
          <w:rFonts w:ascii="Baskerville Old Face" w:hAnsi="Baskerville Old Face"/>
          <w:sz w:val="28"/>
          <w:szCs w:val="28"/>
        </w:rPr>
        <w:t xml:space="preserve"> In retreating to the background </w:t>
      </w:r>
      <w:r w:rsidR="00D204EE">
        <w:rPr>
          <w:rFonts w:ascii="Baskerville Old Face" w:hAnsi="Baskerville Old Face"/>
          <w:sz w:val="28"/>
          <w:szCs w:val="28"/>
        </w:rPr>
        <w:lastRenderedPageBreak/>
        <w:t>of the story at the very time of sin, it places the heft of culpability onto Eve, as she is the one engaging the serpent and leading the pair. Interestingly, the language shifts from Eve as being seen as Adam’s ward of care</w:t>
      </w:r>
      <w:r w:rsidR="0036625E">
        <w:rPr>
          <w:rFonts w:ascii="Baskerville Old Face" w:hAnsi="Baskerville Old Face"/>
          <w:sz w:val="28"/>
          <w:szCs w:val="28"/>
        </w:rPr>
        <w:t xml:space="preserve"> and protection, to him being described as ‘her man’. This male submissiveness is foreign against the biblical ideals of masculinity as dominance, however almost necessary to allow Adam’s evasion of blame and to cast Eve as manipulative, and by extension, women as a biological whole.</w:t>
      </w:r>
      <w:r w:rsidR="006343C8">
        <w:rPr>
          <w:rFonts w:ascii="Baskerville Old Face" w:hAnsi="Baskerville Old Face"/>
          <w:sz w:val="28"/>
          <w:szCs w:val="28"/>
        </w:rPr>
        <w:t xml:space="preserve"> This has led to the very popular and Christian argument that original sin was the fault of Eve alone; Adam a mere victim of manipulation. Women since have been ascribed such traits by extension and it</w:t>
      </w:r>
      <w:r w:rsidR="00D42572">
        <w:rPr>
          <w:rFonts w:ascii="Baskerville Old Face" w:hAnsi="Baskerville Old Face"/>
          <w:sz w:val="28"/>
          <w:szCs w:val="28"/>
        </w:rPr>
        <w:t xml:space="preserve"> i</w:t>
      </w:r>
      <w:r w:rsidR="006343C8">
        <w:rPr>
          <w:rFonts w:ascii="Baskerville Old Face" w:hAnsi="Baskerville Old Face"/>
          <w:sz w:val="28"/>
          <w:szCs w:val="28"/>
        </w:rPr>
        <w:t>s here where the control and muzzling of women stems in punishment for their weaker, and malignant origins.</w:t>
      </w:r>
    </w:p>
    <w:p w14:paraId="690C8262" w14:textId="35C63E5D" w:rsidR="00C475E4" w:rsidRPr="00C475E4" w:rsidRDefault="00271C21" w:rsidP="00955B0A">
      <w:pPr>
        <w:jc w:val="both"/>
        <w:rPr>
          <w:rFonts w:ascii="Baskerville Old Face" w:hAnsi="Baskerville Old Face"/>
          <w:sz w:val="28"/>
          <w:szCs w:val="28"/>
        </w:rPr>
      </w:pPr>
      <w:r>
        <w:rPr>
          <w:rFonts w:ascii="Baskerville Old Face" w:hAnsi="Baskerville Old Face"/>
          <w:sz w:val="28"/>
          <w:szCs w:val="28"/>
        </w:rPr>
        <w:t>T</w:t>
      </w:r>
      <w:r w:rsidR="00D6532A">
        <w:rPr>
          <w:rFonts w:ascii="Baskerville Old Face" w:hAnsi="Baskerville Old Face"/>
          <w:sz w:val="28"/>
          <w:szCs w:val="28"/>
        </w:rPr>
        <w:t>he second creation account (</w:t>
      </w:r>
      <w:r w:rsidR="00D6532A" w:rsidRPr="00D6532A">
        <w:rPr>
          <w:rFonts w:ascii="Baskerville Old Face" w:hAnsi="Baskerville Old Face"/>
          <w:i/>
          <w:iCs/>
          <w:sz w:val="28"/>
          <w:szCs w:val="28"/>
        </w:rPr>
        <w:t>Genesis 2:4b-25</w:t>
      </w:r>
      <w:r w:rsidR="00D6532A">
        <w:rPr>
          <w:rFonts w:ascii="Baskerville Old Face" w:hAnsi="Baskerville Old Face"/>
          <w:sz w:val="28"/>
          <w:szCs w:val="28"/>
        </w:rPr>
        <w:t xml:space="preserve">), </w:t>
      </w:r>
      <w:r>
        <w:rPr>
          <w:rFonts w:ascii="Baskerville Old Face" w:hAnsi="Baskerville Old Face"/>
          <w:sz w:val="28"/>
          <w:szCs w:val="28"/>
        </w:rPr>
        <w:t xml:space="preserve">is often referenced in the argument of women’s inferiority, in which scholars examine the events under the meticulous scope of male favouritism – did God pay more mind to the creation of Adam specifically? To explore another question frequently asked in this argument, I will attempt to unpack the event of Eve’s creation </w:t>
      </w:r>
      <w:r w:rsidR="00166DA5">
        <w:rPr>
          <w:rFonts w:ascii="Baskerville Old Face" w:hAnsi="Baskerville Old Face"/>
          <w:sz w:val="28"/>
          <w:szCs w:val="28"/>
        </w:rPr>
        <w:t xml:space="preserve">from Adam himself. In the English translation, </w:t>
      </w:r>
      <w:r w:rsidR="00955B0A">
        <w:rPr>
          <w:rFonts w:ascii="Baskerville Old Face" w:hAnsi="Baskerville Old Face"/>
          <w:sz w:val="28"/>
          <w:szCs w:val="28"/>
        </w:rPr>
        <w:t>the Bible says ‘a</w:t>
      </w:r>
      <w:r w:rsidR="00955B0A" w:rsidRPr="00955B0A">
        <w:rPr>
          <w:rFonts w:ascii="Baskerville Old Face" w:hAnsi="Baskerville Old Face"/>
          <w:sz w:val="28"/>
          <w:szCs w:val="28"/>
        </w:rPr>
        <w:t>nd the rib that the Lord God had taken from the man he made into a woman and brought her to the man’ (Gen. 2:22 NRSV</w:t>
      </w:r>
      <w:r w:rsidR="00955B0A">
        <w:rPr>
          <w:rFonts w:ascii="Baskerville Old Face" w:hAnsi="Baskerville Old Face"/>
          <w:sz w:val="28"/>
          <w:szCs w:val="28"/>
        </w:rPr>
        <w:t xml:space="preserve">), however in its original Hebrew, the word ‘sela’ had been used where we have now translated to rib. A rib, small as it is and being only one of many, connoted a dismissal of Eve as much less than. Her entire being was borne from an already complete man, and her existence would be null without </w:t>
      </w:r>
      <w:r w:rsidR="00BE67E5">
        <w:rPr>
          <w:rFonts w:ascii="Baskerville Old Face" w:hAnsi="Baskerville Old Face"/>
          <w:sz w:val="28"/>
          <w:szCs w:val="28"/>
        </w:rPr>
        <w:t xml:space="preserve">Adam’s body. Many internalise this as meaning God empowered men as complete beings, with the responsibility and right over their women. The translation of ‘sela’ into rib seems to further perpetuate the sexist rhetoric that has become so ingrained in the church’s identity. Conveniently though, this is the only example of the Hebrew ‘sela’ being used to mean rib all throughout the Hebrew Bible. If we look at other passages, we can see it appears to be much more general a term and in being so, </w:t>
      </w:r>
      <w:r w:rsidR="001B4F88">
        <w:rPr>
          <w:rFonts w:ascii="Baskerville Old Face" w:hAnsi="Baskerville Old Face"/>
          <w:sz w:val="28"/>
          <w:szCs w:val="28"/>
        </w:rPr>
        <w:t>may turn the idea of Eve as a limited by-product of the male sex on its head. In Exodus, the Bible says ‘c</w:t>
      </w:r>
      <w:r w:rsidR="001B4F88" w:rsidRPr="001B4F88">
        <w:rPr>
          <w:rFonts w:ascii="Baskerville Old Face" w:hAnsi="Baskerville Old Face"/>
          <w:sz w:val="28"/>
          <w:szCs w:val="28"/>
        </w:rPr>
        <w:t>ast four gold rings for it and fasten them to its four feet, with two rings on one side and two rings on the other</w:t>
      </w:r>
      <w:r w:rsidR="001B4F88">
        <w:rPr>
          <w:rFonts w:ascii="Baskerville Old Face" w:hAnsi="Baskerville Old Face"/>
          <w:sz w:val="28"/>
          <w:szCs w:val="28"/>
        </w:rPr>
        <w:t>’</w:t>
      </w:r>
      <w:r w:rsidR="001B4F88">
        <w:rPr>
          <w:rStyle w:val="FootnoteReference"/>
          <w:rFonts w:ascii="Baskerville Old Face" w:hAnsi="Baskerville Old Face"/>
          <w:sz w:val="28"/>
          <w:szCs w:val="28"/>
        </w:rPr>
        <w:footnoteReference w:id="7"/>
      </w:r>
      <w:r w:rsidR="001B4F88">
        <w:rPr>
          <w:rFonts w:ascii="Baskerville Old Face" w:hAnsi="Baskerville Old Face"/>
          <w:sz w:val="28"/>
          <w:szCs w:val="28"/>
        </w:rPr>
        <w:t>. In Hebrew, ‘sela’ has been written to reference the side of the ark. There are other examples that prove the flexibility of the word, such as Ezekiel 41:11</w:t>
      </w:r>
      <w:r w:rsidR="001B4F88">
        <w:rPr>
          <w:rStyle w:val="FootnoteReference"/>
          <w:rFonts w:ascii="Baskerville Old Face" w:hAnsi="Baskerville Old Face"/>
          <w:sz w:val="28"/>
          <w:szCs w:val="28"/>
        </w:rPr>
        <w:footnoteReference w:id="8"/>
      </w:r>
      <w:r w:rsidR="001B4F88">
        <w:rPr>
          <w:rFonts w:ascii="Baskerville Old Face" w:hAnsi="Baskerville Old Face"/>
          <w:sz w:val="28"/>
          <w:szCs w:val="28"/>
        </w:rPr>
        <w:t xml:space="preserve"> or 2 Sam 16:13.</w:t>
      </w:r>
      <w:r w:rsidR="00E744CF">
        <w:rPr>
          <w:rStyle w:val="FootnoteReference"/>
          <w:rFonts w:ascii="Baskerville Old Face" w:hAnsi="Baskerville Old Face"/>
          <w:sz w:val="28"/>
          <w:szCs w:val="28"/>
        </w:rPr>
        <w:footnoteReference w:id="9"/>
      </w:r>
      <w:r w:rsidR="00E744CF">
        <w:rPr>
          <w:rFonts w:ascii="Baskerville Old Face" w:hAnsi="Baskerville Old Face"/>
          <w:sz w:val="28"/>
          <w:szCs w:val="28"/>
        </w:rPr>
        <w:t xml:space="preserve"> If in fact, </w:t>
      </w:r>
      <w:r w:rsidR="009A7B11">
        <w:rPr>
          <w:rFonts w:ascii="Baskerville Old Face" w:hAnsi="Baskerville Old Face"/>
          <w:sz w:val="28"/>
          <w:szCs w:val="28"/>
        </w:rPr>
        <w:t xml:space="preserve">if we re-examine the Genesis passage translating ‘sela’ to ‘side’, we could imagine Eve as making up a considerable portion of Adam and even existing symbiotically with each other. Contradicting the </w:t>
      </w:r>
      <w:r w:rsidR="00A444E0">
        <w:rPr>
          <w:rFonts w:ascii="Baskerville Old Face" w:hAnsi="Baskerville Old Face"/>
          <w:sz w:val="28"/>
          <w:szCs w:val="28"/>
        </w:rPr>
        <w:t xml:space="preserve">previous view that a woman’s very nature leaves her </w:t>
      </w:r>
      <w:r w:rsidR="00A444E0">
        <w:rPr>
          <w:rFonts w:ascii="Baskerville Old Face" w:hAnsi="Baskerville Old Face"/>
          <w:sz w:val="28"/>
          <w:szCs w:val="28"/>
        </w:rPr>
        <w:lastRenderedPageBreak/>
        <w:t>dependant on men, and will therefore seek to serve them, one could understand this Genesis passage elsewise. The sides of a human being</w:t>
      </w:r>
      <w:r w:rsidR="00C475E4">
        <w:rPr>
          <w:rFonts w:ascii="Baskerville Old Face" w:hAnsi="Baskerville Old Face"/>
          <w:sz w:val="28"/>
          <w:szCs w:val="28"/>
        </w:rPr>
        <w:t xml:space="preserve"> are of quite substantial side and protect, or even include vital organs and parts of the skeleton. It is no exaggeration to say that Adam would not survive without his sides, and thus he would not survive without Eve. Since her body mass almost splits Adam’s in half by repurposing his sides, one could call into question the ideology that names Eve as his ‘helper’ and disposes of her individuality or worth as a single being. The etymological debate surrounding the use of the word </w:t>
      </w:r>
      <w:r w:rsidR="00C475E4" w:rsidRPr="00C475E4">
        <w:rPr>
          <w:rFonts w:ascii="Baskerville Old Face" w:hAnsi="Baskerville Old Face"/>
          <w:i/>
          <w:iCs/>
          <w:sz w:val="28"/>
          <w:szCs w:val="28"/>
        </w:rPr>
        <w:t>‘sela</w:t>
      </w:r>
      <w:proofErr w:type="gramStart"/>
      <w:r w:rsidR="00C475E4" w:rsidRPr="00C475E4">
        <w:rPr>
          <w:rFonts w:ascii="Baskerville Old Face" w:hAnsi="Baskerville Old Face"/>
          <w:i/>
          <w:iCs/>
          <w:sz w:val="28"/>
          <w:szCs w:val="28"/>
        </w:rPr>
        <w:t>’</w:t>
      </w:r>
      <w:r w:rsidR="00C475E4">
        <w:rPr>
          <w:rFonts w:ascii="Baskerville Old Face" w:hAnsi="Baskerville Old Face"/>
          <w:i/>
          <w:iCs/>
          <w:sz w:val="28"/>
          <w:szCs w:val="28"/>
        </w:rPr>
        <w:t xml:space="preserve"> </w:t>
      </w:r>
      <w:r w:rsidR="00C475E4">
        <w:rPr>
          <w:rFonts w:ascii="Baskerville Old Face" w:hAnsi="Baskerville Old Face"/>
          <w:sz w:val="28"/>
          <w:szCs w:val="28"/>
        </w:rPr>
        <w:t xml:space="preserve"> is</w:t>
      </w:r>
      <w:proofErr w:type="gramEnd"/>
      <w:r w:rsidR="00C475E4">
        <w:rPr>
          <w:rFonts w:ascii="Baskerville Old Face" w:hAnsi="Baskerville Old Face"/>
          <w:sz w:val="28"/>
          <w:szCs w:val="28"/>
        </w:rPr>
        <w:t xml:space="preserve"> exemplary at demonstrating the importance of language in literature and text; specifically how mistranslation whether intentional or otherwise, can have a profound effect. </w:t>
      </w:r>
    </w:p>
    <w:p w14:paraId="1BCE5D6C" w14:textId="3981FAA4" w:rsidR="001146FE" w:rsidRDefault="001146FE" w:rsidP="0032712D">
      <w:pPr>
        <w:rPr>
          <w:rFonts w:ascii="Baskerville Old Face" w:hAnsi="Baskerville Old Face"/>
          <w:sz w:val="28"/>
          <w:szCs w:val="28"/>
        </w:rPr>
      </w:pPr>
      <w:r>
        <w:rPr>
          <w:rFonts w:ascii="Baskerville Old Face" w:hAnsi="Baskerville Old Face"/>
          <w:sz w:val="28"/>
          <w:szCs w:val="28"/>
        </w:rPr>
        <w:t xml:space="preserve">Tertullian, a Christian theologian writing in the second century, was one of many who took to interpreting Genesis as a justification for the patriarchal thought and way of life that was put in place. In his book </w:t>
      </w:r>
      <w:r w:rsidRPr="001146FE">
        <w:rPr>
          <w:rFonts w:ascii="Baskerville Old Face" w:hAnsi="Baskerville Old Face"/>
          <w:i/>
          <w:iCs/>
          <w:sz w:val="28"/>
          <w:szCs w:val="28"/>
        </w:rPr>
        <w:t xml:space="preserve">De </w:t>
      </w:r>
      <w:proofErr w:type="spellStart"/>
      <w:r w:rsidRPr="001146FE">
        <w:rPr>
          <w:rFonts w:ascii="Baskerville Old Face" w:hAnsi="Baskerville Old Face"/>
          <w:i/>
          <w:iCs/>
          <w:sz w:val="28"/>
          <w:szCs w:val="28"/>
        </w:rPr>
        <w:t>Cultu</w:t>
      </w:r>
      <w:proofErr w:type="spellEnd"/>
      <w:r w:rsidRPr="001146FE">
        <w:rPr>
          <w:rFonts w:ascii="Baskerville Old Face" w:hAnsi="Baskerville Old Face"/>
          <w:i/>
          <w:iCs/>
          <w:sz w:val="28"/>
          <w:szCs w:val="28"/>
        </w:rPr>
        <w:t xml:space="preserve"> </w:t>
      </w:r>
      <w:proofErr w:type="spellStart"/>
      <w:r w:rsidRPr="001146FE">
        <w:rPr>
          <w:rFonts w:ascii="Baskerville Old Face" w:hAnsi="Baskerville Old Face"/>
          <w:i/>
          <w:iCs/>
          <w:sz w:val="28"/>
          <w:szCs w:val="28"/>
        </w:rPr>
        <w:t>Feminarum</w:t>
      </w:r>
      <w:proofErr w:type="spellEnd"/>
      <w:r>
        <w:rPr>
          <w:rFonts w:ascii="Baskerville Old Face" w:hAnsi="Baskerville Old Face"/>
          <w:sz w:val="28"/>
          <w:szCs w:val="28"/>
        </w:rPr>
        <w:t xml:space="preserve"> (On the Apparel of Women) he wrote to women, saying,</w:t>
      </w:r>
    </w:p>
    <w:p w14:paraId="4AA33E77" w14:textId="77777777" w:rsidR="00D42572" w:rsidRDefault="00D42572" w:rsidP="0032712D">
      <w:pPr>
        <w:rPr>
          <w:rFonts w:ascii="Baskerville Old Face" w:hAnsi="Baskerville Old Face"/>
          <w:sz w:val="28"/>
          <w:szCs w:val="28"/>
        </w:rPr>
      </w:pPr>
    </w:p>
    <w:p w14:paraId="770F04E1" w14:textId="07C37CBB" w:rsidR="001146FE" w:rsidRDefault="001146FE" w:rsidP="001146FE">
      <w:pPr>
        <w:jc w:val="center"/>
        <w:rPr>
          <w:rFonts w:ascii="Baskerville Old Face" w:hAnsi="Baskerville Old Face"/>
          <w:sz w:val="24"/>
          <w:szCs w:val="24"/>
        </w:rPr>
      </w:pPr>
      <w:r>
        <w:rPr>
          <w:rFonts w:ascii="Baskerville Old Face" w:hAnsi="Baskerville Old Face"/>
          <w:sz w:val="24"/>
          <w:szCs w:val="24"/>
        </w:rPr>
        <w:t>‘</w:t>
      </w:r>
      <w:r w:rsidRPr="001146FE">
        <w:rPr>
          <w:rFonts w:ascii="Baskerville Old Face" w:hAnsi="Baskerville Old Face"/>
          <w:sz w:val="24"/>
          <w:szCs w:val="24"/>
        </w:rPr>
        <w:t xml:space="preserve">And do you not know that you are (each) an Eve? The sentence of God on this sex of yours </w:t>
      </w:r>
      <w:r>
        <w:rPr>
          <w:rFonts w:ascii="Baskerville Old Face" w:hAnsi="Baskerville Old Face"/>
          <w:sz w:val="24"/>
          <w:szCs w:val="24"/>
        </w:rPr>
        <w:t xml:space="preserve">          </w:t>
      </w:r>
      <w:r w:rsidRPr="001146FE">
        <w:rPr>
          <w:rFonts w:ascii="Baskerville Old Face" w:hAnsi="Baskerville Old Face"/>
          <w:sz w:val="24"/>
          <w:szCs w:val="24"/>
        </w:rPr>
        <w:t xml:space="preserve">lives in this age: the guilt must of necessity live too. You are the devil’s gateway: you are the </w:t>
      </w:r>
      <w:proofErr w:type="spellStart"/>
      <w:r w:rsidRPr="001146FE">
        <w:rPr>
          <w:rFonts w:ascii="Baskerville Old Face" w:hAnsi="Baskerville Old Face"/>
          <w:sz w:val="24"/>
          <w:szCs w:val="24"/>
        </w:rPr>
        <w:t>unsealer</w:t>
      </w:r>
      <w:proofErr w:type="spellEnd"/>
      <w:r w:rsidRPr="001146FE">
        <w:rPr>
          <w:rFonts w:ascii="Baskerville Old Face" w:hAnsi="Baskerville Old Face"/>
          <w:sz w:val="24"/>
          <w:szCs w:val="24"/>
        </w:rPr>
        <w:t xml:space="preserve"> of that [forbidden] tree: you are the </w:t>
      </w:r>
      <w:r w:rsidRPr="001146FE">
        <w:rPr>
          <w:rFonts w:ascii="Times New Roman" w:hAnsi="Times New Roman" w:cs="Times New Roman"/>
          <w:sz w:val="24"/>
          <w:szCs w:val="24"/>
        </w:rPr>
        <w:t>ﬁ</w:t>
      </w:r>
      <w:r w:rsidRPr="001146FE">
        <w:rPr>
          <w:rFonts w:ascii="Baskerville Old Face" w:hAnsi="Baskerville Old Face"/>
          <w:sz w:val="24"/>
          <w:szCs w:val="24"/>
        </w:rPr>
        <w:t xml:space="preserve">rst deserter of the divine law: you are she who </w:t>
      </w:r>
      <w:r>
        <w:rPr>
          <w:rFonts w:ascii="Baskerville Old Face" w:hAnsi="Baskerville Old Face"/>
          <w:sz w:val="24"/>
          <w:szCs w:val="24"/>
        </w:rPr>
        <w:t xml:space="preserve"> </w:t>
      </w:r>
      <w:r w:rsidRPr="001146FE">
        <w:rPr>
          <w:rFonts w:ascii="Baskerville Old Face" w:hAnsi="Baskerville Old Face"/>
          <w:sz w:val="24"/>
          <w:szCs w:val="24"/>
        </w:rPr>
        <w:t>persuaded him whom the devil was not valiant enough to attack. You destroyed so easily God</w:t>
      </w:r>
      <w:r w:rsidRPr="001146FE">
        <w:rPr>
          <w:rFonts w:ascii="Baskerville Old Face" w:hAnsi="Baskerville Old Face" w:cs="Baskerville Old Face"/>
          <w:sz w:val="24"/>
          <w:szCs w:val="24"/>
        </w:rPr>
        <w:t>’</w:t>
      </w:r>
      <w:r w:rsidRPr="001146FE">
        <w:rPr>
          <w:rFonts w:ascii="Baskerville Old Face" w:hAnsi="Baskerville Old Face"/>
          <w:sz w:val="24"/>
          <w:szCs w:val="24"/>
        </w:rPr>
        <w:t xml:space="preserve">s image, man. On account of your desert </w:t>
      </w:r>
      <w:r w:rsidRPr="001146FE">
        <w:rPr>
          <w:rFonts w:ascii="Baskerville Old Face" w:hAnsi="Baskerville Old Face" w:cs="Baskerville Old Face"/>
          <w:sz w:val="24"/>
          <w:szCs w:val="24"/>
        </w:rPr>
        <w:t>–</w:t>
      </w:r>
      <w:r w:rsidRPr="001146FE">
        <w:rPr>
          <w:rFonts w:ascii="Baskerville Old Face" w:hAnsi="Baskerville Old Face"/>
          <w:sz w:val="24"/>
          <w:szCs w:val="24"/>
        </w:rPr>
        <w:t xml:space="preserve"> that is, death </w:t>
      </w:r>
      <w:r w:rsidRPr="001146FE">
        <w:rPr>
          <w:rFonts w:ascii="Baskerville Old Face" w:hAnsi="Baskerville Old Face" w:cs="Baskerville Old Face"/>
          <w:sz w:val="24"/>
          <w:szCs w:val="24"/>
        </w:rPr>
        <w:t>–</w:t>
      </w:r>
      <w:r w:rsidRPr="001146FE">
        <w:rPr>
          <w:rFonts w:ascii="Baskerville Old Face" w:hAnsi="Baskerville Old Face"/>
          <w:sz w:val="24"/>
          <w:szCs w:val="24"/>
        </w:rPr>
        <w:t xml:space="preserve"> even the Son of God had to die.</w:t>
      </w:r>
      <w:r>
        <w:rPr>
          <w:rFonts w:ascii="Baskerville Old Face" w:hAnsi="Baskerville Old Face"/>
          <w:sz w:val="24"/>
          <w:szCs w:val="24"/>
        </w:rPr>
        <w:t>’</w:t>
      </w:r>
      <w:r>
        <w:rPr>
          <w:rStyle w:val="FootnoteReference"/>
          <w:rFonts w:ascii="Baskerville Old Face" w:hAnsi="Baskerville Old Face"/>
          <w:sz w:val="24"/>
          <w:szCs w:val="24"/>
        </w:rPr>
        <w:footnoteReference w:id="10"/>
      </w:r>
      <w:r>
        <w:rPr>
          <w:rFonts w:ascii="Baskerville Old Face" w:hAnsi="Baskerville Old Face"/>
          <w:sz w:val="24"/>
          <w:szCs w:val="24"/>
        </w:rPr>
        <w:t xml:space="preserve">   </w:t>
      </w:r>
    </w:p>
    <w:p w14:paraId="3FE91AD5" w14:textId="77777777" w:rsidR="00D42572" w:rsidRDefault="00D42572" w:rsidP="00935CB6">
      <w:pPr>
        <w:jc w:val="both"/>
        <w:rPr>
          <w:rFonts w:ascii="Baskerville Old Face" w:hAnsi="Baskerville Old Face"/>
          <w:sz w:val="24"/>
          <w:szCs w:val="24"/>
        </w:rPr>
      </w:pPr>
    </w:p>
    <w:p w14:paraId="7B762719" w14:textId="3392FA67" w:rsidR="00D42572" w:rsidRDefault="00D42572" w:rsidP="00935CB6">
      <w:pPr>
        <w:jc w:val="both"/>
        <w:rPr>
          <w:rFonts w:ascii="Baskerville Old Face" w:hAnsi="Baskerville Old Face"/>
          <w:sz w:val="28"/>
          <w:szCs w:val="28"/>
        </w:rPr>
      </w:pPr>
      <w:r>
        <w:rPr>
          <w:rFonts w:ascii="Baskerville Old Face" w:hAnsi="Baskerville Old Face"/>
          <w:sz w:val="28"/>
          <w:szCs w:val="28"/>
        </w:rPr>
        <w:t xml:space="preserve">The theologian’s choice of words purposely </w:t>
      </w:r>
      <w:proofErr w:type="gramStart"/>
      <w:r>
        <w:rPr>
          <w:rFonts w:ascii="Baskerville Old Face" w:hAnsi="Baskerville Old Face"/>
          <w:sz w:val="28"/>
          <w:szCs w:val="28"/>
        </w:rPr>
        <w:t>vilify</w:t>
      </w:r>
      <w:proofErr w:type="gramEnd"/>
      <w:r>
        <w:rPr>
          <w:rFonts w:ascii="Baskerville Old Face" w:hAnsi="Baskerville Old Face"/>
          <w:sz w:val="28"/>
          <w:szCs w:val="28"/>
        </w:rPr>
        <w:t xml:space="preserve"> Eve all while uplifting the image of the man as holy, devout and strong despite his compliance in the sin also. Whether or not Adam was convinced to eat the forbidden fruit, the idea that he would have any mind of his own is entirely discarded along with his responsibility for the crime. Tertullian’s mentioning of the devil lacking the courage to approach Adam over Eve manages to conveniently act as a sort of biblical damage control; not only excusing Adam but revering him as the stronger-willed of the two. </w:t>
      </w:r>
      <w:r w:rsidR="003B5F97">
        <w:rPr>
          <w:rFonts w:ascii="Baskerville Old Face" w:hAnsi="Baskerville Old Face"/>
          <w:sz w:val="28"/>
          <w:szCs w:val="28"/>
        </w:rPr>
        <w:t>The death of Jesus, who as we know from the New Testament died for ‘our’ sins, with no gendered terms or otherwise targeted language toward women in the writings, is even blamed on Eve and by greater extension, all women. As in the first line, when Tertullian proclaims all females an ‘Eve’, as if her name were a foul slur to demean us by, he broadens the culpability amongst all of us women that come after. And so, responsible for the first and arguably most heinous sins, why should we women not receive punishment? Why should we feel the decency</w:t>
      </w:r>
      <w:r w:rsidR="002D0DB8">
        <w:rPr>
          <w:rFonts w:ascii="Baskerville Old Face" w:hAnsi="Baskerville Old Face"/>
          <w:sz w:val="28"/>
          <w:szCs w:val="28"/>
        </w:rPr>
        <w:t xml:space="preserve"> and fairness</w:t>
      </w:r>
      <w:r w:rsidR="003B5F97">
        <w:rPr>
          <w:rFonts w:ascii="Baskerville Old Face" w:hAnsi="Baskerville Old Face"/>
          <w:sz w:val="28"/>
          <w:szCs w:val="28"/>
        </w:rPr>
        <w:t xml:space="preserve"> of a man’s life?</w:t>
      </w:r>
      <w:r w:rsidR="002D0DB8">
        <w:rPr>
          <w:rFonts w:ascii="Baskerville Old Face" w:hAnsi="Baskerville Old Face"/>
          <w:sz w:val="28"/>
          <w:szCs w:val="28"/>
        </w:rPr>
        <w:t xml:space="preserve"> Such is the rhetoric of the Christian patriarchy.</w:t>
      </w:r>
    </w:p>
    <w:p w14:paraId="44D4B6C7" w14:textId="026FEFAC" w:rsidR="00C475E4" w:rsidRDefault="00935CB6" w:rsidP="00935CB6">
      <w:pPr>
        <w:jc w:val="both"/>
        <w:rPr>
          <w:rFonts w:ascii="Baskerville Old Face" w:hAnsi="Baskerville Old Face"/>
          <w:sz w:val="28"/>
          <w:szCs w:val="28"/>
        </w:rPr>
      </w:pPr>
      <w:r>
        <w:rPr>
          <w:rFonts w:ascii="Baskerville Old Face" w:hAnsi="Baskerville Old Face"/>
          <w:sz w:val="28"/>
          <w:szCs w:val="28"/>
        </w:rPr>
        <w:lastRenderedPageBreak/>
        <w:t>Tertullian was a renowned early Christian author, of whose work is evidently still being studied and revered. He is even praised as the ‘founder of Western theology’</w:t>
      </w:r>
      <w:r>
        <w:rPr>
          <w:rStyle w:val="FootnoteReference"/>
          <w:rFonts w:ascii="Baskerville Old Face" w:hAnsi="Baskerville Old Face"/>
          <w:sz w:val="28"/>
          <w:szCs w:val="28"/>
        </w:rPr>
        <w:footnoteReference w:id="11"/>
      </w:r>
      <w:r>
        <w:rPr>
          <w:rFonts w:ascii="Baskerville Old Face" w:hAnsi="Baskerville Old Face"/>
          <w:sz w:val="28"/>
          <w:szCs w:val="28"/>
        </w:rPr>
        <w:t xml:space="preserve">, if that is any indication of the sway he still holds today within theological </w:t>
      </w:r>
      <w:r w:rsidR="00E43AD3">
        <w:rPr>
          <w:rFonts w:ascii="Baskerville Old Face" w:hAnsi="Baskerville Old Face"/>
          <w:sz w:val="28"/>
          <w:szCs w:val="28"/>
        </w:rPr>
        <w:t>circles. The impact his writings have had on Western society cannot be physically measured, however it would not be presumptuous to assume damage resultant to his words. Being as influential as he was, and still is within the Church, religious officials would have at least been knowledgeable of his writings and most likely – as is fitting with the thought of the early Church, agreed with his ideas. Unfortunately, Tertullian was not the sole theologian to twist Genesis into a self-serving excuse for the institutionalisation of sexism in the church and law, as Thomas Aquinas, with an arguably wider reputation, has been criticised for his fondness for writing similarly.</w:t>
      </w:r>
    </w:p>
    <w:p w14:paraId="249E2815" w14:textId="4D114597" w:rsidR="004A42C5" w:rsidRDefault="00D6532A" w:rsidP="00935CB6">
      <w:pPr>
        <w:jc w:val="both"/>
        <w:rPr>
          <w:rFonts w:ascii="Baskerville Old Face" w:hAnsi="Baskerville Old Face"/>
          <w:sz w:val="28"/>
          <w:szCs w:val="28"/>
        </w:rPr>
      </w:pPr>
      <w:r>
        <w:rPr>
          <w:rFonts w:ascii="Baskerville Old Face" w:hAnsi="Baskerville Old Face"/>
          <w:sz w:val="28"/>
          <w:szCs w:val="28"/>
        </w:rPr>
        <w:t>Extending all the way into the 13</w:t>
      </w:r>
      <w:r w:rsidRPr="00D6532A">
        <w:rPr>
          <w:rFonts w:ascii="Baskerville Old Face" w:hAnsi="Baskerville Old Face"/>
          <w:sz w:val="28"/>
          <w:szCs w:val="28"/>
          <w:vertAlign w:val="superscript"/>
        </w:rPr>
        <w:t>th</w:t>
      </w:r>
      <w:r>
        <w:rPr>
          <w:rFonts w:ascii="Baskerville Old Face" w:hAnsi="Baskerville Old Face"/>
          <w:sz w:val="28"/>
          <w:szCs w:val="28"/>
        </w:rPr>
        <w:t xml:space="preserve"> century, Aquinas followed in Tertullian’s footsteps</w:t>
      </w:r>
    </w:p>
    <w:p w14:paraId="784598AD" w14:textId="143E71A5" w:rsidR="00291D45" w:rsidRDefault="004A42C5" w:rsidP="00935CB6">
      <w:pPr>
        <w:jc w:val="both"/>
        <w:rPr>
          <w:rFonts w:ascii="Baskerville Old Face" w:hAnsi="Baskerville Old Face"/>
          <w:sz w:val="28"/>
          <w:szCs w:val="28"/>
        </w:rPr>
      </w:pPr>
      <w:r>
        <w:rPr>
          <w:rFonts w:ascii="Baskerville Old Face" w:hAnsi="Baskerville Old Face"/>
          <w:sz w:val="28"/>
          <w:szCs w:val="28"/>
        </w:rPr>
        <w:t xml:space="preserve">The question both theists and atheists have long since attempted to answer, the title of this essay, explores whether the Bible itself, is misogynistic. And if so, why? To remove ourselves from the context of religion and look at misogyny in baser, more modern terms, we can accept many reasons for why one might spread bigoted rhetoric or hold bias against minorities – not to say any reason could serve as justification, but simply a recognition into what fuels </w:t>
      </w:r>
      <w:r w:rsidR="00DF55DB">
        <w:rPr>
          <w:rFonts w:ascii="Baskerville Old Face" w:hAnsi="Baskerville Old Face"/>
          <w:sz w:val="28"/>
          <w:szCs w:val="28"/>
        </w:rPr>
        <w:t xml:space="preserve">the </w:t>
      </w:r>
      <w:r>
        <w:rPr>
          <w:rFonts w:ascii="Baskerville Old Face" w:hAnsi="Baskerville Old Face"/>
          <w:sz w:val="28"/>
          <w:szCs w:val="28"/>
        </w:rPr>
        <w:t>misogyny</w:t>
      </w:r>
      <w:r w:rsidR="00DF55DB">
        <w:rPr>
          <w:rFonts w:ascii="Baskerville Old Face" w:hAnsi="Baskerville Old Face"/>
          <w:sz w:val="28"/>
          <w:szCs w:val="28"/>
        </w:rPr>
        <w:t xml:space="preserve"> we see everywhere</w:t>
      </w:r>
      <w:r>
        <w:rPr>
          <w:rFonts w:ascii="Baskerville Old Face" w:hAnsi="Baskerville Old Face"/>
          <w:sz w:val="28"/>
          <w:szCs w:val="28"/>
        </w:rPr>
        <w:t>.</w:t>
      </w:r>
      <w:r w:rsidR="00291D45">
        <w:rPr>
          <w:rFonts w:ascii="Baskerville Old Face" w:hAnsi="Baskerville Old Face"/>
          <w:sz w:val="28"/>
          <w:szCs w:val="28"/>
        </w:rPr>
        <w:t xml:space="preserve"> Misogyny, as is defined by Merriam-Webster, is ‘the hatred of, aversion to, or prejudice against women</w:t>
      </w:r>
      <w:proofErr w:type="gramStart"/>
      <w:r w:rsidR="00291D45">
        <w:rPr>
          <w:rFonts w:ascii="Baskerville Old Face" w:hAnsi="Baskerville Old Face"/>
          <w:sz w:val="28"/>
          <w:szCs w:val="28"/>
        </w:rPr>
        <w:t>’.</w:t>
      </w:r>
      <w:proofErr w:type="gramEnd"/>
      <w:r w:rsidR="00291D45">
        <w:rPr>
          <w:rStyle w:val="FootnoteReference"/>
          <w:rFonts w:ascii="Baskerville Old Face" w:hAnsi="Baskerville Old Face"/>
          <w:sz w:val="28"/>
          <w:szCs w:val="28"/>
        </w:rPr>
        <w:footnoteReference w:id="12"/>
      </w:r>
      <w:r w:rsidR="002B587A">
        <w:rPr>
          <w:rFonts w:ascii="Baskerville Old Face" w:hAnsi="Baskerville Old Face"/>
          <w:sz w:val="28"/>
          <w:szCs w:val="28"/>
        </w:rPr>
        <w:t xml:space="preserve"> It would be impossible to empirically measure something like misogyny that breeds slowly and silently, infecting thought and action until it finds itself institutionalised and recognised approvingly, though many have tried to capture the essence of it and how it presents in our society. A modern example of what one could construe as such is the revoking of the Roe v Wade law in the United States. Roe v Wade made it possible for women to have the bodily autonomy they deserved, and was necessary for educated and free decisions within a pregnancy. Alabama is one such strict state that exercises a complete ban on abortion, regardless of age or consent.</w:t>
      </w:r>
      <w:r w:rsidR="007E7804">
        <w:rPr>
          <w:rFonts w:ascii="Baskerville Old Face" w:hAnsi="Baskerville Old Face"/>
          <w:sz w:val="28"/>
          <w:szCs w:val="28"/>
        </w:rPr>
        <w:t xml:space="preserve"> And upsettingly, many laws that impede on a woman’s autonomy stem from religious reasoning; how the church and the misogyny that riddles it, keeps their views in a place of normativity and power</w:t>
      </w:r>
      <w:r w:rsidR="00E11F19">
        <w:rPr>
          <w:rStyle w:val="FootnoteReference"/>
          <w:rFonts w:ascii="Baskerville Old Face" w:hAnsi="Baskerville Old Face"/>
          <w:sz w:val="28"/>
          <w:szCs w:val="28"/>
        </w:rPr>
        <w:footnoteReference w:id="13"/>
      </w:r>
      <w:r w:rsidR="00E11F19">
        <w:rPr>
          <w:rFonts w:ascii="Baskerville Old Face" w:hAnsi="Baskerville Old Face"/>
          <w:sz w:val="28"/>
          <w:szCs w:val="28"/>
        </w:rPr>
        <w:t xml:space="preserve">. One example of </w:t>
      </w:r>
      <w:r w:rsidR="009E1CEC">
        <w:rPr>
          <w:rFonts w:ascii="Baskerville Old Face" w:hAnsi="Baskerville Old Face"/>
          <w:sz w:val="28"/>
          <w:szCs w:val="28"/>
        </w:rPr>
        <w:t xml:space="preserve">religion dictating law and thus the ideology of a society, is the papal bull of 1588 in which Pope </w:t>
      </w:r>
      <w:proofErr w:type="spellStart"/>
      <w:r w:rsidR="009E1CEC">
        <w:rPr>
          <w:rFonts w:ascii="Baskerville Old Face" w:hAnsi="Baskerville Old Face"/>
          <w:sz w:val="28"/>
          <w:szCs w:val="28"/>
        </w:rPr>
        <w:t>Sixtus</w:t>
      </w:r>
      <w:proofErr w:type="spellEnd"/>
      <w:r w:rsidR="009E1CEC">
        <w:rPr>
          <w:rFonts w:ascii="Baskerville Old Face" w:hAnsi="Baskerville Old Face"/>
          <w:sz w:val="28"/>
          <w:szCs w:val="28"/>
        </w:rPr>
        <w:t xml:space="preserve"> V formally declared, as spokesperson and representative of the Roman Catholic Church, the concept of </w:t>
      </w:r>
      <w:r w:rsidR="009E1CEC">
        <w:rPr>
          <w:rFonts w:ascii="Baskerville Old Face" w:hAnsi="Baskerville Old Face"/>
          <w:sz w:val="28"/>
          <w:szCs w:val="28"/>
        </w:rPr>
        <w:lastRenderedPageBreak/>
        <w:t>‘</w:t>
      </w:r>
      <w:proofErr w:type="spellStart"/>
      <w:r w:rsidR="009E1CEC">
        <w:rPr>
          <w:rFonts w:ascii="Baskerville Old Face" w:hAnsi="Baskerville Old Face"/>
          <w:sz w:val="28"/>
          <w:szCs w:val="28"/>
        </w:rPr>
        <w:t>Effraenatam</w:t>
      </w:r>
      <w:proofErr w:type="spellEnd"/>
      <w:r w:rsidR="009E1CEC">
        <w:rPr>
          <w:rFonts w:ascii="Baskerville Old Face" w:hAnsi="Baskerville Old Face"/>
          <w:sz w:val="28"/>
          <w:szCs w:val="28"/>
        </w:rPr>
        <w:t>’</w:t>
      </w:r>
      <w:r w:rsidR="009E1CEC">
        <w:rPr>
          <w:rStyle w:val="FootnoteReference"/>
          <w:rFonts w:ascii="Baskerville Old Face" w:hAnsi="Baskerville Old Face"/>
          <w:sz w:val="28"/>
          <w:szCs w:val="28"/>
        </w:rPr>
        <w:footnoteReference w:id="14"/>
      </w:r>
      <w:r w:rsidR="009E1CEC">
        <w:rPr>
          <w:rFonts w:ascii="Baskerville Old Face" w:hAnsi="Baskerville Old Face"/>
          <w:sz w:val="28"/>
          <w:szCs w:val="28"/>
        </w:rPr>
        <w:t>. The document is known for its strict forbiddance of abortion</w:t>
      </w:r>
      <w:r w:rsidR="000968CD">
        <w:rPr>
          <w:rFonts w:ascii="Baskerville Old Face" w:hAnsi="Baskerville Old Face"/>
          <w:sz w:val="28"/>
          <w:szCs w:val="28"/>
        </w:rPr>
        <w:t xml:space="preserve">. While later papacies went back and forth in their concept of </w:t>
      </w:r>
      <w:proofErr w:type="spellStart"/>
      <w:r w:rsidR="000968CD">
        <w:rPr>
          <w:rFonts w:ascii="Baskerville Old Face" w:hAnsi="Baskerville Old Face"/>
          <w:sz w:val="28"/>
          <w:szCs w:val="28"/>
        </w:rPr>
        <w:t>fetal</w:t>
      </w:r>
      <w:proofErr w:type="spellEnd"/>
      <w:r w:rsidR="000968CD">
        <w:rPr>
          <w:rFonts w:ascii="Baskerville Old Face" w:hAnsi="Baskerville Old Face"/>
          <w:sz w:val="28"/>
          <w:szCs w:val="28"/>
        </w:rPr>
        <w:t xml:space="preserve"> rights, punishment was guaranteed. In 1869, Pope Pius 1X disregarded the prior distinction between the animated and unanimated </w:t>
      </w:r>
      <w:proofErr w:type="spellStart"/>
      <w:r w:rsidR="000968CD">
        <w:rPr>
          <w:rFonts w:ascii="Baskerville Old Face" w:hAnsi="Baskerville Old Face"/>
          <w:sz w:val="28"/>
          <w:szCs w:val="28"/>
        </w:rPr>
        <w:t>fetus</w:t>
      </w:r>
      <w:proofErr w:type="spellEnd"/>
      <w:r w:rsidR="000968CD">
        <w:rPr>
          <w:rFonts w:ascii="Baskerville Old Face" w:hAnsi="Baskerville Old Face"/>
          <w:sz w:val="28"/>
          <w:szCs w:val="28"/>
        </w:rPr>
        <w:t xml:space="preserve"> and reiterated the severity of abortion, stressing excommunication, which aligns with the modern Catholic Church’s views. Though modern papacy cannot dictate law anymore, </w:t>
      </w:r>
      <w:proofErr w:type="gramStart"/>
      <w:r w:rsidR="000968CD">
        <w:rPr>
          <w:rFonts w:ascii="Baskerville Old Face" w:hAnsi="Baskerville Old Face"/>
          <w:sz w:val="28"/>
          <w:szCs w:val="28"/>
        </w:rPr>
        <w:t>it’s</w:t>
      </w:r>
      <w:proofErr w:type="gramEnd"/>
      <w:r w:rsidR="000968CD">
        <w:rPr>
          <w:rFonts w:ascii="Baskerville Old Face" w:hAnsi="Baskerville Old Face"/>
          <w:sz w:val="28"/>
          <w:szCs w:val="28"/>
        </w:rPr>
        <w:t xml:space="preserve"> important to recognise the religiousness of senators, prime ministers, presidents and other Western lawmakers and how it directly influences modern law. As with Genesis, we cannot discount that the teachings</w:t>
      </w:r>
      <w:r w:rsidR="00046864">
        <w:rPr>
          <w:rFonts w:ascii="Baskerville Old Face" w:hAnsi="Baskerville Old Face"/>
          <w:sz w:val="28"/>
          <w:szCs w:val="28"/>
        </w:rPr>
        <w:t xml:space="preserve"> </w:t>
      </w:r>
      <w:r w:rsidR="000968CD">
        <w:rPr>
          <w:rFonts w:ascii="Baskerville Old Face" w:hAnsi="Baskerville Old Face"/>
          <w:sz w:val="28"/>
          <w:szCs w:val="28"/>
        </w:rPr>
        <w:t xml:space="preserve">- or interpretations of </w:t>
      </w:r>
      <w:r w:rsidR="00046864">
        <w:rPr>
          <w:rFonts w:ascii="Baskerville Old Face" w:hAnsi="Baskerville Old Face"/>
          <w:sz w:val="28"/>
          <w:szCs w:val="28"/>
        </w:rPr>
        <w:t xml:space="preserve">– hold gravity to those in positions of power. </w:t>
      </w:r>
    </w:p>
    <w:p w14:paraId="56B2A5E0" w14:textId="7D1C111B" w:rsidR="00046864" w:rsidRDefault="00046864" w:rsidP="00935CB6">
      <w:pPr>
        <w:jc w:val="both"/>
        <w:rPr>
          <w:rFonts w:ascii="Baskerville Old Face" w:hAnsi="Baskerville Old Face"/>
          <w:sz w:val="28"/>
          <w:szCs w:val="28"/>
        </w:rPr>
      </w:pPr>
      <w:r>
        <w:rPr>
          <w:rFonts w:ascii="Baskerville Old Face" w:hAnsi="Baskerville Old Face"/>
          <w:sz w:val="28"/>
          <w:szCs w:val="28"/>
        </w:rPr>
        <w:t xml:space="preserve">Unpacking the meaning and subsequent effect of Genesis or the Church </w:t>
      </w:r>
      <w:proofErr w:type="gramStart"/>
      <w:r>
        <w:rPr>
          <w:rFonts w:ascii="Baskerville Old Face" w:hAnsi="Baskerville Old Face"/>
          <w:sz w:val="28"/>
          <w:szCs w:val="28"/>
        </w:rPr>
        <w:t>as a whole on</w:t>
      </w:r>
      <w:proofErr w:type="gramEnd"/>
      <w:r>
        <w:rPr>
          <w:rFonts w:ascii="Baskerville Old Face" w:hAnsi="Baskerville Old Face"/>
          <w:sz w:val="28"/>
          <w:szCs w:val="28"/>
        </w:rPr>
        <w:t xml:space="preserve"> Western society warrants years of study and reading, of which I cannot achieve in this single essay. </w:t>
      </w:r>
      <w:proofErr w:type="gramStart"/>
      <w:r>
        <w:rPr>
          <w:rFonts w:ascii="Baskerville Old Face" w:hAnsi="Baskerville Old Face"/>
          <w:sz w:val="28"/>
          <w:szCs w:val="28"/>
        </w:rPr>
        <w:t>However</w:t>
      </w:r>
      <w:proofErr w:type="gramEnd"/>
      <w:r>
        <w:rPr>
          <w:rFonts w:ascii="Baskerville Old Face" w:hAnsi="Baskerville Old Face"/>
          <w:sz w:val="28"/>
          <w:szCs w:val="28"/>
        </w:rPr>
        <w:t xml:space="preserve"> to summarise, I posit that while Genesis has greatly influenced the thought of infamous scholars and thereafter whole societies, it may be almost impossible to determine misogyny in an empirical and steadfast way. Individually, we all have different definitions and ideas of misogyny, with some even denying the concept let alone its effect and historic institutionalisation. Personally, I cannot attribute Genesis to misogyny, certainly not in its entirety. </w:t>
      </w:r>
      <w:r w:rsidR="0010785A">
        <w:rPr>
          <w:rFonts w:ascii="Baskerville Old Face" w:hAnsi="Baskerville Old Face"/>
          <w:sz w:val="28"/>
          <w:szCs w:val="28"/>
        </w:rPr>
        <w:t xml:space="preserve">Too many factors, such as time, society, location, generate a bias </w:t>
      </w:r>
      <w:proofErr w:type="gramStart"/>
      <w:r w:rsidR="0010785A">
        <w:rPr>
          <w:rFonts w:ascii="Baskerville Old Face" w:hAnsi="Baskerville Old Face"/>
          <w:sz w:val="28"/>
          <w:szCs w:val="28"/>
        </w:rPr>
        <w:t>that’s</w:t>
      </w:r>
      <w:proofErr w:type="gramEnd"/>
      <w:r w:rsidR="0010785A">
        <w:rPr>
          <w:rFonts w:ascii="Baskerville Old Face" w:hAnsi="Baskerville Old Face"/>
          <w:sz w:val="28"/>
          <w:szCs w:val="28"/>
        </w:rPr>
        <w:t xml:space="preserve"> as unique to one’s upbringing and nurture as a fingerprint is to biology. Misogynistic thought that most likely was not considered as such at the time of its writing may be present – but it can almost certainly be said that Genesis inspired a host of misogynistic ideals for societies to come. </w:t>
      </w:r>
      <w:proofErr w:type="gramStart"/>
      <w:r w:rsidR="0010785A">
        <w:rPr>
          <w:rFonts w:ascii="Baskerville Old Face" w:hAnsi="Baskerville Old Face"/>
          <w:sz w:val="28"/>
          <w:szCs w:val="28"/>
        </w:rPr>
        <w:t>I’m</w:t>
      </w:r>
      <w:proofErr w:type="gramEnd"/>
      <w:r w:rsidR="0010785A">
        <w:rPr>
          <w:rFonts w:ascii="Baskerville Old Face" w:hAnsi="Baskerville Old Face"/>
          <w:sz w:val="28"/>
          <w:szCs w:val="28"/>
        </w:rPr>
        <w:t xml:space="preserve"> of the opinion whatever depth Genesis may be studied in, with whatever surety of discovery, it will always have its contrast of equal worth. Misogyny is too fluid, and too </w:t>
      </w:r>
      <w:proofErr w:type="spellStart"/>
      <w:r w:rsidR="0010785A">
        <w:rPr>
          <w:rFonts w:ascii="Baskerville Old Face" w:hAnsi="Baskerville Old Face"/>
          <w:sz w:val="28"/>
          <w:szCs w:val="28"/>
        </w:rPr>
        <w:t>unsturdy</w:t>
      </w:r>
      <w:proofErr w:type="spellEnd"/>
      <w:r w:rsidR="0010785A">
        <w:rPr>
          <w:rFonts w:ascii="Baskerville Old Face" w:hAnsi="Baskerville Old Face"/>
          <w:sz w:val="28"/>
          <w:szCs w:val="28"/>
        </w:rPr>
        <w:t xml:space="preserve"> a concept, still, to be empirically applied to anything in my opinion; let alone a text as historically pivotal as the Bible.</w:t>
      </w:r>
    </w:p>
    <w:p w14:paraId="1E8A3CA5" w14:textId="77777777" w:rsidR="00291D45" w:rsidRDefault="00291D45" w:rsidP="00935CB6">
      <w:pPr>
        <w:jc w:val="both"/>
        <w:rPr>
          <w:rFonts w:ascii="Baskerville Old Face" w:hAnsi="Baskerville Old Face"/>
          <w:sz w:val="28"/>
          <w:szCs w:val="28"/>
        </w:rPr>
      </w:pPr>
    </w:p>
    <w:p w14:paraId="5716BD3C" w14:textId="77777777" w:rsidR="00291D45" w:rsidRDefault="00291D45" w:rsidP="00935CB6">
      <w:pPr>
        <w:jc w:val="both"/>
        <w:rPr>
          <w:rFonts w:ascii="Baskerville Old Face" w:hAnsi="Baskerville Old Face"/>
          <w:sz w:val="28"/>
          <w:szCs w:val="28"/>
        </w:rPr>
      </w:pPr>
    </w:p>
    <w:p w14:paraId="2A6144B4" w14:textId="38C94154" w:rsidR="002F32A5" w:rsidRDefault="007A528D" w:rsidP="0010785A">
      <w:pPr>
        <w:jc w:val="both"/>
        <w:rPr>
          <w:rFonts w:ascii="Baskerville Old Face" w:hAnsi="Baskerville Old Face"/>
          <w:sz w:val="28"/>
          <w:szCs w:val="28"/>
        </w:rPr>
      </w:pPr>
      <w:r>
        <w:rPr>
          <w:rFonts w:ascii="Baskerville Old Face" w:hAnsi="Baskerville Old Face"/>
          <w:sz w:val="28"/>
          <w:szCs w:val="28"/>
        </w:rPr>
        <w:t xml:space="preserve"> </w:t>
      </w:r>
    </w:p>
    <w:p w14:paraId="63B430D5" w14:textId="77777777" w:rsidR="0010785A" w:rsidRDefault="0010785A" w:rsidP="0010785A">
      <w:pPr>
        <w:jc w:val="both"/>
        <w:rPr>
          <w:rFonts w:ascii="Baskerville Old Face" w:hAnsi="Baskerville Old Face"/>
          <w:sz w:val="28"/>
          <w:szCs w:val="28"/>
        </w:rPr>
      </w:pPr>
    </w:p>
    <w:p w14:paraId="42C21183" w14:textId="77777777" w:rsidR="0010785A" w:rsidRDefault="0010785A" w:rsidP="0010785A">
      <w:pPr>
        <w:jc w:val="both"/>
        <w:rPr>
          <w:rFonts w:ascii="Baskerville Old Face" w:hAnsi="Baskerville Old Face"/>
          <w:sz w:val="28"/>
          <w:szCs w:val="28"/>
        </w:rPr>
      </w:pPr>
    </w:p>
    <w:p w14:paraId="2726E07F" w14:textId="77777777" w:rsidR="0010785A" w:rsidRDefault="0010785A" w:rsidP="0010785A">
      <w:pPr>
        <w:jc w:val="both"/>
        <w:rPr>
          <w:rFonts w:ascii="Baskerville Old Face" w:hAnsi="Baskerville Old Face"/>
          <w:sz w:val="28"/>
          <w:szCs w:val="28"/>
        </w:rPr>
      </w:pPr>
    </w:p>
    <w:p w14:paraId="422424B7" w14:textId="77777777" w:rsidR="0010785A" w:rsidRDefault="0010785A" w:rsidP="0010785A">
      <w:pPr>
        <w:jc w:val="both"/>
        <w:rPr>
          <w:rFonts w:ascii="Baskerville Old Face" w:hAnsi="Baskerville Old Face"/>
          <w:sz w:val="28"/>
          <w:szCs w:val="28"/>
        </w:rPr>
      </w:pPr>
    </w:p>
    <w:p w14:paraId="6E0CB6B2" w14:textId="77777777" w:rsidR="0010785A" w:rsidRPr="0010785A" w:rsidRDefault="0010785A" w:rsidP="0010785A">
      <w:pPr>
        <w:jc w:val="both"/>
        <w:rPr>
          <w:rFonts w:ascii="Baskerville Old Face" w:hAnsi="Baskerville Old Face"/>
          <w:sz w:val="28"/>
          <w:szCs w:val="28"/>
        </w:rPr>
      </w:pPr>
    </w:p>
    <w:p w14:paraId="2F0DC6AC" w14:textId="57FD2F73" w:rsidR="002F32A5" w:rsidRPr="00173243" w:rsidRDefault="00173243" w:rsidP="00C20DA5">
      <w:pPr>
        <w:jc w:val="center"/>
        <w:rPr>
          <w:rFonts w:ascii="Baskerville Old Face" w:hAnsi="Baskerville Old Face"/>
          <w:i/>
          <w:iCs/>
          <w:sz w:val="32"/>
          <w:szCs w:val="32"/>
          <w:u w:val="single"/>
        </w:rPr>
      </w:pPr>
      <w:r w:rsidRPr="00173243">
        <w:rPr>
          <w:rFonts w:ascii="Baskerville Old Face" w:hAnsi="Baskerville Old Face"/>
          <w:i/>
          <w:iCs/>
          <w:sz w:val="32"/>
          <w:szCs w:val="32"/>
          <w:u w:val="single"/>
        </w:rPr>
        <w:lastRenderedPageBreak/>
        <w:t>Bibliography</w:t>
      </w:r>
    </w:p>
    <w:p w14:paraId="0AD45858" w14:textId="0F4DEB7C" w:rsidR="002F32A5" w:rsidRPr="00173243" w:rsidRDefault="002F32A5" w:rsidP="00173243">
      <w:pPr>
        <w:rPr>
          <w:rFonts w:ascii="Baskerville Old Face" w:hAnsi="Baskerville Old Face"/>
          <w:sz w:val="24"/>
          <w:szCs w:val="24"/>
        </w:rPr>
      </w:pPr>
    </w:p>
    <w:p w14:paraId="3B4F9A69" w14:textId="2108778C" w:rsidR="002F32A5" w:rsidRDefault="00173243" w:rsidP="00173243">
      <w:pPr>
        <w:pStyle w:val="ListParagraph"/>
        <w:numPr>
          <w:ilvl w:val="0"/>
          <w:numId w:val="1"/>
        </w:numPr>
        <w:rPr>
          <w:rFonts w:ascii="Baskerville Old Face" w:hAnsi="Baskerville Old Face"/>
          <w:sz w:val="24"/>
          <w:szCs w:val="24"/>
        </w:rPr>
      </w:pPr>
      <w:r w:rsidRPr="00173243">
        <w:rPr>
          <w:rFonts w:ascii="Baskerville Old Face" w:hAnsi="Baskerville Old Face"/>
          <w:sz w:val="24"/>
          <w:szCs w:val="24"/>
        </w:rPr>
        <w:t xml:space="preserve">Milne, Pamela. </w:t>
      </w:r>
      <w:r w:rsidR="00362820">
        <w:rPr>
          <w:rStyle w:val="FootnoteReference"/>
          <w:rFonts w:ascii="Baskerville Old Face" w:hAnsi="Baskerville Old Face"/>
          <w:sz w:val="24"/>
          <w:szCs w:val="24"/>
        </w:rPr>
        <w:footnoteReference w:id="15"/>
      </w:r>
      <w:r w:rsidRPr="00173243">
        <w:rPr>
          <w:rFonts w:ascii="Baskerville Old Face" w:hAnsi="Baskerville Old Face"/>
          <w:sz w:val="24"/>
          <w:szCs w:val="24"/>
        </w:rPr>
        <w:t>1989. ‘GENESIS from EVE’S POINT of VIEW’, The Washington Post &lt;https://www.washingtonpost.com/archive/opinions/1989/03/26/genesis-from-eves-point-of-view/dc371184-1f4c-4142-ac2d-d5efee72a0da/&gt; [accessed 6 May 2023]</w:t>
      </w:r>
    </w:p>
    <w:p w14:paraId="25D3B70A" w14:textId="23D8715D" w:rsidR="00057A3C" w:rsidRDefault="00057A3C" w:rsidP="00173243">
      <w:pPr>
        <w:pStyle w:val="ListParagraph"/>
        <w:numPr>
          <w:ilvl w:val="0"/>
          <w:numId w:val="1"/>
        </w:numPr>
        <w:rPr>
          <w:rFonts w:ascii="Baskerville Old Face" w:hAnsi="Baskerville Old Face"/>
          <w:sz w:val="24"/>
          <w:szCs w:val="24"/>
        </w:rPr>
      </w:pPr>
      <w:r w:rsidRPr="00057A3C">
        <w:rPr>
          <w:rFonts w:ascii="Baskerville Old Face" w:hAnsi="Baskerville Old Face"/>
          <w:sz w:val="24"/>
          <w:szCs w:val="24"/>
        </w:rPr>
        <w:t xml:space="preserve">Bovey, </w:t>
      </w:r>
      <w:proofErr w:type="spellStart"/>
      <w:r w:rsidRPr="00057A3C">
        <w:rPr>
          <w:rFonts w:ascii="Baskerville Old Face" w:hAnsi="Baskerville Old Face"/>
          <w:sz w:val="24"/>
          <w:szCs w:val="24"/>
        </w:rPr>
        <w:t>Alixe</w:t>
      </w:r>
      <w:proofErr w:type="spellEnd"/>
      <w:r w:rsidRPr="00057A3C">
        <w:rPr>
          <w:rFonts w:ascii="Baskerville Old Face" w:hAnsi="Baskerville Old Face"/>
          <w:sz w:val="24"/>
          <w:szCs w:val="24"/>
        </w:rPr>
        <w:t xml:space="preserve">. 2015. ‘Women in Medieval Society’, The British Library </w:t>
      </w:r>
      <w:hyperlink r:id="rId8" w:history="1">
        <w:r w:rsidRPr="00262271">
          <w:rPr>
            <w:rStyle w:val="Hyperlink"/>
            <w:rFonts w:ascii="Baskerville Old Face" w:hAnsi="Baskerville Old Face"/>
            <w:sz w:val="24"/>
            <w:szCs w:val="24"/>
          </w:rPr>
          <w:t>https://www.bl.uk/the-middle-ages/articles/women-in-medieval-society</w:t>
        </w:r>
      </w:hyperlink>
    </w:p>
    <w:p w14:paraId="512623AE" w14:textId="20E04AEB" w:rsidR="00057A3C" w:rsidRDefault="00057A3C" w:rsidP="00173243">
      <w:pPr>
        <w:pStyle w:val="ListParagraph"/>
        <w:numPr>
          <w:ilvl w:val="0"/>
          <w:numId w:val="1"/>
        </w:numPr>
        <w:rPr>
          <w:rFonts w:ascii="Baskerville Old Face" w:hAnsi="Baskerville Old Face"/>
          <w:sz w:val="24"/>
          <w:szCs w:val="24"/>
        </w:rPr>
      </w:pPr>
      <w:r w:rsidRPr="00057A3C">
        <w:rPr>
          <w:rFonts w:ascii="Baskerville Old Face" w:hAnsi="Baskerville Old Face"/>
          <w:sz w:val="24"/>
          <w:szCs w:val="24"/>
        </w:rPr>
        <w:t>Paul, Apostle. 1973. Holy Bible: NIV: New International Version. (Durbanville: Christian Media Bibles), pp. 1 Timothy 2:11-13</w:t>
      </w:r>
    </w:p>
    <w:p w14:paraId="57A6ECEA" w14:textId="325F15DF" w:rsidR="00057A3C" w:rsidRDefault="004C056D" w:rsidP="00173243">
      <w:pPr>
        <w:pStyle w:val="ListParagraph"/>
        <w:numPr>
          <w:ilvl w:val="0"/>
          <w:numId w:val="1"/>
        </w:numPr>
        <w:rPr>
          <w:rFonts w:ascii="Baskerville Old Face" w:hAnsi="Baskerville Old Face"/>
          <w:sz w:val="24"/>
          <w:szCs w:val="24"/>
        </w:rPr>
      </w:pPr>
      <w:r w:rsidRPr="004C056D">
        <w:rPr>
          <w:rFonts w:ascii="Baskerville Old Face" w:hAnsi="Baskerville Old Face"/>
          <w:sz w:val="24"/>
          <w:szCs w:val="24"/>
        </w:rPr>
        <w:t>Dennis, Trevor. 2010. Sarah Laughed: Women’s Voices in the Old Testament (SPCK Publishing), pp. 18 Eve: A Woman Much Maligned</w:t>
      </w:r>
    </w:p>
    <w:p w14:paraId="213F88B4" w14:textId="7BE306EA" w:rsidR="00291D45" w:rsidRDefault="00291D45" w:rsidP="00173243">
      <w:pPr>
        <w:pStyle w:val="ListParagraph"/>
        <w:numPr>
          <w:ilvl w:val="0"/>
          <w:numId w:val="1"/>
        </w:numPr>
        <w:rPr>
          <w:rFonts w:ascii="Baskerville Old Face" w:hAnsi="Baskerville Old Face"/>
          <w:sz w:val="24"/>
          <w:szCs w:val="24"/>
        </w:rPr>
      </w:pPr>
      <w:r w:rsidRPr="00291D45">
        <w:rPr>
          <w:rFonts w:ascii="Baskerville Old Face" w:hAnsi="Baskerville Old Face"/>
          <w:sz w:val="24"/>
          <w:szCs w:val="24"/>
        </w:rPr>
        <w:t>Merriam Webster. 2018. ‘Definition of Misogyny’, Merriam-Webster.com &lt;https://www.merriam-webster.com/dictionary/misogyny&gt;</w:t>
      </w:r>
    </w:p>
    <w:p w14:paraId="04D6E0E9" w14:textId="7CC8DCD7" w:rsidR="0032712D" w:rsidRDefault="0032712D" w:rsidP="00173243">
      <w:pPr>
        <w:pStyle w:val="ListParagraph"/>
        <w:numPr>
          <w:ilvl w:val="0"/>
          <w:numId w:val="1"/>
        </w:numPr>
        <w:rPr>
          <w:rFonts w:ascii="Baskerville Old Face" w:hAnsi="Baskerville Old Face"/>
          <w:sz w:val="24"/>
          <w:szCs w:val="24"/>
        </w:rPr>
      </w:pPr>
      <w:r w:rsidRPr="0032712D">
        <w:rPr>
          <w:rFonts w:ascii="Baskerville Old Face" w:hAnsi="Baskerville Old Face"/>
          <w:sz w:val="24"/>
          <w:szCs w:val="24"/>
        </w:rPr>
        <w:t xml:space="preserve">Tertullian. [n.d.]. De </w:t>
      </w:r>
      <w:proofErr w:type="spellStart"/>
      <w:r w:rsidRPr="0032712D">
        <w:rPr>
          <w:rFonts w:ascii="Baskerville Old Face" w:hAnsi="Baskerville Old Face"/>
          <w:sz w:val="24"/>
          <w:szCs w:val="24"/>
        </w:rPr>
        <w:t>Cultu</w:t>
      </w:r>
      <w:proofErr w:type="spellEnd"/>
      <w:r w:rsidRPr="0032712D">
        <w:rPr>
          <w:rFonts w:ascii="Baskerville Old Face" w:hAnsi="Baskerville Old Face"/>
          <w:sz w:val="24"/>
          <w:szCs w:val="24"/>
        </w:rPr>
        <w:t xml:space="preserve"> </w:t>
      </w:r>
      <w:proofErr w:type="spellStart"/>
      <w:r w:rsidRPr="0032712D">
        <w:rPr>
          <w:rFonts w:ascii="Baskerville Old Face" w:hAnsi="Baskerville Old Face"/>
          <w:sz w:val="24"/>
          <w:szCs w:val="24"/>
        </w:rPr>
        <w:t>Feminarum</w:t>
      </w:r>
      <w:proofErr w:type="spellEnd"/>
    </w:p>
    <w:p w14:paraId="10DBF19D" w14:textId="783C534E" w:rsidR="00291D45" w:rsidRDefault="00291D45" w:rsidP="00173243">
      <w:pPr>
        <w:pStyle w:val="ListParagraph"/>
        <w:numPr>
          <w:ilvl w:val="0"/>
          <w:numId w:val="1"/>
        </w:numPr>
        <w:rPr>
          <w:rFonts w:ascii="Baskerville Old Face" w:hAnsi="Baskerville Old Face"/>
          <w:sz w:val="24"/>
          <w:szCs w:val="24"/>
        </w:rPr>
      </w:pPr>
      <w:r w:rsidRPr="00291D45">
        <w:rPr>
          <w:rFonts w:ascii="Baskerville Old Face" w:hAnsi="Baskerville Old Face"/>
          <w:sz w:val="24"/>
          <w:szCs w:val="24"/>
        </w:rPr>
        <w:t xml:space="preserve">  </w:t>
      </w:r>
      <w:proofErr w:type="spellStart"/>
      <w:r w:rsidRPr="00291D45">
        <w:rPr>
          <w:rFonts w:ascii="Baskerville Old Face" w:hAnsi="Baskerville Old Face"/>
          <w:sz w:val="24"/>
          <w:szCs w:val="24"/>
        </w:rPr>
        <w:t>Gonzáles</w:t>
      </w:r>
      <w:proofErr w:type="spellEnd"/>
      <w:r w:rsidRPr="00291D45">
        <w:rPr>
          <w:rFonts w:ascii="Baskerville Old Face" w:hAnsi="Baskerville Old Face"/>
          <w:sz w:val="24"/>
          <w:szCs w:val="24"/>
        </w:rPr>
        <w:t>, Justo L. (2010). "The Early Church to the Dawn of the Reformation". The Story of Christianity. Vol. 1. New York: HarperCollins Publishers. pp. 91–93</w:t>
      </w:r>
    </w:p>
    <w:p w14:paraId="22891EE5" w14:textId="47DF988A" w:rsidR="00E11F19" w:rsidRPr="00173243" w:rsidRDefault="00E11F19" w:rsidP="00173243">
      <w:pPr>
        <w:pStyle w:val="ListParagraph"/>
        <w:numPr>
          <w:ilvl w:val="0"/>
          <w:numId w:val="1"/>
        </w:numPr>
        <w:rPr>
          <w:rFonts w:ascii="Baskerville Old Face" w:hAnsi="Baskerville Old Face"/>
          <w:sz w:val="24"/>
          <w:szCs w:val="24"/>
        </w:rPr>
      </w:pPr>
      <w:proofErr w:type="spellStart"/>
      <w:r w:rsidRPr="00E11F19">
        <w:rPr>
          <w:rFonts w:ascii="Baskerville Old Face" w:hAnsi="Baskerville Old Face"/>
          <w:sz w:val="24"/>
          <w:szCs w:val="24"/>
        </w:rPr>
        <w:t>Brind’Amour</w:t>
      </w:r>
      <w:proofErr w:type="spellEnd"/>
      <w:r w:rsidRPr="00E11F19">
        <w:rPr>
          <w:rFonts w:ascii="Baskerville Old Face" w:hAnsi="Baskerville Old Face"/>
          <w:sz w:val="24"/>
          <w:szCs w:val="24"/>
        </w:rPr>
        <w:t>, Katherine. 2007. ‘“</w:t>
      </w:r>
      <w:proofErr w:type="spellStart"/>
      <w:r w:rsidRPr="00E11F19">
        <w:rPr>
          <w:rFonts w:ascii="Baskerville Old Face" w:hAnsi="Baskerville Old Face"/>
          <w:sz w:val="24"/>
          <w:szCs w:val="24"/>
        </w:rPr>
        <w:t>Effraenatam</w:t>
      </w:r>
      <w:proofErr w:type="spellEnd"/>
      <w:r w:rsidRPr="00E11F19">
        <w:rPr>
          <w:rFonts w:ascii="Baskerville Old Face" w:hAnsi="Baskerville Old Face"/>
          <w:sz w:val="24"/>
          <w:szCs w:val="24"/>
        </w:rPr>
        <w:t xml:space="preserve">” (1588), by Pope </w:t>
      </w:r>
      <w:proofErr w:type="spellStart"/>
      <w:r w:rsidRPr="00E11F19">
        <w:rPr>
          <w:rFonts w:ascii="Baskerville Old Face" w:hAnsi="Baskerville Old Face"/>
          <w:sz w:val="24"/>
          <w:szCs w:val="24"/>
        </w:rPr>
        <w:t>Sixtus</w:t>
      </w:r>
      <w:proofErr w:type="spellEnd"/>
      <w:r w:rsidRPr="00E11F19">
        <w:rPr>
          <w:rFonts w:ascii="Baskerville Old Face" w:hAnsi="Baskerville Old Face"/>
          <w:sz w:val="24"/>
          <w:szCs w:val="24"/>
        </w:rPr>
        <w:t xml:space="preserve"> v | the Embryo Project </w:t>
      </w:r>
      <w:proofErr w:type="spellStart"/>
      <w:r w:rsidRPr="00E11F19">
        <w:rPr>
          <w:rFonts w:ascii="Baskerville Old Face" w:hAnsi="Baskerville Old Face"/>
          <w:sz w:val="24"/>
          <w:szCs w:val="24"/>
        </w:rPr>
        <w:t>Encyclopedia</w:t>
      </w:r>
      <w:proofErr w:type="spellEnd"/>
      <w:r w:rsidRPr="00E11F19">
        <w:rPr>
          <w:rFonts w:ascii="Baskerville Old Face" w:hAnsi="Baskerville Old Face"/>
          <w:sz w:val="24"/>
          <w:szCs w:val="24"/>
        </w:rPr>
        <w:t>’, Embryo.asu.edu &lt;https://embryo.asu.edu/pages/effraenatam-1588-pope-sixtus-v&gt;</w:t>
      </w:r>
    </w:p>
    <w:p w14:paraId="6EE4A037" w14:textId="53E35DE2" w:rsidR="002F32A5" w:rsidRDefault="002F32A5" w:rsidP="00C20DA5">
      <w:pPr>
        <w:jc w:val="center"/>
        <w:rPr>
          <w:rFonts w:ascii="Baskerville Old Face" w:hAnsi="Baskerville Old Face"/>
          <w:sz w:val="32"/>
          <w:szCs w:val="32"/>
          <w:u w:val="single"/>
        </w:rPr>
      </w:pPr>
    </w:p>
    <w:p w14:paraId="54958356" w14:textId="06DC6B17" w:rsidR="002F32A5" w:rsidRDefault="002F32A5" w:rsidP="00C20DA5">
      <w:pPr>
        <w:jc w:val="center"/>
        <w:rPr>
          <w:rFonts w:ascii="Baskerville Old Face" w:hAnsi="Baskerville Old Face"/>
          <w:sz w:val="32"/>
          <w:szCs w:val="32"/>
          <w:u w:val="single"/>
        </w:rPr>
      </w:pPr>
    </w:p>
    <w:p w14:paraId="5104F399" w14:textId="46020ECC" w:rsidR="002F32A5" w:rsidRDefault="002F32A5" w:rsidP="00C20DA5">
      <w:pPr>
        <w:jc w:val="center"/>
        <w:rPr>
          <w:rFonts w:ascii="Baskerville Old Face" w:hAnsi="Baskerville Old Face"/>
          <w:sz w:val="32"/>
          <w:szCs w:val="32"/>
          <w:u w:val="single"/>
        </w:rPr>
      </w:pPr>
    </w:p>
    <w:p w14:paraId="57FE7642" w14:textId="580BAD1F" w:rsidR="002F32A5" w:rsidRDefault="002F32A5" w:rsidP="00C20DA5">
      <w:pPr>
        <w:jc w:val="center"/>
        <w:rPr>
          <w:rFonts w:ascii="Baskerville Old Face" w:hAnsi="Baskerville Old Face"/>
          <w:sz w:val="32"/>
          <w:szCs w:val="32"/>
          <w:u w:val="single"/>
        </w:rPr>
      </w:pPr>
    </w:p>
    <w:p w14:paraId="52FD74B9" w14:textId="6073BDB7" w:rsidR="002F32A5" w:rsidRDefault="002F32A5" w:rsidP="00C20DA5">
      <w:pPr>
        <w:jc w:val="center"/>
        <w:rPr>
          <w:rFonts w:ascii="Baskerville Old Face" w:hAnsi="Baskerville Old Face"/>
          <w:sz w:val="32"/>
          <w:szCs w:val="32"/>
          <w:u w:val="single"/>
        </w:rPr>
      </w:pPr>
    </w:p>
    <w:p w14:paraId="5341ED85" w14:textId="2341F191" w:rsidR="002F32A5" w:rsidRDefault="002F32A5" w:rsidP="00C20DA5">
      <w:pPr>
        <w:jc w:val="center"/>
        <w:rPr>
          <w:rFonts w:ascii="Baskerville Old Face" w:hAnsi="Baskerville Old Face"/>
          <w:sz w:val="32"/>
          <w:szCs w:val="32"/>
          <w:u w:val="single"/>
        </w:rPr>
      </w:pPr>
    </w:p>
    <w:p w14:paraId="33DD10E2" w14:textId="42DD7356" w:rsidR="002F32A5" w:rsidRDefault="002F32A5" w:rsidP="00C20DA5">
      <w:pPr>
        <w:jc w:val="center"/>
        <w:rPr>
          <w:rFonts w:ascii="Baskerville Old Face" w:hAnsi="Baskerville Old Face"/>
          <w:sz w:val="32"/>
          <w:szCs w:val="32"/>
          <w:u w:val="single"/>
        </w:rPr>
      </w:pPr>
    </w:p>
    <w:p w14:paraId="449E7DCA" w14:textId="0F4C762B" w:rsidR="002F32A5" w:rsidRDefault="002F32A5" w:rsidP="00C20DA5">
      <w:pPr>
        <w:jc w:val="center"/>
        <w:rPr>
          <w:rFonts w:ascii="Baskerville Old Face" w:hAnsi="Baskerville Old Face"/>
          <w:sz w:val="32"/>
          <w:szCs w:val="32"/>
          <w:u w:val="single"/>
        </w:rPr>
      </w:pPr>
    </w:p>
    <w:p w14:paraId="562D1E08" w14:textId="1BE5FDEA" w:rsidR="002A4FD7" w:rsidRDefault="002A4FD7" w:rsidP="00C20DA5">
      <w:pPr>
        <w:jc w:val="center"/>
        <w:rPr>
          <w:rFonts w:ascii="Baskerville Old Face" w:hAnsi="Baskerville Old Face"/>
          <w:sz w:val="32"/>
          <w:szCs w:val="32"/>
        </w:rPr>
      </w:pPr>
    </w:p>
    <w:p w14:paraId="614AA7CA" w14:textId="77777777" w:rsidR="002A4FD7" w:rsidRPr="00A02144" w:rsidRDefault="002A4FD7" w:rsidP="00C20DA5">
      <w:pPr>
        <w:jc w:val="center"/>
        <w:rPr>
          <w:rFonts w:ascii="Baskerville Old Face" w:hAnsi="Baskerville Old Face"/>
          <w:sz w:val="32"/>
          <w:szCs w:val="32"/>
        </w:rPr>
      </w:pPr>
    </w:p>
    <w:p w14:paraId="395828EE" w14:textId="77777777" w:rsidR="002F32A5" w:rsidRDefault="002F32A5" w:rsidP="00C20DA5">
      <w:pPr>
        <w:jc w:val="center"/>
        <w:rPr>
          <w:rFonts w:ascii="Baskerville Old Face" w:hAnsi="Baskerville Old Face"/>
          <w:sz w:val="32"/>
          <w:szCs w:val="32"/>
          <w:u w:val="single"/>
        </w:rPr>
      </w:pPr>
    </w:p>
    <w:p w14:paraId="453BEBD9" w14:textId="77777777" w:rsidR="002F32A5" w:rsidRPr="00C20DA5" w:rsidRDefault="002F32A5" w:rsidP="00C20DA5">
      <w:pPr>
        <w:jc w:val="center"/>
        <w:rPr>
          <w:rFonts w:ascii="Baskerville Old Face" w:hAnsi="Baskerville Old Face"/>
          <w:sz w:val="32"/>
          <w:szCs w:val="32"/>
          <w:u w:val="single"/>
        </w:rPr>
      </w:pPr>
    </w:p>
    <w:sectPr w:rsidR="002F32A5" w:rsidRPr="00C20D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F54D6" w14:textId="77777777" w:rsidR="009C1272" w:rsidRDefault="009C1272" w:rsidP="00672641">
      <w:pPr>
        <w:spacing w:after="0" w:line="240" w:lineRule="auto"/>
      </w:pPr>
      <w:r>
        <w:separator/>
      </w:r>
    </w:p>
  </w:endnote>
  <w:endnote w:type="continuationSeparator" w:id="0">
    <w:p w14:paraId="10A59194" w14:textId="77777777" w:rsidR="009C1272" w:rsidRDefault="009C1272" w:rsidP="00672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askerville Old Face">
    <w:altName w:val="Cambria"/>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677989" w14:textId="77777777" w:rsidR="009C1272" w:rsidRDefault="009C1272" w:rsidP="00672641">
      <w:pPr>
        <w:spacing w:after="0" w:line="240" w:lineRule="auto"/>
      </w:pPr>
      <w:r>
        <w:separator/>
      </w:r>
    </w:p>
  </w:footnote>
  <w:footnote w:type="continuationSeparator" w:id="0">
    <w:p w14:paraId="6DB06B2B" w14:textId="77777777" w:rsidR="009C1272" w:rsidRDefault="009C1272" w:rsidP="00672641">
      <w:pPr>
        <w:spacing w:after="0" w:line="240" w:lineRule="auto"/>
      </w:pPr>
      <w:r>
        <w:continuationSeparator/>
      </w:r>
    </w:p>
  </w:footnote>
  <w:footnote w:id="1">
    <w:p w14:paraId="6C9BF8BC" w14:textId="5A68A3F6" w:rsidR="00974B5D" w:rsidRPr="00173243" w:rsidRDefault="00974B5D">
      <w:pPr>
        <w:pStyle w:val="FootnoteText"/>
        <w:rPr>
          <w:rFonts w:ascii="Baskerville Old Face" w:hAnsi="Baskerville Old Face"/>
        </w:rPr>
      </w:pPr>
      <w:r w:rsidRPr="00173243">
        <w:rPr>
          <w:rStyle w:val="FootnoteReference"/>
          <w:rFonts w:ascii="Baskerville Old Face" w:hAnsi="Baskerville Old Face"/>
        </w:rPr>
        <w:footnoteRef/>
      </w:r>
      <w:r w:rsidRPr="00173243">
        <w:rPr>
          <w:rFonts w:ascii="Baskerville Old Face" w:hAnsi="Baskerville Old Face"/>
        </w:rPr>
        <w:t xml:space="preserve"> </w:t>
      </w:r>
      <w:r w:rsidR="00173243" w:rsidRPr="00173243">
        <w:rPr>
          <w:rFonts w:ascii="Baskerville Old Face" w:hAnsi="Baskerville Old Face"/>
        </w:rPr>
        <w:t xml:space="preserve">Milne, Pamela. 1989. ‘GENESIS from EVE’S POINT of VIEW’, The Washington </w:t>
      </w:r>
      <w:proofErr w:type="gramStart"/>
      <w:r w:rsidR="00173243" w:rsidRPr="00173243">
        <w:rPr>
          <w:rFonts w:ascii="Baskerville Old Face" w:hAnsi="Baskerville Old Face"/>
        </w:rPr>
        <w:t>Post  [</w:t>
      </w:r>
      <w:proofErr w:type="gramEnd"/>
      <w:r w:rsidR="00173243" w:rsidRPr="00173243">
        <w:rPr>
          <w:rFonts w:ascii="Baskerville Old Face" w:hAnsi="Baskerville Old Face"/>
        </w:rPr>
        <w:t>accessed 6 May 2023]</w:t>
      </w:r>
    </w:p>
  </w:footnote>
  <w:footnote w:id="2">
    <w:p w14:paraId="71DE3042" w14:textId="63176643" w:rsidR="00057A3C" w:rsidRPr="00057A3C" w:rsidRDefault="00057A3C">
      <w:pPr>
        <w:pStyle w:val="FootnoteText"/>
        <w:rPr>
          <w:rFonts w:ascii="Baskerville Old Face" w:hAnsi="Baskerville Old Face"/>
        </w:rPr>
      </w:pPr>
      <w:r w:rsidRPr="00057A3C">
        <w:rPr>
          <w:rStyle w:val="FootnoteReference"/>
          <w:rFonts w:ascii="Baskerville Old Face" w:hAnsi="Baskerville Old Face"/>
        </w:rPr>
        <w:footnoteRef/>
      </w:r>
      <w:r w:rsidRPr="00057A3C">
        <w:rPr>
          <w:rFonts w:ascii="Baskerville Old Face" w:hAnsi="Baskerville Old Face"/>
        </w:rPr>
        <w:t xml:space="preserve"> Bovey, </w:t>
      </w:r>
      <w:proofErr w:type="spellStart"/>
      <w:r w:rsidRPr="00057A3C">
        <w:rPr>
          <w:rFonts w:ascii="Baskerville Old Face" w:hAnsi="Baskerville Old Face"/>
        </w:rPr>
        <w:t>Alixe</w:t>
      </w:r>
      <w:proofErr w:type="spellEnd"/>
      <w:r w:rsidRPr="00057A3C">
        <w:rPr>
          <w:rFonts w:ascii="Baskerville Old Face" w:hAnsi="Baskerville Old Face"/>
        </w:rPr>
        <w:t xml:space="preserve">. 2015. ‘Women in Medieval Society’, The British Library </w:t>
      </w:r>
    </w:p>
  </w:footnote>
  <w:footnote w:id="3">
    <w:p w14:paraId="4D720E9F" w14:textId="661952A8" w:rsidR="00057A3C" w:rsidRPr="00057A3C" w:rsidRDefault="00057A3C">
      <w:pPr>
        <w:pStyle w:val="FootnoteText"/>
        <w:rPr>
          <w:rFonts w:ascii="Baskerville Old Face" w:hAnsi="Baskerville Old Face"/>
        </w:rPr>
      </w:pPr>
      <w:r w:rsidRPr="00057A3C">
        <w:rPr>
          <w:rStyle w:val="FootnoteReference"/>
          <w:rFonts w:ascii="Baskerville Old Face" w:hAnsi="Baskerville Old Face"/>
        </w:rPr>
        <w:footnoteRef/>
      </w:r>
      <w:r w:rsidRPr="00057A3C">
        <w:rPr>
          <w:rFonts w:ascii="Baskerville Old Face" w:hAnsi="Baskerville Old Face"/>
        </w:rPr>
        <w:t xml:space="preserve"> Paul, Apostle. 1973. Holy Bible: NIV: New International Version. (Durbanville: Christian Media Bibles), pp. 1 Timothy 2:11-13</w:t>
      </w:r>
    </w:p>
  </w:footnote>
  <w:footnote w:id="4">
    <w:p w14:paraId="0843181C" w14:textId="409DDB3F" w:rsidR="007B018A" w:rsidRPr="00362820" w:rsidRDefault="007B018A">
      <w:pPr>
        <w:pStyle w:val="FootnoteText"/>
        <w:rPr>
          <w:rFonts w:ascii="Baskerville Old Face" w:hAnsi="Baskerville Old Face"/>
        </w:rPr>
      </w:pPr>
      <w:r w:rsidRPr="00362820">
        <w:rPr>
          <w:rStyle w:val="FootnoteReference"/>
          <w:rFonts w:ascii="Baskerville Old Face" w:hAnsi="Baskerville Old Face"/>
        </w:rPr>
        <w:footnoteRef/>
      </w:r>
      <w:r w:rsidRPr="00362820">
        <w:rPr>
          <w:rFonts w:ascii="Baskerville Old Face" w:hAnsi="Baskerville Old Face"/>
        </w:rPr>
        <w:t xml:space="preserve"> </w:t>
      </w:r>
      <w:r w:rsidR="00362820" w:rsidRPr="00362820">
        <w:rPr>
          <w:rFonts w:ascii="Baskerville Old Face" w:hAnsi="Baskerville Old Face"/>
        </w:rPr>
        <w:t>Genesis 1:1-2 ‘</w:t>
      </w:r>
      <w:r w:rsidRPr="00362820">
        <w:rPr>
          <w:rFonts w:ascii="Baskerville Old Face" w:hAnsi="Baskerville Old Face"/>
        </w:rPr>
        <w:t>In the beginning, God created the heavens and the earth’.</w:t>
      </w:r>
      <w:r w:rsidR="00362820">
        <w:rPr>
          <w:rFonts w:ascii="Baskerville Old Face" w:hAnsi="Baskerville Old Face"/>
        </w:rPr>
        <w:t xml:space="preserve"> ESV Bible.</w:t>
      </w:r>
    </w:p>
  </w:footnote>
  <w:footnote w:id="5">
    <w:p w14:paraId="080FE183" w14:textId="154DA3C5" w:rsidR="00362820" w:rsidRPr="00362820" w:rsidRDefault="00362820">
      <w:pPr>
        <w:pStyle w:val="FootnoteText"/>
        <w:rPr>
          <w:rFonts w:ascii="Baskerville Old Face" w:hAnsi="Baskerville Old Face"/>
        </w:rPr>
      </w:pPr>
      <w:r w:rsidRPr="00362820">
        <w:rPr>
          <w:rStyle w:val="FootnoteReference"/>
          <w:rFonts w:ascii="Baskerville Old Face" w:hAnsi="Baskerville Old Face"/>
        </w:rPr>
        <w:footnoteRef/>
      </w:r>
      <w:r w:rsidRPr="00362820">
        <w:rPr>
          <w:rFonts w:ascii="Baskerville Old Face" w:hAnsi="Baskerville Old Face"/>
        </w:rPr>
        <w:t xml:space="preserve"> Genesis 1:26 ESV Bible</w:t>
      </w:r>
    </w:p>
  </w:footnote>
  <w:footnote w:id="6">
    <w:p w14:paraId="0517F741" w14:textId="259442D4" w:rsidR="00794E3D" w:rsidRDefault="00794E3D">
      <w:pPr>
        <w:pStyle w:val="FootnoteText"/>
      </w:pPr>
      <w:r>
        <w:rPr>
          <w:rStyle w:val="FootnoteReference"/>
        </w:rPr>
        <w:footnoteRef/>
      </w:r>
      <w:r>
        <w:t xml:space="preserve"> </w:t>
      </w:r>
      <w:r w:rsidR="004C056D" w:rsidRPr="004C056D">
        <w:rPr>
          <w:rFonts w:ascii="Baskerville Old Face" w:hAnsi="Baskerville Old Face"/>
        </w:rPr>
        <w:t>The woman said to the snake, ‘We may eat of the fruit of the trees of the garden, but as for the fruit of the tree in the middle of the garden, God said “You shall not eat any of it, nor shall you touch it, or you will die”’.</w:t>
      </w:r>
    </w:p>
  </w:footnote>
  <w:footnote w:id="7">
    <w:p w14:paraId="6690FDE7" w14:textId="791D4A90" w:rsidR="001B4F88" w:rsidRDefault="001B4F88">
      <w:pPr>
        <w:pStyle w:val="FootnoteText"/>
      </w:pPr>
      <w:r>
        <w:rPr>
          <w:rStyle w:val="FootnoteReference"/>
        </w:rPr>
        <w:footnoteRef/>
      </w:r>
      <w:r>
        <w:t xml:space="preserve"> </w:t>
      </w:r>
      <w:r w:rsidRPr="001B4F88">
        <w:rPr>
          <w:rFonts w:ascii="Baskerville Old Face" w:hAnsi="Baskerville Old Face"/>
        </w:rPr>
        <w:t>The Holy Bible NIV Exodus 25:12</w:t>
      </w:r>
    </w:p>
  </w:footnote>
  <w:footnote w:id="8">
    <w:p w14:paraId="31DD4B2E" w14:textId="18C01670" w:rsidR="001B4F88" w:rsidRDefault="001B4F88">
      <w:pPr>
        <w:pStyle w:val="FootnoteText"/>
      </w:pPr>
      <w:r>
        <w:rPr>
          <w:rStyle w:val="FootnoteReference"/>
        </w:rPr>
        <w:footnoteRef/>
      </w:r>
      <w:r>
        <w:t xml:space="preserve"> </w:t>
      </w:r>
      <w:r w:rsidR="00E744CF" w:rsidRPr="00E744CF">
        <w:rPr>
          <w:rFonts w:ascii="Baskerville Old Face" w:hAnsi="Baskerville Old Face"/>
        </w:rPr>
        <w:t>‘There were entrances to the side rooms in the open area…’</w:t>
      </w:r>
    </w:p>
  </w:footnote>
  <w:footnote w:id="9">
    <w:p w14:paraId="2D181925" w14:textId="261C32A8" w:rsidR="00E744CF" w:rsidRPr="00E744CF" w:rsidRDefault="00E744CF">
      <w:pPr>
        <w:pStyle w:val="FootnoteText"/>
        <w:rPr>
          <w:rFonts w:ascii="Baskerville Old Face" w:hAnsi="Baskerville Old Face"/>
        </w:rPr>
      </w:pPr>
      <w:r w:rsidRPr="00E744CF">
        <w:rPr>
          <w:rStyle w:val="FootnoteReference"/>
          <w:rFonts w:ascii="Baskerville Old Face" w:hAnsi="Baskerville Old Face"/>
        </w:rPr>
        <w:footnoteRef/>
      </w:r>
      <w:r w:rsidRPr="00E744CF">
        <w:rPr>
          <w:rFonts w:ascii="Baskerville Old Face" w:hAnsi="Baskerville Old Face"/>
        </w:rPr>
        <w:t xml:space="preserve"> ‘</w:t>
      </w:r>
      <w:proofErr w:type="gramStart"/>
      <w:r w:rsidRPr="00E744CF">
        <w:rPr>
          <w:rFonts w:ascii="Baskerville Old Face" w:hAnsi="Baskerville Old Face"/>
        </w:rPr>
        <w:t>So</w:t>
      </w:r>
      <w:proofErr w:type="gramEnd"/>
      <w:r w:rsidRPr="00E744CF">
        <w:rPr>
          <w:rFonts w:ascii="Baskerville Old Face" w:hAnsi="Baskerville Old Face"/>
        </w:rPr>
        <w:t xml:space="preserve"> David and his men continued along the road while Shimei was going along the hillside opposite him’. ‘Sela’ is used here in the context of a hill’s slope.</w:t>
      </w:r>
    </w:p>
  </w:footnote>
  <w:footnote w:id="10">
    <w:p w14:paraId="7DFED9BF" w14:textId="7E965986" w:rsidR="001146FE" w:rsidRPr="0032712D" w:rsidRDefault="001146FE">
      <w:pPr>
        <w:pStyle w:val="FootnoteText"/>
        <w:rPr>
          <w:rFonts w:ascii="Baskerville Old Face" w:hAnsi="Baskerville Old Face"/>
        </w:rPr>
      </w:pPr>
      <w:r w:rsidRPr="0032712D">
        <w:rPr>
          <w:rStyle w:val="FootnoteReference"/>
          <w:rFonts w:ascii="Baskerville Old Face" w:hAnsi="Baskerville Old Face"/>
        </w:rPr>
        <w:footnoteRef/>
      </w:r>
      <w:r w:rsidRPr="0032712D">
        <w:rPr>
          <w:rFonts w:ascii="Baskerville Old Face" w:hAnsi="Baskerville Old Face"/>
        </w:rPr>
        <w:t xml:space="preserve"> </w:t>
      </w:r>
      <w:r w:rsidR="0032712D" w:rsidRPr="0032712D">
        <w:rPr>
          <w:rFonts w:ascii="Baskerville Old Face" w:hAnsi="Baskerville Old Face"/>
        </w:rPr>
        <w:t xml:space="preserve">Tertullian. [n.d.]. De </w:t>
      </w:r>
      <w:proofErr w:type="spellStart"/>
      <w:r w:rsidR="0032712D" w:rsidRPr="0032712D">
        <w:rPr>
          <w:rFonts w:ascii="Baskerville Old Face" w:hAnsi="Baskerville Old Face"/>
        </w:rPr>
        <w:t>Cultu</w:t>
      </w:r>
      <w:proofErr w:type="spellEnd"/>
      <w:r w:rsidR="0032712D" w:rsidRPr="0032712D">
        <w:rPr>
          <w:rFonts w:ascii="Baskerville Old Face" w:hAnsi="Baskerville Old Face"/>
        </w:rPr>
        <w:t xml:space="preserve"> </w:t>
      </w:r>
      <w:proofErr w:type="spellStart"/>
      <w:r w:rsidR="0032712D" w:rsidRPr="0032712D">
        <w:rPr>
          <w:rFonts w:ascii="Baskerville Old Face" w:hAnsi="Baskerville Old Face"/>
        </w:rPr>
        <w:t>Feminarum</w:t>
      </w:r>
      <w:proofErr w:type="spellEnd"/>
    </w:p>
  </w:footnote>
  <w:footnote w:id="11">
    <w:p w14:paraId="26DB98F2" w14:textId="7ACD77AD" w:rsidR="00935CB6" w:rsidRPr="00935CB6" w:rsidRDefault="00935CB6">
      <w:pPr>
        <w:pStyle w:val="FootnoteText"/>
        <w:rPr>
          <w:rFonts w:ascii="Baskerville Old Face" w:hAnsi="Baskerville Old Face"/>
        </w:rPr>
      </w:pPr>
      <w:r w:rsidRPr="00935CB6">
        <w:rPr>
          <w:rStyle w:val="FootnoteReference"/>
          <w:rFonts w:ascii="Baskerville Old Face" w:hAnsi="Baskerville Old Face"/>
        </w:rPr>
        <w:footnoteRef/>
      </w:r>
      <w:r w:rsidRPr="00935CB6">
        <w:rPr>
          <w:rFonts w:ascii="Baskerville Old Face" w:hAnsi="Baskerville Old Face"/>
        </w:rPr>
        <w:t xml:space="preserve"> </w:t>
      </w:r>
      <w:proofErr w:type="spellStart"/>
      <w:r w:rsidRPr="00935CB6">
        <w:rPr>
          <w:rFonts w:ascii="Baskerville Old Face" w:hAnsi="Baskerville Old Face"/>
        </w:rPr>
        <w:t>Gonzáles</w:t>
      </w:r>
      <w:proofErr w:type="spellEnd"/>
      <w:r w:rsidRPr="00935CB6">
        <w:rPr>
          <w:rFonts w:ascii="Baskerville Old Face" w:hAnsi="Baskerville Old Face"/>
        </w:rPr>
        <w:t>, Justo L. (2010). "The Early Church to the Dawn of the Reformation". The Story of Christianity. Vol. 1. New York: HarperCollins Publishers. pp. 91–93</w:t>
      </w:r>
    </w:p>
  </w:footnote>
  <w:footnote w:id="12">
    <w:p w14:paraId="3E69E357" w14:textId="2A79AE66" w:rsidR="00291D45" w:rsidRPr="00291D45" w:rsidRDefault="00291D45">
      <w:pPr>
        <w:pStyle w:val="FootnoteText"/>
        <w:rPr>
          <w:rFonts w:ascii="Baskerville Old Face" w:hAnsi="Baskerville Old Face"/>
        </w:rPr>
      </w:pPr>
      <w:r w:rsidRPr="00291D45">
        <w:rPr>
          <w:rStyle w:val="FootnoteReference"/>
          <w:rFonts w:ascii="Baskerville Old Face" w:hAnsi="Baskerville Old Face"/>
        </w:rPr>
        <w:footnoteRef/>
      </w:r>
      <w:r w:rsidRPr="00291D45">
        <w:rPr>
          <w:rFonts w:ascii="Baskerville Old Face" w:hAnsi="Baskerville Old Face"/>
        </w:rPr>
        <w:t xml:space="preserve"> </w:t>
      </w:r>
      <w:r w:rsidRPr="00291D45">
        <w:rPr>
          <w:rFonts w:ascii="Baskerville Old Face" w:hAnsi="Baskerville Old Face"/>
        </w:rPr>
        <w:t xml:space="preserve">Merriam Webster. 2018. ‘Definition of Misogyny’, Merriam-Webster.com </w:t>
      </w:r>
    </w:p>
  </w:footnote>
  <w:footnote w:id="13">
    <w:p w14:paraId="1B2569FD" w14:textId="14A21201" w:rsidR="00E11F19" w:rsidRPr="00E11F19" w:rsidRDefault="00E11F19">
      <w:pPr>
        <w:pStyle w:val="FootnoteText"/>
        <w:rPr>
          <w:rFonts w:ascii="Baskerville Old Face" w:hAnsi="Baskerville Old Face"/>
        </w:rPr>
      </w:pPr>
      <w:r w:rsidRPr="00E11F19">
        <w:rPr>
          <w:rStyle w:val="FootnoteReference"/>
          <w:rFonts w:ascii="Baskerville Old Face" w:hAnsi="Baskerville Old Face"/>
        </w:rPr>
        <w:footnoteRef/>
      </w:r>
      <w:r w:rsidRPr="00E11F19">
        <w:rPr>
          <w:rFonts w:ascii="Baskerville Old Face" w:hAnsi="Baskerville Old Face"/>
        </w:rPr>
        <w:t xml:space="preserve"> </w:t>
      </w:r>
      <w:proofErr w:type="spellStart"/>
      <w:r w:rsidRPr="00E11F19">
        <w:rPr>
          <w:rFonts w:ascii="Baskerville Old Face" w:hAnsi="Baskerville Old Face"/>
        </w:rPr>
        <w:t>Brind’Amour</w:t>
      </w:r>
      <w:proofErr w:type="spellEnd"/>
      <w:r w:rsidRPr="00E11F19">
        <w:rPr>
          <w:rFonts w:ascii="Baskerville Old Face" w:hAnsi="Baskerville Old Face"/>
        </w:rPr>
        <w:t>, Katherine. 2007. ‘“</w:t>
      </w:r>
      <w:proofErr w:type="spellStart"/>
      <w:r w:rsidRPr="00E11F19">
        <w:rPr>
          <w:rFonts w:ascii="Baskerville Old Face" w:hAnsi="Baskerville Old Face"/>
        </w:rPr>
        <w:t>Effraenatam</w:t>
      </w:r>
      <w:proofErr w:type="spellEnd"/>
      <w:r w:rsidRPr="00E11F19">
        <w:rPr>
          <w:rFonts w:ascii="Baskerville Old Face" w:hAnsi="Baskerville Old Face"/>
        </w:rPr>
        <w:t xml:space="preserve">” (1588), by Pope </w:t>
      </w:r>
      <w:proofErr w:type="spellStart"/>
      <w:r w:rsidRPr="00E11F19">
        <w:rPr>
          <w:rFonts w:ascii="Baskerville Old Face" w:hAnsi="Baskerville Old Face"/>
        </w:rPr>
        <w:t>Sixtus</w:t>
      </w:r>
      <w:proofErr w:type="spellEnd"/>
      <w:r w:rsidRPr="00E11F19">
        <w:rPr>
          <w:rFonts w:ascii="Baskerville Old Face" w:hAnsi="Baskerville Old Face"/>
        </w:rPr>
        <w:t xml:space="preserve"> v | the Embryo Project </w:t>
      </w:r>
      <w:proofErr w:type="spellStart"/>
      <w:r w:rsidRPr="00E11F19">
        <w:rPr>
          <w:rFonts w:ascii="Baskerville Old Face" w:hAnsi="Baskerville Old Face"/>
        </w:rPr>
        <w:t>Encyclopedia</w:t>
      </w:r>
      <w:proofErr w:type="spellEnd"/>
      <w:r w:rsidRPr="00E11F19">
        <w:rPr>
          <w:rFonts w:ascii="Baskerville Old Face" w:hAnsi="Baskerville Old Face"/>
        </w:rPr>
        <w:t xml:space="preserve">’, Embryo.asu.edu </w:t>
      </w:r>
    </w:p>
  </w:footnote>
  <w:footnote w:id="14">
    <w:p w14:paraId="4F6877F9" w14:textId="20FB87C0" w:rsidR="009E1CEC" w:rsidRPr="009E1CEC" w:rsidRDefault="009E1CEC">
      <w:pPr>
        <w:pStyle w:val="FootnoteText"/>
        <w:rPr>
          <w:rFonts w:ascii="Baskerville Old Face" w:hAnsi="Baskerville Old Face"/>
        </w:rPr>
      </w:pPr>
      <w:r w:rsidRPr="009E1CEC">
        <w:rPr>
          <w:rStyle w:val="FootnoteReference"/>
          <w:rFonts w:ascii="Baskerville Old Face" w:hAnsi="Baskerville Old Face"/>
        </w:rPr>
        <w:footnoteRef/>
      </w:r>
      <w:r w:rsidRPr="009E1CEC">
        <w:rPr>
          <w:rFonts w:ascii="Baskerville Old Face" w:hAnsi="Baskerville Old Face"/>
        </w:rPr>
        <w:t xml:space="preserve"> Latin for ‘without restraint</w:t>
      </w:r>
      <w:proofErr w:type="gramStart"/>
      <w:r w:rsidRPr="009E1CEC">
        <w:rPr>
          <w:rFonts w:ascii="Baskerville Old Face" w:hAnsi="Baskerville Old Face"/>
        </w:rPr>
        <w:t>’.</w:t>
      </w:r>
      <w:proofErr w:type="gramEnd"/>
    </w:p>
  </w:footnote>
  <w:footnote w:id="15">
    <w:p w14:paraId="5CDEFEC3" w14:textId="6935047D" w:rsidR="00362820" w:rsidRDefault="00362820">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D4164"/>
    <w:multiLevelType w:val="hybridMultilevel"/>
    <w:tmpl w:val="C2D04510"/>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7251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DA5"/>
    <w:rsid w:val="00046864"/>
    <w:rsid w:val="00057A3C"/>
    <w:rsid w:val="00094165"/>
    <w:rsid w:val="000968CD"/>
    <w:rsid w:val="0010785A"/>
    <w:rsid w:val="001146FE"/>
    <w:rsid w:val="00166DA5"/>
    <w:rsid w:val="00173243"/>
    <w:rsid w:val="001A32FA"/>
    <w:rsid w:val="001B4F88"/>
    <w:rsid w:val="002161F6"/>
    <w:rsid w:val="002631A2"/>
    <w:rsid w:val="00271C21"/>
    <w:rsid w:val="0029084A"/>
    <w:rsid w:val="00291D45"/>
    <w:rsid w:val="002A4FD7"/>
    <w:rsid w:val="002B587A"/>
    <w:rsid w:val="002D0DB8"/>
    <w:rsid w:val="002D332A"/>
    <w:rsid w:val="002F32A5"/>
    <w:rsid w:val="0032712D"/>
    <w:rsid w:val="00362820"/>
    <w:rsid w:val="0036625E"/>
    <w:rsid w:val="003B5F97"/>
    <w:rsid w:val="004A42C5"/>
    <w:rsid w:val="004B2160"/>
    <w:rsid w:val="004C056D"/>
    <w:rsid w:val="00503B49"/>
    <w:rsid w:val="005F3C0D"/>
    <w:rsid w:val="006012CB"/>
    <w:rsid w:val="00606610"/>
    <w:rsid w:val="00610CCA"/>
    <w:rsid w:val="006343C8"/>
    <w:rsid w:val="00672641"/>
    <w:rsid w:val="006A6024"/>
    <w:rsid w:val="00755182"/>
    <w:rsid w:val="00760EE7"/>
    <w:rsid w:val="00770862"/>
    <w:rsid w:val="00794E3D"/>
    <w:rsid w:val="007A528D"/>
    <w:rsid w:val="007B018A"/>
    <w:rsid w:val="007B6828"/>
    <w:rsid w:val="007E7804"/>
    <w:rsid w:val="008633DA"/>
    <w:rsid w:val="008E2CC5"/>
    <w:rsid w:val="00916364"/>
    <w:rsid w:val="00935CB6"/>
    <w:rsid w:val="00955B0A"/>
    <w:rsid w:val="00974B5D"/>
    <w:rsid w:val="00996F48"/>
    <w:rsid w:val="009A7B11"/>
    <w:rsid w:val="009C1272"/>
    <w:rsid w:val="009E1CEC"/>
    <w:rsid w:val="00A02144"/>
    <w:rsid w:val="00A444E0"/>
    <w:rsid w:val="00AB6835"/>
    <w:rsid w:val="00B00127"/>
    <w:rsid w:val="00BE1684"/>
    <w:rsid w:val="00BE67E5"/>
    <w:rsid w:val="00C20DA5"/>
    <w:rsid w:val="00C475E4"/>
    <w:rsid w:val="00D204EE"/>
    <w:rsid w:val="00D42572"/>
    <w:rsid w:val="00D4723F"/>
    <w:rsid w:val="00D6532A"/>
    <w:rsid w:val="00D9114F"/>
    <w:rsid w:val="00DF55DB"/>
    <w:rsid w:val="00E11F19"/>
    <w:rsid w:val="00E43AD3"/>
    <w:rsid w:val="00E744CF"/>
    <w:rsid w:val="00E91FDE"/>
    <w:rsid w:val="00F02A4B"/>
    <w:rsid w:val="00F138E9"/>
    <w:rsid w:val="00FE395D"/>
    <w:rsid w:val="00FF6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BC402"/>
  <w15:chartTrackingRefBased/>
  <w15:docId w15:val="{0A9145F4-8806-4F1F-8F47-3D7D26831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32A5"/>
    <w:rPr>
      <w:color w:val="0563C1" w:themeColor="hyperlink"/>
      <w:u w:val="single"/>
    </w:rPr>
  </w:style>
  <w:style w:type="character" w:styleId="UnresolvedMention">
    <w:name w:val="Unresolved Mention"/>
    <w:basedOn w:val="DefaultParagraphFont"/>
    <w:uiPriority w:val="99"/>
    <w:semiHidden/>
    <w:unhideWhenUsed/>
    <w:rsid w:val="002F32A5"/>
    <w:rPr>
      <w:color w:val="605E5C"/>
      <w:shd w:val="clear" w:color="auto" w:fill="E1DFDD"/>
    </w:rPr>
  </w:style>
  <w:style w:type="paragraph" w:styleId="FootnoteText">
    <w:name w:val="footnote text"/>
    <w:basedOn w:val="Normal"/>
    <w:link w:val="FootnoteTextChar"/>
    <w:uiPriority w:val="99"/>
    <w:semiHidden/>
    <w:unhideWhenUsed/>
    <w:rsid w:val="006726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72641"/>
    <w:rPr>
      <w:sz w:val="20"/>
      <w:szCs w:val="20"/>
    </w:rPr>
  </w:style>
  <w:style w:type="character" w:styleId="FootnoteReference">
    <w:name w:val="footnote reference"/>
    <w:basedOn w:val="DefaultParagraphFont"/>
    <w:uiPriority w:val="99"/>
    <w:semiHidden/>
    <w:unhideWhenUsed/>
    <w:rsid w:val="00672641"/>
    <w:rPr>
      <w:vertAlign w:val="superscript"/>
    </w:rPr>
  </w:style>
  <w:style w:type="character" w:styleId="FollowedHyperlink">
    <w:name w:val="FollowedHyperlink"/>
    <w:basedOn w:val="DefaultParagraphFont"/>
    <w:uiPriority w:val="99"/>
    <w:semiHidden/>
    <w:unhideWhenUsed/>
    <w:rsid w:val="00D9114F"/>
    <w:rPr>
      <w:color w:val="954F72" w:themeColor="followedHyperlink"/>
      <w:u w:val="single"/>
    </w:rPr>
  </w:style>
  <w:style w:type="paragraph" w:styleId="ListParagraph">
    <w:name w:val="List Paragraph"/>
    <w:basedOn w:val="Normal"/>
    <w:uiPriority w:val="34"/>
    <w:qFormat/>
    <w:rsid w:val="001732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uk/the-middle-ages/articles/women-in-medieval-societ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705CE-257C-4294-8AF5-10BA45D58F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20045</TotalTime>
  <Pages>7</Pages>
  <Words>2545</Words>
  <Characters>14513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frankie quieros</dc:creator>
  <cp:keywords/>
  <dc:description/>
  <cp:lastModifiedBy>frankie quieros</cp:lastModifiedBy>
  <cp:revision>24</cp:revision>
  <dcterms:created xsi:type="dcterms:W3CDTF">2023-04-26T15:36:00Z</dcterms:created>
  <dcterms:modified xsi:type="dcterms:W3CDTF">2023-05-10T13:45:00Z</dcterms:modified>
</cp:coreProperties>
</file>