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F5020" w14:textId="11A9B191" w:rsidR="00930D61" w:rsidRPr="00CE5A50" w:rsidRDefault="00CE5A50">
      <w:pPr>
        <w:pStyle w:val="Heading1"/>
        <w:rPr>
          <w:sz w:val="44"/>
          <w:szCs w:val="44"/>
        </w:rPr>
      </w:pPr>
      <w:r>
        <w:t xml:space="preserve">                                        </w:t>
      </w:r>
      <w:r w:rsidR="001A77F7" w:rsidRPr="00CE5A50">
        <w:rPr>
          <w:sz w:val="44"/>
          <w:szCs w:val="44"/>
        </w:rPr>
        <w:t>Jaguar Land Rover vs Nissan UK</w:t>
      </w:r>
    </w:p>
    <w:p w14:paraId="2921CAD2" w14:textId="17E80782" w:rsidR="00930D61" w:rsidRDefault="00930D61"/>
    <w:p w14:paraId="0BF31E4E" w14:textId="77777777" w:rsidR="00681736" w:rsidRDefault="00681736"/>
    <w:p w14:paraId="5175113C" w14:textId="77777777" w:rsidR="00681736" w:rsidRDefault="00681736"/>
    <w:p w14:paraId="61D91076" w14:textId="77777777" w:rsidR="00681736" w:rsidRDefault="00681736"/>
    <w:p w14:paraId="051C81DB" w14:textId="6E669A9F" w:rsidR="00681736" w:rsidRDefault="0033228F">
      <w:r>
        <w:t xml:space="preserve">Module code: </w:t>
      </w:r>
      <w:r w:rsidR="00AE1FD1">
        <w:t>L</w:t>
      </w:r>
      <w:r w:rsidR="00A40C5C">
        <w:t>CBB4016</w:t>
      </w:r>
    </w:p>
    <w:p w14:paraId="3F962F66" w14:textId="23709891" w:rsidR="00A40C5C" w:rsidRDefault="00A40C5C">
      <w:r>
        <w:t>Name: E</w:t>
      </w:r>
      <w:r w:rsidR="000733E9">
        <w:t xml:space="preserve">lvis </w:t>
      </w:r>
      <w:proofErr w:type="spellStart"/>
      <w:r w:rsidR="000733E9">
        <w:t>Fanel</w:t>
      </w:r>
      <w:proofErr w:type="spellEnd"/>
      <w:r w:rsidR="000733E9">
        <w:t xml:space="preserve"> Margelu </w:t>
      </w:r>
    </w:p>
    <w:p w14:paraId="6E657964" w14:textId="05ACC741" w:rsidR="000733E9" w:rsidRDefault="000733E9">
      <w:r>
        <w:t xml:space="preserve">Date </w:t>
      </w:r>
      <w:r w:rsidR="00EA4255">
        <w:t>20-12-2025</w:t>
      </w:r>
    </w:p>
    <w:p w14:paraId="0AA03D2F" w14:textId="77777777" w:rsidR="00681736" w:rsidRDefault="00681736"/>
    <w:p w14:paraId="0A79F9F2" w14:textId="77777777" w:rsidR="00681736" w:rsidRDefault="00681736"/>
    <w:p w14:paraId="4EE101B9" w14:textId="77777777" w:rsidR="00681736" w:rsidRDefault="00681736"/>
    <w:p w14:paraId="4AAB8688" w14:textId="77777777" w:rsidR="00681736" w:rsidRDefault="00681736"/>
    <w:p w14:paraId="20207799" w14:textId="77777777" w:rsidR="00681736" w:rsidRDefault="00681736"/>
    <w:p w14:paraId="3D0528B0" w14:textId="77777777" w:rsidR="00681736" w:rsidRDefault="00681736"/>
    <w:p w14:paraId="5A8BBFEE" w14:textId="77777777" w:rsidR="00681736" w:rsidRDefault="00681736"/>
    <w:p w14:paraId="74C9FE1B" w14:textId="77777777" w:rsidR="00681736" w:rsidRDefault="00681736"/>
    <w:p w14:paraId="4C8F9590" w14:textId="77777777" w:rsidR="00681736" w:rsidRDefault="00681736"/>
    <w:p w14:paraId="5A3E4D01" w14:textId="77777777" w:rsidR="00681736" w:rsidRDefault="00681736"/>
    <w:p w14:paraId="2BF55605" w14:textId="77777777" w:rsidR="00681736" w:rsidRDefault="00681736"/>
    <w:p w14:paraId="3CC974CE" w14:textId="77777777" w:rsidR="00681736" w:rsidRDefault="00681736"/>
    <w:p w14:paraId="78A16516" w14:textId="77777777" w:rsidR="00681736" w:rsidRDefault="00681736"/>
    <w:p w14:paraId="118EDB93" w14:textId="77777777" w:rsidR="00681736" w:rsidRDefault="00681736"/>
    <w:p w14:paraId="4404B120" w14:textId="77777777" w:rsidR="00681736" w:rsidRDefault="00681736"/>
    <w:p w14:paraId="7DC8E0BC" w14:textId="77777777" w:rsidR="00681736" w:rsidRDefault="00681736"/>
    <w:p w14:paraId="432E3033" w14:textId="77777777" w:rsidR="00681736" w:rsidRDefault="00681736"/>
    <w:p w14:paraId="23760F06" w14:textId="77777777" w:rsidR="00681736" w:rsidRDefault="00681736"/>
    <w:p w14:paraId="440AD524" w14:textId="77777777" w:rsidR="00681736" w:rsidRDefault="00681736"/>
    <w:p w14:paraId="106EA30C" w14:textId="77777777" w:rsidR="00930D61" w:rsidRPr="00194C30" w:rsidRDefault="001A77F7">
      <w:pPr>
        <w:pStyle w:val="Heading2"/>
        <w:rPr>
          <w:sz w:val="40"/>
          <w:szCs w:val="40"/>
        </w:rPr>
      </w:pPr>
      <w:r w:rsidRPr="00194C30">
        <w:rPr>
          <w:sz w:val="40"/>
          <w:szCs w:val="40"/>
        </w:rPr>
        <w:t>Table of Contents</w:t>
      </w:r>
    </w:p>
    <w:p w14:paraId="7E64B96B" w14:textId="77777777" w:rsidR="00681736" w:rsidRPr="00681736" w:rsidRDefault="00681736" w:rsidP="00681736"/>
    <w:p w14:paraId="7F71C525" w14:textId="77777777" w:rsidR="00930D61" w:rsidRPr="00194C30" w:rsidRDefault="001A77F7">
      <w:pPr>
        <w:rPr>
          <w:b/>
          <w:bCs/>
          <w:sz w:val="28"/>
          <w:szCs w:val="28"/>
        </w:rPr>
      </w:pPr>
      <w:r w:rsidRPr="00194C30">
        <w:rPr>
          <w:b/>
          <w:bCs/>
          <w:sz w:val="28"/>
          <w:szCs w:val="28"/>
        </w:rPr>
        <w:t>1. Introduction</w:t>
      </w:r>
    </w:p>
    <w:p w14:paraId="4AA508B6" w14:textId="77777777" w:rsidR="00930D61" w:rsidRPr="00194C30" w:rsidRDefault="001A77F7">
      <w:pPr>
        <w:rPr>
          <w:b/>
          <w:bCs/>
          <w:sz w:val="28"/>
          <w:szCs w:val="28"/>
        </w:rPr>
      </w:pPr>
      <w:r w:rsidRPr="00194C30">
        <w:rPr>
          <w:b/>
          <w:bCs/>
          <w:sz w:val="28"/>
          <w:szCs w:val="28"/>
        </w:rPr>
        <w:t>2. Company Background</w:t>
      </w:r>
    </w:p>
    <w:p w14:paraId="384C1A17" w14:textId="77777777" w:rsidR="00930D61" w:rsidRPr="00194C30" w:rsidRDefault="001A77F7">
      <w:pPr>
        <w:rPr>
          <w:b/>
          <w:bCs/>
          <w:sz w:val="28"/>
          <w:szCs w:val="28"/>
        </w:rPr>
      </w:pPr>
      <w:r w:rsidRPr="00194C30">
        <w:rPr>
          <w:b/>
          <w:bCs/>
          <w:sz w:val="28"/>
          <w:szCs w:val="28"/>
        </w:rPr>
        <w:t xml:space="preserve">   2.1 Jaguar Land Rover</w:t>
      </w:r>
    </w:p>
    <w:p w14:paraId="5A91B461" w14:textId="77777777" w:rsidR="00930D61" w:rsidRPr="00194C30" w:rsidRDefault="001A77F7">
      <w:pPr>
        <w:rPr>
          <w:b/>
          <w:bCs/>
          <w:sz w:val="28"/>
          <w:szCs w:val="28"/>
        </w:rPr>
      </w:pPr>
      <w:r w:rsidRPr="00194C30">
        <w:rPr>
          <w:b/>
          <w:bCs/>
          <w:sz w:val="28"/>
          <w:szCs w:val="28"/>
        </w:rPr>
        <w:t xml:space="preserve">   2.2 Nissan UK</w:t>
      </w:r>
    </w:p>
    <w:p w14:paraId="22C1C6C8" w14:textId="77777777" w:rsidR="00930D61" w:rsidRPr="00194C30" w:rsidRDefault="001A77F7">
      <w:pPr>
        <w:rPr>
          <w:b/>
          <w:bCs/>
          <w:sz w:val="28"/>
          <w:szCs w:val="28"/>
        </w:rPr>
      </w:pPr>
      <w:r w:rsidRPr="00194C30">
        <w:rPr>
          <w:b/>
          <w:bCs/>
          <w:sz w:val="28"/>
          <w:szCs w:val="28"/>
        </w:rPr>
        <w:t>3. Industry Context in 2024–2025</w:t>
      </w:r>
    </w:p>
    <w:p w14:paraId="7EF39C74" w14:textId="77777777" w:rsidR="00930D61" w:rsidRPr="00194C30" w:rsidRDefault="001A77F7">
      <w:pPr>
        <w:rPr>
          <w:b/>
          <w:bCs/>
          <w:sz w:val="28"/>
          <w:szCs w:val="28"/>
        </w:rPr>
      </w:pPr>
      <w:r w:rsidRPr="00194C30">
        <w:rPr>
          <w:b/>
          <w:bCs/>
          <w:sz w:val="28"/>
          <w:szCs w:val="28"/>
        </w:rPr>
        <w:t xml:space="preserve">   3.1 UK Economic Factors</w:t>
      </w:r>
    </w:p>
    <w:p w14:paraId="62C5F803" w14:textId="77777777" w:rsidR="00930D61" w:rsidRPr="00194C30" w:rsidRDefault="001A77F7">
      <w:pPr>
        <w:rPr>
          <w:b/>
          <w:bCs/>
          <w:sz w:val="28"/>
          <w:szCs w:val="28"/>
        </w:rPr>
      </w:pPr>
      <w:r w:rsidRPr="00194C30">
        <w:rPr>
          <w:b/>
          <w:bCs/>
          <w:sz w:val="28"/>
          <w:szCs w:val="28"/>
        </w:rPr>
        <w:t xml:space="preserve">   3.2 Political and Regulatory Impact</w:t>
      </w:r>
    </w:p>
    <w:p w14:paraId="5FC87E41" w14:textId="77777777" w:rsidR="00930D61" w:rsidRPr="00194C30" w:rsidRDefault="001A77F7">
      <w:pPr>
        <w:rPr>
          <w:b/>
          <w:bCs/>
          <w:sz w:val="28"/>
          <w:szCs w:val="28"/>
        </w:rPr>
      </w:pPr>
      <w:r w:rsidRPr="00194C30">
        <w:rPr>
          <w:b/>
          <w:bCs/>
          <w:sz w:val="28"/>
          <w:szCs w:val="28"/>
        </w:rPr>
        <w:t>4. Porter’s Five Forces</w:t>
      </w:r>
    </w:p>
    <w:p w14:paraId="29A0646C" w14:textId="77777777" w:rsidR="00930D61" w:rsidRPr="00194C30" w:rsidRDefault="001A77F7">
      <w:pPr>
        <w:rPr>
          <w:b/>
          <w:bCs/>
          <w:sz w:val="28"/>
          <w:szCs w:val="28"/>
        </w:rPr>
      </w:pPr>
      <w:r w:rsidRPr="00194C30">
        <w:rPr>
          <w:b/>
          <w:bCs/>
          <w:sz w:val="28"/>
          <w:szCs w:val="28"/>
        </w:rPr>
        <w:t xml:space="preserve">   4.1 Jaguar Land Rover</w:t>
      </w:r>
    </w:p>
    <w:p w14:paraId="093950CA" w14:textId="77777777" w:rsidR="00930D61" w:rsidRPr="00194C30" w:rsidRDefault="001A77F7">
      <w:pPr>
        <w:rPr>
          <w:b/>
          <w:bCs/>
          <w:sz w:val="28"/>
          <w:szCs w:val="28"/>
        </w:rPr>
      </w:pPr>
      <w:r w:rsidRPr="00194C30">
        <w:rPr>
          <w:b/>
          <w:bCs/>
          <w:sz w:val="28"/>
          <w:szCs w:val="28"/>
        </w:rPr>
        <w:t xml:space="preserve">   4.2 Nissan UK</w:t>
      </w:r>
    </w:p>
    <w:p w14:paraId="76DD08C8" w14:textId="77777777" w:rsidR="00930D61" w:rsidRPr="00194C30" w:rsidRDefault="001A77F7">
      <w:pPr>
        <w:rPr>
          <w:b/>
          <w:bCs/>
          <w:sz w:val="28"/>
          <w:szCs w:val="28"/>
        </w:rPr>
      </w:pPr>
      <w:r w:rsidRPr="00194C30">
        <w:rPr>
          <w:b/>
          <w:bCs/>
          <w:sz w:val="28"/>
          <w:szCs w:val="28"/>
        </w:rPr>
        <w:t>5. Stakeholder Analysis</w:t>
      </w:r>
    </w:p>
    <w:p w14:paraId="18A6D1BA" w14:textId="77777777" w:rsidR="00930D61" w:rsidRPr="00194C30" w:rsidRDefault="001A77F7">
      <w:pPr>
        <w:rPr>
          <w:b/>
          <w:bCs/>
          <w:sz w:val="28"/>
          <w:szCs w:val="28"/>
        </w:rPr>
      </w:pPr>
      <w:r w:rsidRPr="00194C30">
        <w:rPr>
          <w:b/>
          <w:bCs/>
          <w:sz w:val="28"/>
          <w:szCs w:val="28"/>
        </w:rPr>
        <w:t xml:space="preserve">   5.1 Key Stakeholders</w:t>
      </w:r>
    </w:p>
    <w:p w14:paraId="52C883CB" w14:textId="77777777" w:rsidR="00930D61" w:rsidRPr="00194C30" w:rsidRDefault="001A77F7">
      <w:pPr>
        <w:rPr>
          <w:b/>
          <w:bCs/>
          <w:sz w:val="28"/>
          <w:szCs w:val="28"/>
        </w:rPr>
      </w:pPr>
      <w:r w:rsidRPr="00194C30">
        <w:rPr>
          <w:b/>
          <w:bCs/>
          <w:sz w:val="28"/>
          <w:szCs w:val="28"/>
        </w:rPr>
        <w:t xml:space="preserve">   5.2 Power–Interest Matrix</w:t>
      </w:r>
    </w:p>
    <w:p w14:paraId="7174D790" w14:textId="77777777" w:rsidR="00930D61" w:rsidRPr="00194C30" w:rsidRDefault="001A77F7">
      <w:pPr>
        <w:rPr>
          <w:b/>
          <w:bCs/>
          <w:sz w:val="28"/>
          <w:szCs w:val="28"/>
        </w:rPr>
      </w:pPr>
      <w:r w:rsidRPr="00194C30">
        <w:rPr>
          <w:b/>
          <w:bCs/>
          <w:sz w:val="28"/>
          <w:szCs w:val="28"/>
        </w:rPr>
        <w:t>6. Strategic Comparison</w:t>
      </w:r>
    </w:p>
    <w:p w14:paraId="2A7EA0D5" w14:textId="77777777" w:rsidR="00930D61" w:rsidRPr="00194C30" w:rsidRDefault="001A77F7">
      <w:pPr>
        <w:rPr>
          <w:b/>
          <w:bCs/>
          <w:sz w:val="28"/>
          <w:szCs w:val="28"/>
        </w:rPr>
      </w:pPr>
      <w:r w:rsidRPr="00194C30">
        <w:rPr>
          <w:b/>
          <w:bCs/>
          <w:sz w:val="28"/>
          <w:szCs w:val="28"/>
        </w:rPr>
        <w:t>7. Conclusion</w:t>
      </w:r>
    </w:p>
    <w:p w14:paraId="56ECC60C" w14:textId="77777777" w:rsidR="00930D61" w:rsidRPr="00194C30" w:rsidRDefault="001A77F7">
      <w:pPr>
        <w:rPr>
          <w:b/>
          <w:bCs/>
          <w:sz w:val="28"/>
          <w:szCs w:val="28"/>
        </w:rPr>
      </w:pPr>
      <w:r w:rsidRPr="00194C30">
        <w:rPr>
          <w:b/>
          <w:bCs/>
          <w:sz w:val="28"/>
          <w:szCs w:val="28"/>
        </w:rPr>
        <w:t>8. Harvard Reference List</w:t>
      </w:r>
    </w:p>
    <w:p w14:paraId="656ACB53" w14:textId="0E59598D" w:rsidR="00930D61" w:rsidRPr="00194C30" w:rsidRDefault="00930D61">
      <w:pPr>
        <w:rPr>
          <w:b/>
          <w:bCs/>
          <w:sz w:val="28"/>
          <w:szCs w:val="28"/>
        </w:rPr>
      </w:pPr>
    </w:p>
    <w:p w14:paraId="1C0ADD9E" w14:textId="77777777" w:rsidR="007F08CD" w:rsidRPr="00194C30" w:rsidRDefault="007F08CD">
      <w:pPr>
        <w:rPr>
          <w:b/>
          <w:bCs/>
          <w:sz w:val="28"/>
          <w:szCs w:val="28"/>
        </w:rPr>
      </w:pPr>
    </w:p>
    <w:p w14:paraId="4D63A4DF" w14:textId="77777777" w:rsidR="007F08CD" w:rsidRPr="00194C30" w:rsidRDefault="007F08CD">
      <w:pPr>
        <w:rPr>
          <w:b/>
          <w:bCs/>
          <w:sz w:val="28"/>
          <w:szCs w:val="28"/>
        </w:rPr>
      </w:pPr>
    </w:p>
    <w:p w14:paraId="6D313AEE" w14:textId="41793A6F" w:rsidR="008114E9" w:rsidRPr="008114E9" w:rsidRDefault="008114E9" w:rsidP="001A77F7">
      <w:pPr>
        <w:spacing w:before="100" w:beforeAutospacing="1" w:after="100" w:afterAutospacing="1" w:line="240" w:lineRule="auto"/>
        <w:rPr>
          <w:rFonts w:ascii="Times New Roman" w:hAnsi="Times New Roman" w:cs="Times New Roman"/>
          <w:sz w:val="24"/>
          <w:szCs w:val="24"/>
          <w:lang w:val="en-RO" w:eastAsia="en-GB"/>
        </w:rPr>
      </w:pPr>
    </w:p>
    <w:p w14:paraId="14AEA1EB" w14:textId="77777777" w:rsidR="008114E9" w:rsidRPr="008114E9" w:rsidRDefault="008114E9" w:rsidP="008114E9">
      <w:pPr>
        <w:spacing w:before="100" w:beforeAutospacing="1" w:after="100" w:afterAutospacing="1" w:line="240" w:lineRule="auto"/>
        <w:outlineLvl w:val="1"/>
        <w:rPr>
          <w:rFonts w:ascii="Times New Roman" w:hAnsi="Times New Roman" w:cs="Times New Roman"/>
          <w:b/>
          <w:bCs/>
          <w:sz w:val="36"/>
          <w:szCs w:val="36"/>
          <w:lang w:val="en-RO" w:eastAsia="en-GB"/>
        </w:rPr>
      </w:pPr>
      <w:r w:rsidRPr="008114E9">
        <w:rPr>
          <w:rFonts w:ascii="Times New Roman" w:eastAsia="Times New Roman" w:hAnsi="Times New Roman" w:cs="Times New Roman"/>
          <w:b/>
          <w:bCs/>
          <w:sz w:val="36"/>
          <w:szCs w:val="36"/>
          <w:lang w:val="en-RO" w:eastAsia="en-GB"/>
        </w:rPr>
        <w:t>1. Introduction</w:t>
      </w:r>
    </w:p>
    <w:p w14:paraId="0A86659A"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60F48562"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The automotive industry represents one of the most important pillars of the United Kingdom economy. It plays a critical role in employment, exports, innovation, and regional development. In the period between 2024 and 2025, the sector is experiencing significant transformation driven by economic pressure, political decisions, and rapid technological change. Rising inflation, tighter environmental regulation, and the transition toward electric vehicles are reshaping how automotive organisations operate and compete (SMMT, 2024).</w:t>
      </w:r>
    </w:p>
    <w:p w14:paraId="1FADE289"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6CD864C1"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Jaguar and Nissan UK provide an effective comparison because they operate within the same national industry while following very different strategic models. Jaguar competes in the premium and luxury vehicle segment, focusing on design, brand value, and electrification. Nissan UK focuses on mass-market production, operational efficiency, and leadership in affordable electric vehicles. Analysing these two organisations highlights how different strategic approaches respond to the same external environment.</w:t>
      </w:r>
    </w:p>
    <w:p w14:paraId="449E28CA"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028F9DC9"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This assignment evaluates Jaguar and Nissan UK within the UK automotive industry context. It analyses economic and political impact, applies Porter’s Five Forces to assess industry competitiveness, and examines stakeholder power and interest. The objective is to demonstrate a structured academic analysis aligned with university assessment criteria.</w:t>
      </w:r>
    </w:p>
    <w:p w14:paraId="5AA4D7AC" w14:textId="77777777" w:rsidR="008114E9" w:rsidRPr="008114E9" w:rsidRDefault="008114E9" w:rsidP="008114E9">
      <w:pPr>
        <w:spacing w:after="0" w:line="240" w:lineRule="auto"/>
        <w:rPr>
          <w:rFonts w:ascii="Times New Roman" w:eastAsia="Times New Roman" w:hAnsi="Times New Roman" w:cs="Times New Roman"/>
          <w:sz w:val="24"/>
          <w:szCs w:val="24"/>
          <w:lang w:val="en-RO" w:eastAsia="en-GB"/>
        </w:rPr>
      </w:pPr>
      <w:r w:rsidRPr="008114E9">
        <w:rPr>
          <w:rFonts w:ascii="Times New Roman" w:eastAsia="Times New Roman" w:hAnsi="Times New Roman" w:cs="Times New Roman"/>
          <w:noProof/>
          <w:sz w:val="24"/>
          <w:szCs w:val="24"/>
          <w:lang w:val="en-RO" w:eastAsia="en-GB"/>
        </w:rPr>
        <mc:AlternateContent>
          <mc:Choice Requires="wps">
            <w:drawing>
              <wp:inline distT="0" distB="0" distL="0" distR="0" wp14:anchorId="4F58B255" wp14:editId="18BE4D15">
                <wp:extent cx="5486400" cy="1270"/>
                <wp:effectExtent l="0" t="31750" r="0" b="36830"/>
                <wp:docPr id="1697984815"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86404E7" id="Rectangle 7"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00F2CF69" w14:textId="77777777" w:rsidR="008114E9" w:rsidRPr="008114E9" w:rsidRDefault="008114E9" w:rsidP="008114E9">
      <w:pPr>
        <w:spacing w:before="100" w:beforeAutospacing="1" w:after="100" w:afterAutospacing="1" w:line="240" w:lineRule="auto"/>
        <w:outlineLvl w:val="1"/>
        <w:rPr>
          <w:rFonts w:ascii="Times New Roman" w:hAnsi="Times New Roman" w:cs="Times New Roman"/>
          <w:b/>
          <w:bCs/>
          <w:sz w:val="36"/>
          <w:szCs w:val="36"/>
          <w:lang w:val="en-RO" w:eastAsia="en-GB"/>
        </w:rPr>
      </w:pPr>
      <w:r w:rsidRPr="008114E9">
        <w:rPr>
          <w:rFonts w:ascii="Times New Roman" w:eastAsia="Times New Roman" w:hAnsi="Times New Roman" w:cs="Times New Roman"/>
          <w:b/>
          <w:bCs/>
          <w:sz w:val="36"/>
          <w:szCs w:val="36"/>
          <w:lang w:val="en-RO" w:eastAsia="en-GB"/>
        </w:rPr>
        <w:t>2. Company Background</w:t>
      </w:r>
    </w:p>
    <w:p w14:paraId="7E0BA52A"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1FCC3B0A" w14:textId="77777777" w:rsidR="008114E9" w:rsidRPr="008114E9" w:rsidRDefault="008114E9" w:rsidP="008114E9">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114E9">
        <w:rPr>
          <w:rFonts w:ascii="Times New Roman" w:eastAsia="Times New Roman" w:hAnsi="Times New Roman" w:cs="Times New Roman"/>
          <w:b/>
          <w:bCs/>
          <w:sz w:val="27"/>
          <w:szCs w:val="27"/>
          <w:lang w:val="en-RO" w:eastAsia="en-GB"/>
        </w:rPr>
        <w:t>2.1 Jaguar</w:t>
      </w:r>
    </w:p>
    <w:p w14:paraId="7901BA88"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525DF3AF"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Jaguar is a British automotive brand with a long heritage associated with luxury, performance, and engineering excellence. Over recent years, Jaguar has faced increasing pressure from environmental regulation and changing consumer expectations. In response, the company announced a major strategic shift aimed at repositioning Jaguar as a fully electric luxury brand by the middle of the decade (Jaguar, 2024).</w:t>
      </w:r>
    </w:p>
    <w:p w14:paraId="795A5936"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1A1D6840"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Jaguar’s operations in the United Kingdom are concentrated on high-value activities such as vehicle design, advanced engineering, and research and development. These activities contribute to the UK’s knowledge-based economy and support highly skilled employment. Jaguar exports a large proportion of its vehicles, contributing positively to the UK balance of trade (Department for Business and Trade, 2024).</w:t>
      </w:r>
    </w:p>
    <w:p w14:paraId="75352DD9"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142CCC6E"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The brand’s business model focuses on lower production volumes combined with higher margins. While this strategy supports profitability and exclusivity, it also increases exposure to economic volatility. During periods of reduced consumer confidence, demand for premium vehicles may decline more sharply than demand for mass-market alternatives.</w:t>
      </w:r>
    </w:p>
    <w:p w14:paraId="15AB4F56"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680F52A2" w14:textId="77777777" w:rsidR="008114E9" w:rsidRPr="008114E9" w:rsidRDefault="008114E9" w:rsidP="008114E9">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114E9">
        <w:rPr>
          <w:rFonts w:ascii="Times New Roman" w:eastAsia="Times New Roman" w:hAnsi="Times New Roman" w:cs="Times New Roman"/>
          <w:b/>
          <w:bCs/>
          <w:sz w:val="27"/>
          <w:szCs w:val="27"/>
          <w:lang w:val="en-RO" w:eastAsia="en-GB"/>
        </w:rPr>
        <w:t>2.2 Nissan UK</w:t>
      </w:r>
    </w:p>
    <w:p w14:paraId="2EE1FA21"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2E457F55"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Nissan UK operates one of the largest automotive manufacturing plants in the United Kingdom, located in Sunderland. The facility is widely recognised as one of the most productive car plants in Europe and plays a central role in the economic development of the North East of England (Nissan UK, 2024).</w:t>
      </w:r>
    </w:p>
    <w:p w14:paraId="3B32B453"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233CA2D4"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Nissan produces high-volume models such as the Qashqai, Juke, and the fully electric Leaf. The company was one of the first manufacturers to invest heavily in electric vehicle production in the UK. Its EV36Zero strategy integrates vehicle manufacturing, battery production, and renewable energy. This approach improves supply chain resilience and supports long-term sustainability objectives.</w:t>
      </w:r>
    </w:p>
    <w:p w14:paraId="683F6E36"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64740D98"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Nissan’s strategy focuses on affordability, efficiency, and scale. This positioning allows the company to remain competitive during periods of economic pressure and changing consumer behaviour.</w:t>
      </w:r>
    </w:p>
    <w:p w14:paraId="533A6359" w14:textId="77777777" w:rsidR="008114E9" w:rsidRPr="008114E9" w:rsidRDefault="008114E9" w:rsidP="008114E9">
      <w:pPr>
        <w:spacing w:after="0" w:line="240" w:lineRule="auto"/>
        <w:rPr>
          <w:rFonts w:ascii="Times New Roman" w:eastAsia="Times New Roman" w:hAnsi="Times New Roman" w:cs="Times New Roman"/>
          <w:sz w:val="24"/>
          <w:szCs w:val="24"/>
          <w:lang w:val="en-RO" w:eastAsia="en-GB"/>
        </w:rPr>
      </w:pPr>
      <w:r w:rsidRPr="008114E9">
        <w:rPr>
          <w:rFonts w:ascii="Times New Roman" w:eastAsia="Times New Roman" w:hAnsi="Times New Roman" w:cs="Times New Roman"/>
          <w:noProof/>
          <w:sz w:val="24"/>
          <w:szCs w:val="24"/>
          <w:lang w:val="en-RO" w:eastAsia="en-GB"/>
        </w:rPr>
        <mc:AlternateContent>
          <mc:Choice Requires="wps">
            <w:drawing>
              <wp:inline distT="0" distB="0" distL="0" distR="0" wp14:anchorId="579FEF2D" wp14:editId="2DA7754E">
                <wp:extent cx="5486400" cy="1270"/>
                <wp:effectExtent l="0" t="31750" r="0" b="36830"/>
                <wp:docPr id="81559924"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FDB9F56" id="Rectangle 6"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02023317" w14:textId="77777777" w:rsidR="008114E9" w:rsidRPr="008114E9" w:rsidRDefault="008114E9" w:rsidP="008114E9">
      <w:pPr>
        <w:spacing w:before="100" w:beforeAutospacing="1" w:after="100" w:afterAutospacing="1" w:line="240" w:lineRule="auto"/>
        <w:outlineLvl w:val="1"/>
        <w:rPr>
          <w:rFonts w:ascii="Times New Roman" w:hAnsi="Times New Roman" w:cs="Times New Roman"/>
          <w:b/>
          <w:bCs/>
          <w:sz w:val="36"/>
          <w:szCs w:val="36"/>
          <w:lang w:val="en-RO" w:eastAsia="en-GB"/>
        </w:rPr>
      </w:pPr>
      <w:r w:rsidRPr="008114E9">
        <w:rPr>
          <w:rFonts w:ascii="Times New Roman" w:eastAsia="Times New Roman" w:hAnsi="Times New Roman" w:cs="Times New Roman"/>
          <w:b/>
          <w:bCs/>
          <w:sz w:val="36"/>
          <w:szCs w:val="36"/>
          <w:lang w:val="en-RO" w:eastAsia="en-GB"/>
        </w:rPr>
        <w:t>3. UK Industry Context 2024–2025</w:t>
      </w:r>
    </w:p>
    <w:p w14:paraId="296EA018"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14008F0B" w14:textId="77777777" w:rsidR="008114E9" w:rsidRPr="008114E9" w:rsidRDefault="008114E9" w:rsidP="008114E9">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114E9">
        <w:rPr>
          <w:rFonts w:ascii="Times New Roman" w:eastAsia="Times New Roman" w:hAnsi="Times New Roman" w:cs="Times New Roman"/>
          <w:b/>
          <w:bCs/>
          <w:sz w:val="27"/>
          <w:szCs w:val="27"/>
          <w:lang w:val="en-RO" w:eastAsia="en-GB"/>
        </w:rPr>
        <w:lastRenderedPageBreak/>
        <w:t>3.1 Economic Impact</w:t>
      </w:r>
    </w:p>
    <w:p w14:paraId="747C46B3"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5EB13996"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The UK automotive industry generates approximately ninety-three billion pounds annually and supports over eight hundred thousand jobs directly and indirectly (SMMT, 2024). In 2024, the United Kingdom recorded a gross domestic product of around two point three trillion pounds (Gov.uk, 2024). Automotive manufacturing remains a major contributor to industrial output and exports.</w:t>
      </w:r>
    </w:p>
    <w:p w14:paraId="4FFB135F"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6E230238"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Inflation has been a key economic challenge. During 2024, inflation averaged approximately three point nine percent, increasing costs related to energy, labour, logistics, and raw materials (BBC News, 2024). These rising costs reduced profit margins and increased price sensitivity among consumers.</w:t>
      </w:r>
    </w:p>
    <w:p w14:paraId="50190EF6"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6C5FCD81"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Jaguar faces higher economic risk because premium vehicle purchases are strongly influenced by consumer confidence and interest rates. Higher borrowing costs discourage discretionary spending. Nissan UK benefits from offering more affordable vehicles, which are often prioritised by consumers during periods of financial uncertainty. Electric vehicles also provide long-term savings on fuel and maintenance, increasing their attractiveness (Oxford Economics, 2024).</w:t>
      </w:r>
    </w:p>
    <w:p w14:paraId="325BBB69"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0431740E"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Employment impact is particularly important at a regional level. Nissan’s Sunderland plant is one of the largest private-sector employers in the North East and plays a key role in regional economic stability (ONS, 2024). Jaguar supports highly skilled roles in engineering, design, and innovation across the UK.</w:t>
      </w:r>
    </w:p>
    <w:p w14:paraId="783DE671"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79BE8771" w14:textId="77777777" w:rsidR="008114E9" w:rsidRPr="008114E9" w:rsidRDefault="008114E9" w:rsidP="008114E9">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114E9">
        <w:rPr>
          <w:rFonts w:ascii="Times New Roman" w:eastAsia="Times New Roman" w:hAnsi="Times New Roman" w:cs="Times New Roman"/>
          <w:b/>
          <w:bCs/>
          <w:sz w:val="27"/>
          <w:szCs w:val="27"/>
          <w:lang w:val="en-RO" w:eastAsia="en-GB"/>
        </w:rPr>
        <w:t>3.2 Political Impact</w:t>
      </w:r>
    </w:p>
    <w:p w14:paraId="1D5EE6C6"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5CC802FC"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Political decisions strongly shape the UK automotive industry. The UK government has committed to reducing carbon emissions and supporting the transition to electric vehicles as part of its climate strategy (UK Parliament, 2024). Policies aimed at phasing out new petrol and diesel cars place direct pressure on manufacturers to invest in electrification.</w:t>
      </w:r>
    </w:p>
    <w:p w14:paraId="00275B36"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00E2DC0C"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lastRenderedPageBreak/>
        <w:t>Government incentives support battery production, charging infrastructure, and domestic manufacturing. Nissan benefits directly from political support through its EV36Zero investment, which aligns with national industrial and environmental policy (Nissan UK, 2024). Jaguar’s move toward full electrification also reflects regulatory expectations and sustainability goals (Jaguar, 2024).</w:t>
      </w:r>
    </w:p>
    <w:p w14:paraId="1A205908"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6604513F"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Trade policy remains a challenge following Brexit. Additional customs procedures have increased administrative costs and complexity for manufacturers relying on international supply chains (Department for Business and Trade, 2024). Regulatory stability and clear trade agreements remain essential for long-term investment planning.</w:t>
      </w:r>
    </w:p>
    <w:p w14:paraId="4EADCC08" w14:textId="77777777" w:rsidR="008114E9" w:rsidRPr="008114E9" w:rsidRDefault="008114E9" w:rsidP="008114E9">
      <w:pPr>
        <w:spacing w:after="0" w:line="240" w:lineRule="auto"/>
        <w:rPr>
          <w:rFonts w:ascii="Times New Roman" w:eastAsia="Times New Roman" w:hAnsi="Times New Roman" w:cs="Times New Roman"/>
          <w:sz w:val="24"/>
          <w:szCs w:val="24"/>
          <w:lang w:val="en-RO" w:eastAsia="en-GB"/>
        </w:rPr>
      </w:pPr>
      <w:r w:rsidRPr="008114E9">
        <w:rPr>
          <w:rFonts w:ascii="Times New Roman" w:eastAsia="Times New Roman" w:hAnsi="Times New Roman" w:cs="Times New Roman"/>
          <w:noProof/>
          <w:sz w:val="24"/>
          <w:szCs w:val="24"/>
          <w:lang w:val="en-RO" w:eastAsia="en-GB"/>
        </w:rPr>
        <mc:AlternateContent>
          <mc:Choice Requires="wps">
            <w:drawing>
              <wp:inline distT="0" distB="0" distL="0" distR="0" wp14:anchorId="0C4BF0A7" wp14:editId="585BFCCD">
                <wp:extent cx="5486400" cy="1270"/>
                <wp:effectExtent l="0" t="31750" r="0" b="36830"/>
                <wp:docPr id="1143728386"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8C928F7" id="Rectangle 5"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7C792931" w14:textId="77777777" w:rsidR="008114E9" w:rsidRPr="008114E9" w:rsidRDefault="008114E9" w:rsidP="008114E9">
      <w:pPr>
        <w:spacing w:before="100" w:beforeAutospacing="1" w:after="100" w:afterAutospacing="1" w:line="240" w:lineRule="auto"/>
        <w:outlineLvl w:val="1"/>
        <w:rPr>
          <w:rFonts w:ascii="Times New Roman" w:hAnsi="Times New Roman" w:cs="Times New Roman"/>
          <w:b/>
          <w:bCs/>
          <w:sz w:val="36"/>
          <w:szCs w:val="36"/>
          <w:lang w:val="en-RO" w:eastAsia="en-GB"/>
        </w:rPr>
      </w:pPr>
      <w:r w:rsidRPr="008114E9">
        <w:rPr>
          <w:rFonts w:ascii="Times New Roman" w:eastAsia="Times New Roman" w:hAnsi="Times New Roman" w:cs="Times New Roman"/>
          <w:b/>
          <w:bCs/>
          <w:sz w:val="36"/>
          <w:szCs w:val="36"/>
          <w:lang w:val="en-RO" w:eastAsia="en-GB"/>
        </w:rPr>
        <w:t>4. Porter’s Five Forces Analysis</w:t>
      </w:r>
    </w:p>
    <w:p w14:paraId="4F2E3848"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3B32092F" w14:textId="77777777" w:rsidR="008114E9" w:rsidRPr="008114E9" w:rsidRDefault="008114E9" w:rsidP="008114E9">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114E9">
        <w:rPr>
          <w:rFonts w:ascii="Times New Roman" w:eastAsia="Times New Roman" w:hAnsi="Times New Roman" w:cs="Times New Roman"/>
          <w:b/>
          <w:bCs/>
          <w:sz w:val="27"/>
          <w:szCs w:val="27"/>
          <w:lang w:val="en-RO" w:eastAsia="en-GB"/>
        </w:rPr>
        <w:t>4.1 Jaguar</w:t>
      </w:r>
    </w:p>
    <w:p w14:paraId="0997208D"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05C877D9"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The threat of new entrants is low due to high capital requirements, advanced technology needs, and strong brand loyalty. Supplier power is high because Jaguar relies on specialised components and premium technology suppliers. Buyer power is moderate, as customers have several luxury alternatives but still value brand identity. The threat of substitutes is high due to competition from global electric vehicle manufacturers. Competitive rivalry within the premium segment is intense (Porter, 2008).</w:t>
      </w:r>
    </w:p>
    <w:p w14:paraId="76AA8344"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067AB3D4" w14:textId="77777777" w:rsidR="008114E9" w:rsidRPr="008114E9" w:rsidRDefault="008114E9" w:rsidP="008114E9">
      <w:pPr>
        <w:spacing w:before="100" w:beforeAutospacing="1" w:after="100" w:afterAutospacing="1" w:line="240" w:lineRule="auto"/>
        <w:outlineLvl w:val="2"/>
        <w:rPr>
          <w:rFonts w:ascii="Times New Roman" w:eastAsia="Times New Roman" w:hAnsi="Times New Roman" w:cs="Times New Roman"/>
          <w:b/>
          <w:bCs/>
          <w:sz w:val="27"/>
          <w:szCs w:val="27"/>
          <w:lang w:val="en-RO" w:eastAsia="en-GB"/>
        </w:rPr>
      </w:pPr>
      <w:r w:rsidRPr="008114E9">
        <w:rPr>
          <w:rFonts w:ascii="Times New Roman" w:eastAsia="Times New Roman" w:hAnsi="Times New Roman" w:cs="Times New Roman"/>
          <w:b/>
          <w:bCs/>
          <w:sz w:val="27"/>
          <w:szCs w:val="27"/>
          <w:lang w:val="en-RO" w:eastAsia="en-GB"/>
        </w:rPr>
        <w:t>4.2 Nissan UK</w:t>
      </w:r>
    </w:p>
    <w:p w14:paraId="2C5183B0"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4E35CF34"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The threat of new entrants is low due to economies of scale and high investment requirements. Supplier power is moderate, as Nissan benefits from long-term contracts and high production volume. Buyer power is high because of strong price competition in the mass-market segment. The threat of substitutes is high, and competitive rivalry is very strong (Porter, 2008).</w:t>
      </w:r>
    </w:p>
    <w:p w14:paraId="015AD6AF" w14:textId="77777777" w:rsidR="008114E9" w:rsidRPr="008114E9" w:rsidRDefault="008114E9" w:rsidP="008114E9">
      <w:pPr>
        <w:spacing w:after="0" w:line="240" w:lineRule="auto"/>
        <w:rPr>
          <w:rFonts w:ascii="Times New Roman" w:eastAsia="Times New Roman" w:hAnsi="Times New Roman" w:cs="Times New Roman"/>
          <w:sz w:val="24"/>
          <w:szCs w:val="24"/>
          <w:lang w:val="en-RO" w:eastAsia="en-GB"/>
        </w:rPr>
      </w:pPr>
      <w:r w:rsidRPr="008114E9">
        <w:rPr>
          <w:rFonts w:ascii="Times New Roman" w:eastAsia="Times New Roman" w:hAnsi="Times New Roman" w:cs="Times New Roman"/>
          <w:noProof/>
          <w:sz w:val="24"/>
          <w:szCs w:val="24"/>
          <w:lang w:val="en-RO" w:eastAsia="en-GB"/>
        </w:rPr>
        <mc:AlternateContent>
          <mc:Choice Requires="wps">
            <w:drawing>
              <wp:inline distT="0" distB="0" distL="0" distR="0" wp14:anchorId="5BFE1EE9" wp14:editId="3EF4B3B3">
                <wp:extent cx="5486400" cy="1270"/>
                <wp:effectExtent l="0" t="31750" r="0" b="36830"/>
                <wp:docPr id="712363472"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DC8C062" id="Rectangle 4"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14EAB46B" w14:textId="77777777" w:rsidR="008114E9" w:rsidRPr="008114E9" w:rsidRDefault="008114E9" w:rsidP="008114E9">
      <w:pPr>
        <w:spacing w:before="100" w:beforeAutospacing="1" w:after="100" w:afterAutospacing="1" w:line="240" w:lineRule="auto"/>
        <w:outlineLvl w:val="1"/>
        <w:rPr>
          <w:rFonts w:ascii="Times New Roman" w:hAnsi="Times New Roman" w:cs="Times New Roman"/>
          <w:b/>
          <w:bCs/>
          <w:sz w:val="36"/>
          <w:szCs w:val="36"/>
          <w:lang w:val="en-RO" w:eastAsia="en-GB"/>
        </w:rPr>
      </w:pPr>
      <w:r w:rsidRPr="008114E9">
        <w:rPr>
          <w:rFonts w:ascii="Times New Roman" w:eastAsia="Times New Roman" w:hAnsi="Times New Roman" w:cs="Times New Roman"/>
          <w:b/>
          <w:bCs/>
          <w:sz w:val="36"/>
          <w:szCs w:val="36"/>
          <w:lang w:val="en-RO" w:eastAsia="en-GB"/>
        </w:rPr>
        <w:t>5. Stakeholder Analysis</w:t>
      </w:r>
    </w:p>
    <w:p w14:paraId="0B18333C"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3A7232EA"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Key stakeholders include government bodies, employees, suppliers, customers, investors, and local communities. Government stakeholders hold high power and high interest due to regulation and financial incentives (UK Parliament, 2024). Employees influence productivity, quality, and innovation. Customers shape demand trends and brand reputation.</w:t>
      </w:r>
    </w:p>
    <w:p w14:paraId="4A182059"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1A9DD6B1"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Using the power and interest matrix, government and senior management are classified as high power and high interest stakeholders. Customers and communities demonstrate high interest but limited power. Effective stakeholder engagement supports long-term organisational stability.</w:t>
      </w:r>
    </w:p>
    <w:p w14:paraId="34420E68" w14:textId="77777777" w:rsidR="008114E9" w:rsidRPr="008114E9" w:rsidRDefault="008114E9" w:rsidP="008114E9">
      <w:pPr>
        <w:spacing w:after="0" w:line="240" w:lineRule="auto"/>
        <w:rPr>
          <w:rFonts w:ascii="Times New Roman" w:eastAsia="Times New Roman" w:hAnsi="Times New Roman" w:cs="Times New Roman"/>
          <w:sz w:val="24"/>
          <w:szCs w:val="24"/>
          <w:lang w:val="en-RO" w:eastAsia="en-GB"/>
        </w:rPr>
      </w:pPr>
      <w:r w:rsidRPr="008114E9">
        <w:rPr>
          <w:rFonts w:ascii="Times New Roman" w:eastAsia="Times New Roman" w:hAnsi="Times New Roman" w:cs="Times New Roman"/>
          <w:noProof/>
          <w:sz w:val="24"/>
          <w:szCs w:val="24"/>
          <w:lang w:val="en-RO" w:eastAsia="en-GB"/>
        </w:rPr>
        <mc:AlternateContent>
          <mc:Choice Requires="wps">
            <w:drawing>
              <wp:inline distT="0" distB="0" distL="0" distR="0" wp14:anchorId="4C9EB8D0" wp14:editId="0024D4CA">
                <wp:extent cx="5486400" cy="1270"/>
                <wp:effectExtent l="0" t="31750" r="0" b="36830"/>
                <wp:docPr id="1143624100"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3DF63AA" id="Rectangle 3"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652F77E8" w14:textId="77777777" w:rsidR="008114E9" w:rsidRPr="008114E9" w:rsidRDefault="008114E9" w:rsidP="008114E9">
      <w:pPr>
        <w:spacing w:before="100" w:beforeAutospacing="1" w:after="100" w:afterAutospacing="1" w:line="240" w:lineRule="auto"/>
        <w:outlineLvl w:val="1"/>
        <w:rPr>
          <w:rFonts w:ascii="Times New Roman" w:hAnsi="Times New Roman" w:cs="Times New Roman"/>
          <w:b/>
          <w:bCs/>
          <w:sz w:val="36"/>
          <w:szCs w:val="36"/>
          <w:lang w:val="en-RO" w:eastAsia="en-GB"/>
        </w:rPr>
      </w:pPr>
      <w:r w:rsidRPr="008114E9">
        <w:rPr>
          <w:rFonts w:ascii="Times New Roman" w:eastAsia="Times New Roman" w:hAnsi="Times New Roman" w:cs="Times New Roman"/>
          <w:b/>
          <w:bCs/>
          <w:sz w:val="36"/>
          <w:szCs w:val="36"/>
          <w:lang w:val="en-RO" w:eastAsia="en-GB"/>
        </w:rPr>
        <w:t>6. Strategic Comparison</w:t>
      </w:r>
    </w:p>
    <w:p w14:paraId="6917EE19"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561627B9"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Jaguar follows a strategy focused on exclusivity, innovation, and luxury electrification. Nissan UK prioritises efficiency, affordability, and volume production. Jaguar faces greater exposure to economic volatility, while Nissan benefits from broader market coverage. Both organisations depend on continued political support, electrification investment, and resilient supply chains.</w:t>
      </w:r>
    </w:p>
    <w:p w14:paraId="2AFEBA9A" w14:textId="77777777" w:rsidR="008114E9" w:rsidRPr="008114E9" w:rsidRDefault="008114E9" w:rsidP="008114E9">
      <w:pPr>
        <w:spacing w:after="0" w:line="240" w:lineRule="auto"/>
        <w:rPr>
          <w:rFonts w:ascii="Times New Roman" w:eastAsia="Times New Roman" w:hAnsi="Times New Roman" w:cs="Times New Roman"/>
          <w:sz w:val="24"/>
          <w:szCs w:val="24"/>
          <w:lang w:val="en-RO" w:eastAsia="en-GB"/>
        </w:rPr>
      </w:pPr>
      <w:r w:rsidRPr="008114E9">
        <w:rPr>
          <w:rFonts w:ascii="Times New Roman" w:eastAsia="Times New Roman" w:hAnsi="Times New Roman" w:cs="Times New Roman"/>
          <w:noProof/>
          <w:sz w:val="24"/>
          <w:szCs w:val="24"/>
          <w:lang w:val="en-RO" w:eastAsia="en-GB"/>
        </w:rPr>
        <mc:AlternateContent>
          <mc:Choice Requires="wps">
            <w:drawing>
              <wp:inline distT="0" distB="0" distL="0" distR="0" wp14:anchorId="2003F8F7" wp14:editId="5372DC52">
                <wp:extent cx="5486400" cy="1270"/>
                <wp:effectExtent l="0" t="31750" r="0" b="36830"/>
                <wp:docPr id="494758358"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2E0334A" id="Rectangle 2"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094969FC" w14:textId="77777777" w:rsidR="008114E9" w:rsidRPr="008114E9" w:rsidRDefault="008114E9" w:rsidP="008114E9">
      <w:pPr>
        <w:spacing w:before="100" w:beforeAutospacing="1" w:after="100" w:afterAutospacing="1" w:line="240" w:lineRule="auto"/>
        <w:outlineLvl w:val="1"/>
        <w:rPr>
          <w:rFonts w:ascii="Times New Roman" w:hAnsi="Times New Roman" w:cs="Times New Roman"/>
          <w:b/>
          <w:bCs/>
          <w:sz w:val="36"/>
          <w:szCs w:val="36"/>
          <w:lang w:val="en-RO" w:eastAsia="en-GB"/>
        </w:rPr>
      </w:pPr>
      <w:r w:rsidRPr="008114E9">
        <w:rPr>
          <w:rFonts w:ascii="Times New Roman" w:eastAsia="Times New Roman" w:hAnsi="Times New Roman" w:cs="Times New Roman"/>
          <w:b/>
          <w:bCs/>
          <w:sz w:val="36"/>
          <w:szCs w:val="36"/>
          <w:lang w:val="en-RO" w:eastAsia="en-GB"/>
        </w:rPr>
        <w:t>7. Conclusion</w:t>
      </w:r>
    </w:p>
    <w:p w14:paraId="60739953"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4DCDE882"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Jaguar and Nissan UK remain highly relevant within the UK automotive industry during 2024 and 2025. Their contrasting strategies reflect different market positions and responses to economic and political pressure. Long-term competitiveness will depend on innovation, cost control, regulatory alignment, and effective stakeholder management.</w:t>
      </w:r>
    </w:p>
    <w:p w14:paraId="6F5D9785" w14:textId="77777777" w:rsidR="008114E9" w:rsidRPr="008114E9" w:rsidRDefault="008114E9" w:rsidP="008114E9">
      <w:pPr>
        <w:spacing w:after="0" w:line="240" w:lineRule="auto"/>
        <w:rPr>
          <w:rFonts w:ascii="Times New Roman" w:eastAsia="Times New Roman" w:hAnsi="Times New Roman" w:cs="Times New Roman"/>
          <w:sz w:val="24"/>
          <w:szCs w:val="24"/>
          <w:lang w:val="en-RO" w:eastAsia="en-GB"/>
        </w:rPr>
      </w:pPr>
      <w:r w:rsidRPr="008114E9">
        <w:rPr>
          <w:rFonts w:ascii="Times New Roman" w:eastAsia="Times New Roman" w:hAnsi="Times New Roman" w:cs="Times New Roman"/>
          <w:noProof/>
          <w:sz w:val="24"/>
          <w:szCs w:val="24"/>
          <w:lang w:val="en-RO" w:eastAsia="en-GB"/>
        </w:rPr>
        <mc:AlternateContent>
          <mc:Choice Requires="wps">
            <w:drawing>
              <wp:inline distT="0" distB="0" distL="0" distR="0" wp14:anchorId="787B0DAD" wp14:editId="23C8A886">
                <wp:extent cx="5486400" cy="1270"/>
                <wp:effectExtent l="0" t="31750" r="0" b="36830"/>
                <wp:docPr id="81196578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E22604F" id="Rectangle 1" o:spid="_x0000_s1026" style="width:6in;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HvCGHNsAAAAHAQAADwAA&#13;&#10;AAAAAAAAAAAAAACYBAAAZHJzL2Rvd25yZXYueG1sUEsFBgAAAAAEAAQA8wAAAKAFAAAAAA==&#13;&#10;" filled="f">
                <w10:anchorlock/>
              </v:rect>
            </w:pict>
          </mc:Fallback>
        </mc:AlternateContent>
      </w:r>
    </w:p>
    <w:p w14:paraId="748AB06A" w14:textId="77777777" w:rsidR="008114E9" w:rsidRPr="008114E9" w:rsidRDefault="008114E9" w:rsidP="008114E9">
      <w:pPr>
        <w:spacing w:before="100" w:beforeAutospacing="1" w:after="100" w:afterAutospacing="1" w:line="240" w:lineRule="auto"/>
        <w:outlineLvl w:val="1"/>
        <w:rPr>
          <w:rFonts w:ascii="Times New Roman" w:hAnsi="Times New Roman" w:cs="Times New Roman"/>
          <w:b/>
          <w:bCs/>
          <w:sz w:val="36"/>
          <w:szCs w:val="36"/>
          <w:lang w:val="en-RO" w:eastAsia="en-GB"/>
        </w:rPr>
      </w:pPr>
      <w:r w:rsidRPr="008114E9">
        <w:rPr>
          <w:rFonts w:ascii="Times New Roman" w:eastAsia="Times New Roman" w:hAnsi="Times New Roman" w:cs="Times New Roman"/>
          <w:b/>
          <w:bCs/>
          <w:sz w:val="36"/>
          <w:szCs w:val="36"/>
          <w:lang w:val="en-RO" w:eastAsia="en-GB"/>
        </w:rPr>
        <w:t>8. Harvard Reference List</w:t>
      </w:r>
    </w:p>
    <w:p w14:paraId="079ED051"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p>
    <w:p w14:paraId="72AA6600"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BBC News (2024) UK inflation rate and economic outlook.</w:t>
      </w:r>
    </w:p>
    <w:p w14:paraId="0E17FF25"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lastRenderedPageBreak/>
        <w:t>Department for Business and Trade (2024) Automotive sector overview.</w:t>
      </w:r>
    </w:p>
    <w:p w14:paraId="49A3EC8F"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Gov.uk (2024) GDP quarterly national accounts.</w:t>
      </w:r>
    </w:p>
    <w:p w14:paraId="30B6F3AE"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Jaguar (2024) Reimagine strategy and electrification plan.</w:t>
      </w:r>
    </w:p>
    <w:p w14:paraId="75AF29DB"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Nissan UK (2024) EV36Zero project overview.</w:t>
      </w:r>
    </w:p>
    <w:p w14:paraId="5BE5B9FB"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Office for National Statistics (2024) Employment by industry.</w:t>
      </w:r>
    </w:p>
    <w:p w14:paraId="171CC2F4"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Oxford Economics (2024) Economic impact of the UK automotive industry.</w:t>
      </w:r>
    </w:p>
    <w:p w14:paraId="456FCC47"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Porter, M. E. (2008) The five competitive forces that shape strategy. Harvard Business Review.</w:t>
      </w:r>
    </w:p>
    <w:p w14:paraId="6CFC9E20"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SMMT (2024) UK automotive industry facts and figures.</w:t>
      </w:r>
    </w:p>
    <w:p w14:paraId="324B25C4" w14:textId="77777777" w:rsidR="008114E9" w:rsidRPr="008114E9" w:rsidRDefault="008114E9" w:rsidP="008114E9">
      <w:pPr>
        <w:spacing w:before="100" w:beforeAutospacing="1" w:after="100" w:afterAutospacing="1" w:line="240" w:lineRule="auto"/>
        <w:rPr>
          <w:rFonts w:ascii="Times New Roman" w:hAnsi="Times New Roman" w:cs="Times New Roman"/>
          <w:sz w:val="24"/>
          <w:szCs w:val="24"/>
          <w:lang w:val="en-RO" w:eastAsia="en-GB"/>
        </w:rPr>
      </w:pPr>
      <w:r w:rsidRPr="008114E9">
        <w:rPr>
          <w:rFonts w:ascii="Times New Roman" w:hAnsi="Times New Roman" w:cs="Times New Roman"/>
          <w:sz w:val="24"/>
          <w:szCs w:val="24"/>
          <w:lang w:val="en-RO" w:eastAsia="en-GB"/>
        </w:rPr>
        <w:t>UK Parliament (2024) Automotive industry briefing paper.</w:t>
      </w:r>
    </w:p>
    <w:p w14:paraId="3BB4E6ED" w14:textId="77777777" w:rsidR="007F08CD" w:rsidRDefault="007F08CD"/>
    <w:p w14:paraId="316E8316" w14:textId="77777777" w:rsidR="007F08CD" w:rsidRDefault="007F08CD"/>
    <w:sectPr w:rsidR="007F08C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DA1430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2108084">
    <w:abstractNumId w:val="8"/>
  </w:num>
  <w:num w:numId="2" w16cid:durableId="1583639827">
    <w:abstractNumId w:val="6"/>
  </w:num>
  <w:num w:numId="3" w16cid:durableId="792407872">
    <w:abstractNumId w:val="5"/>
  </w:num>
  <w:num w:numId="4" w16cid:durableId="414325090">
    <w:abstractNumId w:val="4"/>
  </w:num>
  <w:num w:numId="5" w16cid:durableId="838499428">
    <w:abstractNumId w:val="7"/>
  </w:num>
  <w:num w:numId="6" w16cid:durableId="1497383164">
    <w:abstractNumId w:val="3"/>
  </w:num>
  <w:num w:numId="7" w16cid:durableId="366757249">
    <w:abstractNumId w:val="2"/>
  </w:num>
  <w:num w:numId="8" w16cid:durableId="1126317379">
    <w:abstractNumId w:val="1"/>
  </w:num>
  <w:num w:numId="9" w16cid:durableId="1852910886">
    <w:abstractNumId w:val="0"/>
  </w:num>
  <w:num w:numId="10" w16cid:durableId="1433939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33E9"/>
    <w:rsid w:val="0015074B"/>
    <w:rsid w:val="00194C30"/>
    <w:rsid w:val="001A77F7"/>
    <w:rsid w:val="0029639D"/>
    <w:rsid w:val="00326F90"/>
    <w:rsid w:val="0033228F"/>
    <w:rsid w:val="00681736"/>
    <w:rsid w:val="00727317"/>
    <w:rsid w:val="007F08CD"/>
    <w:rsid w:val="008114E9"/>
    <w:rsid w:val="00930D61"/>
    <w:rsid w:val="00A40C5C"/>
    <w:rsid w:val="00AA1D8D"/>
    <w:rsid w:val="00AE1FD1"/>
    <w:rsid w:val="00B47730"/>
    <w:rsid w:val="00C60A61"/>
    <w:rsid w:val="00C951CC"/>
    <w:rsid w:val="00CB0664"/>
    <w:rsid w:val="00CE5A50"/>
    <w:rsid w:val="00D35A4C"/>
    <w:rsid w:val="00DE024F"/>
    <w:rsid w:val="00EA425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92AA76"/>
  <w14:defaultImageDpi w14:val="300"/>
  <w15:docId w15:val="{0ABD9E0C-6B1C-CA43-A63F-403C6963F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8114E9"/>
    <w:pPr>
      <w:spacing w:before="100" w:beforeAutospacing="1" w:after="100" w:afterAutospacing="1" w:line="240" w:lineRule="auto"/>
    </w:pPr>
    <w:rPr>
      <w:rFonts w:ascii="Times New Roman" w:hAnsi="Times New Roman" w:cs="Times New Roman"/>
      <w:sz w:val="24"/>
      <w:szCs w:val="24"/>
      <w:lang w:val="en-RO" w:eastAsia="en-GB"/>
    </w:rPr>
  </w:style>
  <w:style w:type="character" w:customStyle="1" w:styleId="s1">
    <w:name w:val="s1"/>
    <w:basedOn w:val="DefaultParagraphFont"/>
    <w:rsid w:val="008114E9"/>
  </w:style>
  <w:style w:type="paragraph" w:customStyle="1" w:styleId="p2">
    <w:name w:val="p2"/>
    <w:basedOn w:val="Normal"/>
    <w:rsid w:val="008114E9"/>
    <w:pPr>
      <w:spacing w:before="100" w:beforeAutospacing="1" w:after="100" w:afterAutospacing="1" w:line="240" w:lineRule="auto"/>
    </w:pPr>
    <w:rPr>
      <w:rFonts w:ascii="Times New Roman" w:hAnsi="Times New Roman" w:cs="Times New Roman"/>
      <w:sz w:val="24"/>
      <w:szCs w:val="24"/>
      <w:lang w:val="en-RO" w:eastAsia="en-GB"/>
    </w:rPr>
  </w:style>
  <w:style w:type="character" w:customStyle="1" w:styleId="s2">
    <w:name w:val="s2"/>
    <w:basedOn w:val="DefaultParagraphFont"/>
    <w:rsid w:val="008114E9"/>
  </w:style>
  <w:style w:type="paragraph" w:customStyle="1" w:styleId="p3">
    <w:name w:val="p3"/>
    <w:basedOn w:val="Normal"/>
    <w:rsid w:val="008114E9"/>
    <w:pPr>
      <w:spacing w:before="100" w:beforeAutospacing="1" w:after="100" w:afterAutospacing="1" w:line="240" w:lineRule="auto"/>
    </w:pPr>
    <w:rPr>
      <w:rFonts w:ascii="Times New Roman" w:hAnsi="Times New Roman" w:cs="Times New Roman"/>
      <w:sz w:val="24"/>
      <w:szCs w:val="24"/>
      <w:lang w:val="en-RO"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1448</Words>
  <Characters>8258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9687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Elvis-Fanel Margelu (2328842)</cp:lastModifiedBy>
  <cp:revision>15</cp:revision>
  <dcterms:created xsi:type="dcterms:W3CDTF">2013-12-23T23:15:00Z</dcterms:created>
  <dcterms:modified xsi:type="dcterms:W3CDTF">2025-12-19T17:24:00Z</dcterms:modified>
  <cp:category/>
</cp:coreProperties>
</file>