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3817191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226BA">
              <w:rPr>
                <w:rFonts w:ascii="Times New Roman" w:hAnsi="Times New Roman" w:cs="Times New Roman"/>
                <w:b/>
                <w:color w:val="auto"/>
                <w:sz w:val="48"/>
              </w:rPr>
              <w:t>Rosie Palin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5069AAE1"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F0C06">
              <w:rPr>
                <w:rFonts w:ascii="Times New Roman" w:hAnsi="Times New Roman" w:cs="Times New Roman"/>
                <w:b/>
                <w:color w:val="auto"/>
                <w:sz w:val="48"/>
              </w:rPr>
              <w:t xml:space="preserve"> </w:t>
            </w:r>
            <w:r w:rsidR="00EF0C06" w:rsidRPr="00EF0C06">
              <w:rPr>
                <w:rFonts w:ascii="Times New Roman" w:hAnsi="Times New Roman" w:cs="Times New Roman"/>
                <w:b/>
                <w:color w:val="auto"/>
                <w:sz w:val="48"/>
              </w:rPr>
              <w:t>2521738@student.uwtsd.ac.uk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603AD19C" w14:textId="654A7D92" w:rsidR="00C32AE9" w:rsidRPr="00C32AE9" w:rsidRDefault="00C32AE9" w:rsidP="00C32AE9">
            <w:pPr>
              <w:ind w:right="-957"/>
              <w:rPr>
                <w:rFonts w:ascii="Times New Roman" w:hAnsi="Times New Roman" w:cs="Times New Roman"/>
                <w:b/>
                <w:sz w:val="48"/>
              </w:rPr>
            </w:pPr>
            <w:r>
              <w:rPr>
                <w:rFonts w:ascii="Times New Roman" w:hAnsi="Times New Roman" w:cs="Times New Roman"/>
                <w:b/>
                <w:sz w:val="48"/>
              </w:rPr>
              <w:t>2521738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7AC2A68D" w14:textId="77777777" w:rsidR="009D7642" w:rsidRDefault="009D7642"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3FA105BF" w14:textId="77777777" w:rsidR="009D7642" w:rsidRDefault="009D7642" w:rsidP="00FF7EBB">
            <w:pPr>
              <w:jc w:val="both"/>
              <w:rPr>
                <w:i/>
                <w:sz w:val="24"/>
                <w:szCs w:val="24"/>
              </w:rPr>
            </w:pPr>
          </w:p>
          <w:p w14:paraId="2FB6AAAC" w14:textId="77777777" w:rsidR="009D7642" w:rsidRPr="008007B2" w:rsidRDefault="009D7642" w:rsidP="009D7642">
            <w:pPr>
              <w:jc w:val="both"/>
              <w:rPr>
                <w:sz w:val="24"/>
                <w:szCs w:val="24"/>
              </w:rPr>
            </w:pPr>
            <w:r w:rsidRPr="008007B2">
              <w:rPr>
                <w:sz w:val="24"/>
                <w:szCs w:val="24"/>
              </w:rPr>
              <w:t xml:space="preserve">In accordance with the Code of Professional Practice for Social Care (Social Care Wales, 2017), all identifying details have been anonymised to protect confidentiality. Throughout this case study, the child will be referred to as </w:t>
            </w:r>
            <w:r w:rsidRPr="008007B2">
              <w:rPr>
                <w:i/>
                <w:iCs/>
                <w:sz w:val="24"/>
                <w:szCs w:val="24"/>
              </w:rPr>
              <w:t>the young person</w:t>
            </w:r>
            <w:r w:rsidRPr="008007B2">
              <w:rPr>
                <w:sz w:val="24"/>
                <w:szCs w:val="24"/>
              </w:rPr>
              <w:t xml:space="preserve"> and the carer will be referred to as </w:t>
            </w:r>
            <w:r w:rsidRPr="008007B2">
              <w:rPr>
                <w:i/>
                <w:iCs/>
                <w:sz w:val="24"/>
                <w:szCs w:val="24"/>
              </w:rPr>
              <w:t>the Special Guardian</w:t>
            </w:r>
            <w:r w:rsidRPr="008007B2">
              <w:rPr>
                <w:sz w:val="24"/>
                <w:szCs w:val="24"/>
              </w:rPr>
              <w:t>.</w:t>
            </w:r>
          </w:p>
          <w:p w14:paraId="33513833" w14:textId="77777777" w:rsidR="009D7642" w:rsidRPr="008007B2" w:rsidRDefault="009D7642" w:rsidP="009D7642">
            <w:pPr>
              <w:jc w:val="both"/>
              <w:rPr>
                <w:sz w:val="24"/>
                <w:szCs w:val="24"/>
              </w:rPr>
            </w:pPr>
          </w:p>
          <w:p w14:paraId="0DBE4781" w14:textId="77777777" w:rsidR="009D7642" w:rsidRPr="008007B2" w:rsidRDefault="009D7642" w:rsidP="009D7642">
            <w:pPr>
              <w:jc w:val="both"/>
              <w:rPr>
                <w:sz w:val="24"/>
                <w:szCs w:val="24"/>
              </w:rPr>
            </w:pPr>
            <w:r w:rsidRPr="008007B2">
              <w:rPr>
                <w:sz w:val="24"/>
                <w:szCs w:val="24"/>
              </w:rPr>
              <w:t>This critically reflective case study focuses on a Care and Support Needs Assessment (CASNA) completed with a young person living in Wales under a Special Guardianship Order (SGO). The assessment was undertaken following increasing concerns regarding emotional wellbeing, behaviour within the home, disengagement from education, online activity and wider safeguarding risks.</w:t>
            </w:r>
          </w:p>
          <w:p w14:paraId="02E26268" w14:textId="77777777" w:rsidR="009D7642" w:rsidRPr="008007B2" w:rsidRDefault="009D7642" w:rsidP="009D7642">
            <w:pPr>
              <w:jc w:val="both"/>
              <w:rPr>
                <w:sz w:val="24"/>
                <w:szCs w:val="24"/>
              </w:rPr>
            </w:pPr>
          </w:p>
          <w:p w14:paraId="57C9CA1F" w14:textId="77777777" w:rsidR="009D7642" w:rsidRPr="008007B2" w:rsidRDefault="009D7642" w:rsidP="009D7642">
            <w:pPr>
              <w:jc w:val="both"/>
              <w:rPr>
                <w:sz w:val="24"/>
                <w:szCs w:val="24"/>
              </w:rPr>
            </w:pPr>
            <w:r w:rsidRPr="008007B2">
              <w:rPr>
                <w:sz w:val="24"/>
                <w:szCs w:val="24"/>
              </w:rPr>
              <w:t>The young person became looked after by a different Local Authority earlier in life following experiences of neglect, physical abuse and emotional abuse within their birth family. Research relating to Adverse Childhood Experiences (ACEs) highlights the impact childhood trauma can have on emotional regulation, behaviour and relationships throughout childhood (Bellis et al., 2015). Following a long-term foster placement, a Special Guardianship Order was granted in 2022. Whilst this arrangement provided permanence and stability, concerns remained regarding emotional regulation, risk-taking behaviour and overall wellbeing.</w:t>
            </w:r>
          </w:p>
          <w:p w14:paraId="29BC9EA1" w14:textId="77777777" w:rsidR="009D7642" w:rsidRPr="008007B2" w:rsidRDefault="009D7642" w:rsidP="009D7642">
            <w:pPr>
              <w:jc w:val="both"/>
              <w:rPr>
                <w:sz w:val="24"/>
                <w:szCs w:val="24"/>
              </w:rPr>
            </w:pPr>
          </w:p>
          <w:p w14:paraId="735BF22E" w14:textId="77777777" w:rsidR="009D7642" w:rsidRPr="008007B2" w:rsidRDefault="009D7642" w:rsidP="009D7642">
            <w:pPr>
              <w:jc w:val="both"/>
              <w:rPr>
                <w:sz w:val="24"/>
                <w:szCs w:val="24"/>
              </w:rPr>
            </w:pPr>
            <w:r w:rsidRPr="008007B2">
              <w:rPr>
                <w:sz w:val="24"/>
                <w:szCs w:val="24"/>
              </w:rPr>
              <w:t>During the assessment period, concerns were raised regarding aggression within the home, fire-setting behaviour, disengagement from education, online risks and vulnerability to radicalisation. These concerns resulted in involvement from a range of professionals, including CAMHS, specialist education provision, Prevent, Channel and Children's Services.</w:t>
            </w:r>
          </w:p>
          <w:p w14:paraId="599F2800" w14:textId="77777777" w:rsidR="009D7642" w:rsidRPr="008007B2" w:rsidRDefault="009D7642" w:rsidP="009D7642">
            <w:pPr>
              <w:jc w:val="both"/>
              <w:rPr>
                <w:sz w:val="24"/>
                <w:szCs w:val="24"/>
              </w:rPr>
            </w:pPr>
          </w:p>
          <w:p w14:paraId="2966D6A2" w14:textId="77777777" w:rsidR="009D7642" w:rsidRDefault="009D7642" w:rsidP="009D7642">
            <w:pPr>
              <w:jc w:val="both"/>
              <w:rPr>
                <w:sz w:val="24"/>
                <w:szCs w:val="24"/>
              </w:rPr>
            </w:pPr>
            <w:r w:rsidRPr="008007B2">
              <w:rPr>
                <w:sz w:val="24"/>
                <w:szCs w:val="24"/>
              </w:rPr>
              <w:t>The young person also has a diagnosis of Foetal Alcohol Spectrum Disorder (FASD), and queries were raised regarding possible autism spectrum disorder (ASD) traits. These factors were considered throughout the assessment due to their potential impact on emotional regulation, decision-making and vulnerability.</w:t>
            </w:r>
          </w:p>
          <w:p w14:paraId="44D38D2A" w14:textId="77777777" w:rsidR="008007B2" w:rsidRPr="008007B2" w:rsidRDefault="008007B2" w:rsidP="009D7642">
            <w:pPr>
              <w:jc w:val="both"/>
              <w:rPr>
                <w:sz w:val="24"/>
                <w:szCs w:val="24"/>
              </w:rPr>
            </w:pPr>
          </w:p>
          <w:p w14:paraId="6944CB82" w14:textId="77777777" w:rsidR="009D7642" w:rsidRDefault="009D7642" w:rsidP="009D7642">
            <w:pPr>
              <w:jc w:val="both"/>
              <w:rPr>
                <w:sz w:val="24"/>
                <w:szCs w:val="24"/>
              </w:rPr>
            </w:pPr>
            <w:r w:rsidRPr="008007B2">
              <w:rPr>
                <w:sz w:val="24"/>
                <w:szCs w:val="24"/>
              </w:rPr>
              <w:t>The purpose of the assessment was to determine whether the young person met the criteria for support under the Social Services and Well-being (Wales) Act 2014 and to identify the most appropriate intervention. This case study critically reflects on how safeguarding legislation, social work theory, multi-agency collaboration and professional judgement informed the assessment process and subsequent recommendation for a voluntary Care and Support Plan.</w:t>
            </w:r>
          </w:p>
          <w:p w14:paraId="345C9AC4" w14:textId="77777777" w:rsidR="008007B2" w:rsidRPr="008007B2" w:rsidRDefault="008007B2" w:rsidP="009D7642">
            <w:pPr>
              <w:jc w:val="both"/>
              <w:rPr>
                <w:sz w:val="24"/>
                <w:szCs w:val="24"/>
              </w:rPr>
            </w:pPr>
          </w:p>
          <w:p w14:paraId="0F401F15" w14:textId="77777777" w:rsidR="009D7642" w:rsidRDefault="009D7642" w:rsidP="009D7642">
            <w:pPr>
              <w:jc w:val="both"/>
              <w:rPr>
                <w:sz w:val="24"/>
                <w:szCs w:val="24"/>
              </w:rPr>
            </w:pPr>
            <w:r w:rsidRPr="008007B2">
              <w:rPr>
                <w:sz w:val="24"/>
                <w:szCs w:val="24"/>
              </w:rPr>
              <w:t>Safeguarding children within Wales is primarily governed by the Social Services and Well-being (Wales) Act 2014, which places duties on local authorities to promote wellbeing, provide preventative services and assess individuals who appear to require care and support. Unlike England, where Section 17 of the Children Act 1989 remains the primary framework for assessing children in need, Wales introduced a distinct legislative framework through Parts 3 and 4 of the Social Services and Well-being (Wales) Act 2014. This places greater emphasis on wellbeing, prevention and strengths-based practice.</w:t>
            </w:r>
          </w:p>
          <w:p w14:paraId="1A56FACF" w14:textId="77777777" w:rsidR="008007B2" w:rsidRPr="008007B2" w:rsidRDefault="008007B2" w:rsidP="009D7642">
            <w:pPr>
              <w:jc w:val="both"/>
              <w:rPr>
                <w:b/>
                <w:bCs/>
                <w:sz w:val="24"/>
                <w:szCs w:val="24"/>
              </w:rPr>
            </w:pPr>
          </w:p>
          <w:p w14:paraId="29F52ED7" w14:textId="77777777" w:rsidR="009D7642" w:rsidRDefault="009D7642" w:rsidP="009D7642">
            <w:pPr>
              <w:jc w:val="both"/>
              <w:rPr>
                <w:sz w:val="24"/>
                <w:szCs w:val="24"/>
              </w:rPr>
            </w:pPr>
            <w:r w:rsidRPr="008007B2">
              <w:rPr>
                <w:sz w:val="24"/>
                <w:szCs w:val="24"/>
              </w:rPr>
              <w:t>The assessment of the young person's needs was therefore completed under the Welsh legal framework. However, the Children Act 1989 remained relevant when considering safeguarding thresholds and whether concerns had escalated to a level requiring Child Protection intervention. Section 47 of the Children Act 1989 places a duty on local authorities to investigate where there is reasonable cause to suspect a child is suffering, or likely to suffer, significant harm.</w:t>
            </w:r>
          </w:p>
          <w:p w14:paraId="6399507B" w14:textId="77777777" w:rsidR="008007B2" w:rsidRPr="008007B2" w:rsidRDefault="008007B2" w:rsidP="009D7642">
            <w:pPr>
              <w:jc w:val="both"/>
              <w:rPr>
                <w:sz w:val="24"/>
                <w:szCs w:val="24"/>
              </w:rPr>
            </w:pPr>
          </w:p>
          <w:p w14:paraId="3E12A926" w14:textId="77777777" w:rsidR="009D7642" w:rsidRDefault="009D7642" w:rsidP="009D7642">
            <w:pPr>
              <w:jc w:val="both"/>
              <w:rPr>
                <w:sz w:val="24"/>
                <w:szCs w:val="24"/>
              </w:rPr>
            </w:pPr>
            <w:r w:rsidRPr="008007B2">
              <w:rPr>
                <w:sz w:val="24"/>
                <w:szCs w:val="24"/>
              </w:rPr>
              <w:t>The Wales Safeguarding Procedures (2019) provide a national framework for safeguarding practice and emphasise the importance of information sharing, professional curiosity and collaborative working. Munro (2011) highlights the importance of professional curiosity when working with complex safeguarding concerns, particularly where risks may be developing or hidden. This was relevant throughout the assessment due to the range of concerns identified and the involvement of multiple agencies.</w:t>
            </w:r>
          </w:p>
          <w:p w14:paraId="3174F220" w14:textId="77777777" w:rsidR="008007B2" w:rsidRPr="008007B2" w:rsidRDefault="008007B2" w:rsidP="009D7642">
            <w:pPr>
              <w:jc w:val="both"/>
              <w:rPr>
                <w:sz w:val="24"/>
                <w:szCs w:val="24"/>
              </w:rPr>
            </w:pPr>
          </w:p>
          <w:p w14:paraId="6CEFF5BD" w14:textId="77777777" w:rsidR="009D7642" w:rsidRDefault="009D7642" w:rsidP="009D7642">
            <w:pPr>
              <w:jc w:val="both"/>
              <w:rPr>
                <w:sz w:val="24"/>
                <w:szCs w:val="24"/>
              </w:rPr>
            </w:pPr>
            <w:r w:rsidRPr="008007B2">
              <w:rPr>
                <w:sz w:val="24"/>
                <w:szCs w:val="24"/>
              </w:rPr>
              <w:t>The Counter terrorism and Security Act 2015 was also an important consideration. The Prevent Duty places responsibilities on professionals to identify children and young people who may be vulnerable to being drawn into extremism or terrorism (HM Government, 2023). Safeguarding guidance recognises radicalisation as a safeguarding concern requiring early intervention and multi-agency support rather than solely a criminal justice response.</w:t>
            </w:r>
          </w:p>
          <w:p w14:paraId="4431CB90" w14:textId="77777777" w:rsidR="008007B2" w:rsidRPr="008007B2" w:rsidRDefault="008007B2" w:rsidP="009D7642">
            <w:pPr>
              <w:jc w:val="both"/>
              <w:rPr>
                <w:sz w:val="24"/>
                <w:szCs w:val="24"/>
              </w:rPr>
            </w:pPr>
          </w:p>
          <w:p w14:paraId="4CB332D2" w14:textId="77777777" w:rsidR="009D7642" w:rsidRPr="008007B2" w:rsidRDefault="009D7642" w:rsidP="009D7642">
            <w:pPr>
              <w:jc w:val="both"/>
              <w:rPr>
                <w:sz w:val="24"/>
                <w:szCs w:val="24"/>
              </w:rPr>
            </w:pPr>
            <w:r w:rsidRPr="008007B2">
              <w:rPr>
                <w:sz w:val="24"/>
                <w:szCs w:val="24"/>
              </w:rPr>
              <w:t>The Human Rights Act 1998 and United Nations Convention on the Rights of the Child (1989) also informed my practice. Article 8 of the Human Rights Act protects the right to private and family life, whilst Articles 12 and 19 of the UNCRC emphasise children’s rights to participation and protection from harm. These principles were considered throughout assessment and decision-making to ensure that intervention was both proportionate and child centred.</w:t>
            </w:r>
          </w:p>
          <w:p w14:paraId="11B17025" w14:textId="77777777" w:rsidR="009D7642" w:rsidRDefault="009D7642" w:rsidP="009D7642">
            <w:pPr>
              <w:spacing w:line="278" w:lineRule="auto"/>
              <w:jc w:val="both"/>
              <w:rPr>
                <w:sz w:val="24"/>
                <w:szCs w:val="24"/>
              </w:rPr>
            </w:pPr>
            <w:r w:rsidRPr="008007B2">
              <w:rPr>
                <w:sz w:val="24"/>
                <w:szCs w:val="24"/>
              </w:rPr>
              <w:lastRenderedPageBreak/>
              <w:t xml:space="preserve">The Well-being of Future Generations (Wales) Act 2015 promotes collaborative and preventative approaches. In line with </w:t>
            </w:r>
            <w:r w:rsidRPr="008007B2">
              <w:rPr>
                <w:i/>
                <w:iCs/>
                <w:sz w:val="24"/>
                <w:szCs w:val="24"/>
              </w:rPr>
              <w:t>More Than Just Words</w:t>
            </w:r>
            <w:r w:rsidRPr="008007B2">
              <w:rPr>
                <w:sz w:val="24"/>
                <w:szCs w:val="24"/>
              </w:rPr>
              <w:t xml:space="preserve"> (Welsh Government, 2022), language preference was considered throughout the assessment, although the young person and Special Guardian chose to communicate in English. However, the Welsh context extended beyond language alone. Social workers in Wales must also consider the impact of culture, identity, community and access to services on wellbeing and outcomes.</w:t>
            </w:r>
          </w:p>
          <w:p w14:paraId="574472CD" w14:textId="77777777" w:rsidR="008007B2" w:rsidRPr="008007B2" w:rsidRDefault="008007B2" w:rsidP="009D7642">
            <w:pPr>
              <w:spacing w:line="278" w:lineRule="auto"/>
              <w:jc w:val="both"/>
              <w:rPr>
                <w:sz w:val="24"/>
                <w:szCs w:val="24"/>
              </w:rPr>
            </w:pPr>
          </w:p>
          <w:p w14:paraId="5F27E45A" w14:textId="77777777" w:rsidR="009D7642" w:rsidRPr="008007B2" w:rsidRDefault="009D7642" w:rsidP="009D7642">
            <w:pPr>
              <w:spacing w:after="160" w:line="278" w:lineRule="auto"/>
              <w:jc w:val="both"/>
              <w:rPr>
                <w:sz w:val="24"/>
                <w:szCs w:val="24"/>
              </w:rPr>
            </w:pPr>
            <w:r w:rsidRPr="008007B2">
              <w:rPr>
                <w:sz w:val="24"/>
                <w:szCs w:val="24"/>
              </w:rPr>
              <w:t>The young person lived within a rural Welsh community where access to specialist services was limited. This was particularly relevant given his diagnosis of FASD, suspected ASD traits and complex safeguarding needs. Whilst support was available, specialist provision often required coordination across agencies and geographical areas. Educational disengagement further increased social isolation and reduced opportunities for positive peer relationships. The Special Guardian was managing significant caring responsibilities whilst navigating multiple professional systems. This highlighted how rurality, service availability and wider societal pressures could influence family resilience and outcomes. Considering these broader influences helped me avoid viewing risk solely as the result of individual behaviour and instead understand it within the wider social context, consistent with anti-oppressive and strengths-based practice.</w:t>
            </w:r>
          </w:p>
          <w:p w14:paraId="18703148" w14:textId="77777777" w:rsidR="009D7642" w:rsidRPr="008007B2" w:rsidRDefault="009D7642" w:rsidP="009D7642">
            <w:pPr>
              <w:spacing w:after="160" w:line="278" w:lineRule="auto"/>
              <w:jc w:val="both"/>
              <w:rPr>
                <w:sz w:val="24"/>
                <w:szCs w:val="24"/>
              </w:rPr>
            </w:pPr>
            <w:r w:rsidRPr="008007B2">
              <w:rPr>
                <w:sz w:val="24"/>
                <w:szCs w:val="24"/>
              </w:rPr>
              <w:t>This case also demonstrated the interface between safeguarding systems within Wales, the wider United Kingdom and international frameworks. Historical information was required from a previous Local Authority outside Wales to fully understand the young person's experiences and safeguarding history. Department for Education (2024) guidance highlights that effective information sharing is essential when safeguarding children and should not be restricted by organisational or geographical boundaries.</w:t>
            </w:r>
          </w:p>
          <w:p w14:paraId="231F4FCE" w14:textId="77777777" w:rsidR="009D7642" w:rsidRPr="008007B2" w:rsidRDefault="009D7642" w:rsidP="009D7642">
            <w:pPr>
              <w:spacing w:after="160" w:line="278" w:lineRule="auto"/>
              <w:jc w:val="both"/>
              <w:rPr>
                <w:sz w:val="24"/>
                <w:szCs w:val="24"/>
              </w:rPr>
            </w:pPr>
            <w:r w:rsidRPr="008007B2">
              <w:rPr>
                <w:sz w:val="24"/>
                <w:szCs w:val="24"/>
              </w:rPr>
              <w:t>Whilst safeguarding practice in Wales is underpinned by Welsh legislation and procedures, international frameworks also offer valuable learning. The International Federation of Social Workers (IFSW) promotes rights-based, strengths-based and relationship-centred practice, while approaches such as Family Group Conferencing in New Zealand emphasise family involvement, cultural identity and shared decision-making. Despite differences in statutory systems, these approaches share common principles of promoting safety, strengthening relationships and building on family strengths. This reinforced the importance of balancing risk management with partnership working and ensuring interventions remain proportionate and centred on the young person's wellbeing.</w:t>
            </w:r>
          </w:p>
          <w:p w14:paraId="0345519B" w14:textId="77777777" w:rsidR="009D7642" w:rsidRPr="008007B2" w:rsidRDefault="009D7642" w:rsidP="009D7642">
            <w:pPr>
              <w:spacing w:after="160" w:line="278" w:lineRule="auto"/>
              <w:jc w:val="both"/>
              <w:rPr>
                <w:sz w:val="24"/>
                <w:szCs w:val="24"/>
              </w:rPr>
            </w:pPr>
            <w:r w:rsidRPr="008007B2">
              <w:rPr>
                <w:sz w:val="24"/>
                <w:szCs w:val="24"/>
              </w:rPr>
              <w:t>Reflecting on the legislative framework underpinning this case emphasised that legislation alone does not determine outcomes. Effective safeguarding required me to apply legal duties alongside assessment, analysis and professional judgement when responding to the young person's complex needs.</w:t>
            </w:r>
          </w:p>
          <w:p w14:paraId="15584A87" w14:textId="77777777" w:rsidR="009D7642" w:rsidRPr="008007B2" w:rsidRDefault="009D7642" w:rsidP="009D7642">
            <w:pPr>
              <w:jc w:val="both"/>
              <w:rPr>
                <w:sz w:val="24"/>
                <w:szCs w:val="24"/>
              </w:rPr>
            </w:pPr>
            <w:r w:rsidRPr="008007B2">
              <w:rPr>
                <w:sz w:val="24"/>
                <w:szCs w:val="24"/>
              </w:rPr>
              <w:lastRenderedPageBreak/>
              <w:t>One of the most significant aspects of this assessment was understanding the interaction between the young person's history, current presentation and future risks. Whilst concerns such as educational disengagement, online activity and aggression could have been considered separately, I felt it was important to complete a holistic assessment that explored how these factors interacted with one another. The Social Services and Well-being (Wales) Act 2014 promotes a strengths-based approach to assessment and requires practitioners to consider the child's wider wellbeing rather than focusing solely on presenting difficulties.</w:t>
            </w:r>
          </w:p>
          <w:p w14:paraId="772FDEC1" w14:textId="77777777" w:rsidR="009D7642" w:rsidRDefault="009D7642" w:rsidP="009D7642">
            <w:pPr>
              <w:jc w:val="both"/>
              <w:rPr>
                <w:sz w:val="24"/>
                <w:szCs w:val="24"/>
              </w:rPr>
            </w:pPr>
            <w:r w:rsidRPr="008007B2">
              <w:rPr>
                <w:sz w:val="24"/>
                <w:szCs w:val="24"/>
              </w:rPr>
              <w:t>The assessment process involved gathering information from a range of sources, including the young person, the Special Guardian, CAMHS, specialist education provision, respite carers, Prevent, Channel, Counter Terrorism Policing and Children's Services records. In addition, attempts were made to gather information from the previous Local Authority that had responsibility for the young person during his time in care. Whilst this information was not initially provided despite repeated requests, the matter was escalated internally due to concerns that historical information was essential in understanding the young person's experiences and current presentation.</w:t>
            </w:r>
          </w:p>
          <w:p w14:paraId="10576E82" w14:textId="77777777" w:rsidR="008007B2" w:rsidRPr="008007B2" w:rsidRDefault="008007B2" w:rsidP="009D7642">
            <w:pPr>
              <w:jc w:val="both"/>
              <w:rPr>
                <w:sz w:val="24"/>
                <w:szCs w:val="24"/>
              </w:rPr>
            </w:pPr>
          </w:p>
          <w:p w14:paraId="02818E6C" w14:textId="77777777" w:rsidR="009D7642" w:rsidRDefault="009D7642" w:rsidP="009D7642">
            <w:pPr>
              <w:jc w:val="both"/>
              <w:rPr>
                <w:sz w:val="24"/>
                <w:szCs w:val="24"/>
              </w:rPr>
            </w:pPr>
            <w:r w:rsidRPr="008007B2">
              <w:rPr>
                <w:sz w:val="24"/>
                <w:szCs w:val="24"/>
              </w:rPr>
              <w:t>A significant challenge within the assessment was balancing historical experiences alongside current risk. It would have been easy to focus entirely on recent incidents and online concerns; however, I felt this would not have provided a complete picture. Research relating to Adverse Childhood Experiences (ACEs) highlights the significant impact that abuse, neglect and household adversity can have on emotional regulation, behaviour and decision-making throughout childhood and adolescence (Bellis et al., 2015). Given the young person's history of neglect, emotional abuse and physical abuse, I felt it was important to consider whether some of the behaviours being displayed could be understood as a response to trauma rather than simply oppositional behaviour.</w:t>
            </w:r>
          </w:p>
          <w:p w14:paraId="30F7CE83" w14:textId="77777777" w:rsidR="008007B2" w:rsidRPr="008007B2" w:rsidRDefault="008007B2" w:rsidP="009D7642">
            <w:pPr>
              <w:jc w:val="both"/>
              <w:rPr>
                <w:sz w:val="24"/>
                <w:szCs w:val="24"/>
              </w:rPr>
            </w:pPr>
          </w:p>
          <w:p w14:paraId="3F4185E6" w14:textId="77777777" w:rsidR="009D7642" w:rsidRDefault="009D7642" w:rsidP="009D7642">
            <w:pPr>
              <w:jc w:val="both"/>
              <w:rPr>
                <w:sz w:val="24"/>
                <w:szCs w:val="24"/>
              </w:rPr>
            </w:pPr>
            <w:r w:rsidRPr="008007B2">
              <w:rPr>
                <w:sz w:val="24"/>
                <w:szCs w:val="24"/>
              </w:rPr>
              <w:t>Attachment Theory (Bowlby, 1969) provided a useful framework when considering the young person's relationships with adults. Earlier experiences of neglect, abuse and placement disruption appeared to affect trust, emotional regulation and relationships. At times the young person demonstrated strong attachment to the Special Guardian, whilst at other times presenting as dismissive and controlling. This suggested that earlier trauma continued to influence his emotional responses and relationships.</w:t>
            </w:r>
          </w:p>
          <w:p w14:paraId="5B71AD12" w14:textId="77777777" w:rsidR="008007B2" w:rsidRPr="008007B2" w:rsidRDefault="008007B2" w:rsidP="009D7642">
            <w:pPr>
              <w:jc w:val="both"/>
              <w:rPr>
                <w:sz w:val="24"/>
                <w:szCs w:val="24"/>
              </w:rPr>
            </w:pPr>
          </w:p>
          <w:p w14:paraId="4FBA9908" w14:textId="77777777" w:rsidR="009D7642" w:rsidRDefault="009D7642" w:rsidP="009D7642">
            <w:pPr>
              <w:jc w:val="both"/>
              <w:rPr>
                <w:sz w:val="24"/>
                <w:szCs w:val="24"/>
              </w:rPr>
            </w:pPr>
            <w:r w:rsidRPr="008007B2">
              <w:rPr>
                <w:sz w:val="24"/>
                <w:szCs w:val="24"/>
              </w:rPr>
              <w:t>An important factor throughout the assessment was the young person's diagnosis of FASD and concerns expressed by professionals regarding possible ASD traits. This created additional complexity when analysing risk and behaviour. Mukherjee, Hollins and Turk (2006) identify that FASD can affect executive functioning, emotional regulation, impulse control and social understanding. Similarly, ASD can affect communication, flexibility of thinking, sensory processing and social interaction. As a result, I had to carefully consider whether behaviours were the result of deliberate risk-taking, developmental trauma, neurodevelopmental needs or a combination of all three.</w:t>
            </w:r>
          </w:p>
          <w:p w14:paraId="09D693AC" w14:textId="77777777" w:rsidR="008007B2" w:rsidRPr="008007B2" w:rsidRDefault="008007B2" w:rsidP="009D7642">
            <w:pPr>
              <w:jc w:val="both"/>
              <w:rPr>
                <w:sz w:val="24"/>
                <w:szCs w:val="24"/>
              </w:rPr>
            </w:pPr>
          </w:p>
          <w:p w14:paraId="448D9588" w14:textId="77777777" w:rsidR="009D7642" w:rsidRPr="008007B2" w:rsidRDefault="009D7642" w:rsidP="009D7642">
            <w:pPr>
              <w:jc w:val="both"/>
              <w:rPr>
                <w:sz w:val="24"/>
                <w:szCs w:val="24"/>
              </w:rPr>
            </w:pPr>
            <w:r w:rsidRPr="008007B2">
              <w:rPr>
                <w:sz w:val="24"/>
                <w:szCs w:val="24"/>
              </w:rPr>
              <w:t xml:space="preserve">An example of this was the young person's online activity. Concerns had been raised regarding access to extremist right-wing material, racist content, graphic videos of self-harm and suicide, and involvement in online Discord groups. While these behaviours may initially have suggested radicalisation, a holistic assessment encouraged consideration of wider </w:t>
            </w:r>
            <w:r w:rsidRPr="008007B2">
              <w:rPr>
                <w:sz w:val="24"/>
                <w:szCs w:val="24"/>
              </w:rPr>
              <w:lastRenderedPageBreak/>
              <w:t>factors. The young person's social isolation, disengagement from education, FASD diagnosis and suspected ASD traits appeared to increase his vulnerability to harmful online influences and affect his understanding of risk. It was therefore important not to view the concerns solely through the lens of radicalisation, as this would have overlooked his wider vulnerabilities.</w:t>
            </w:r>
          </w:p>
          <w:p w14:paraId="06AE6324" w14:textId="77777777" w:rsidR="009D7642" w:rsidRDefault="009D7642" w:rsidP="009D7642">
            <w:pPr>
              <w:jc w:val="both"/>
              <w:rPr>
                <w:sz w:val="24"/>
                <w:szCs w:val="24"/>
              </w:rPr>
            </w:pPr>
            <w:r w:rsidRPr="008007B2">
              <w:rPr>
                <w:sz w:val="24"/>
                <w:szCs w:val="24"/>
              </w:rPr>
              <w:t>Bronfenbrenner's Ecological Systems Theory (1979) helped me understand how difficulties within the home, education, online environments and professional systems interacted to influence the young person's experiences and vulnerabilities.</w:t>
            </w:r>
          </w:p>
          <w:p w14:paraId="01A03255" w14:textId="77777777" w:rsidR="008007B2" w:rsidRPr="008007B2" w:rsidRDefault="008007B2" w:rsidP="009D7642">
            <w:pPr>
              <w:jc w:val="both"/>
              <w:rPr>
                <w:sz w:val="24"/>
                <w:szCs w:val="24"/>
              </w:rPr>
            </w:pPr>
          </w:p>
          <w:p w14:paraId="6B1E22A9" w14:textId="77777777" w:rsidR="009D7642" w:rsidRDefault="009D7642" w:rsidP="009D7642">
            <w:pPr>
              <w:jc w:val="both"/>
              <w:rPr>
                <w:sz w:val="24"/>
                <w:szCs w:val="24"/>
              </w:rPr>
            </w:pPr>
            <w:r w:rsidRPr="008007B2">
              <w:rPr>
                <w:sz w:val="24"/>
                <w:szCs w:val="24"/>
              </w:rPr>
              <w:t>The young person's lack of engagement with education was particularly concerning, as he had not attended since October despite specialist provision remaining available. Within a rural area where specialist opportunities were already limited, prolonged disengagement risked increasing social isolation and reducing access to supportive networks. This increased social isolation and reduced opportunities for positive peer interaction, potentially increasing vulnerability to harmful online influences. Despite continued attempts by educational professionals to engage him, progress remained limited.</w:t>
            </w:r>
          </w:p>
          <w:p w14:paraId="14785D6C" w14:textId="77777777" w:rsidR="008007B2" w:rsidRPr="008007B2" w:rsidRDefault="008007B2" w:rsidP="009D7642">
            <w:pPr>
              <w:jc w:val="both"/>
              <w:rPr>
                <w:sz w:val="24"/>
                <w:szCs w:val="24"/>
              </w:rPr>
            </w:pPr>
          </w:p>
          <w:p w14:paraId="7E248B47" w14:textId="77777777" w:rsidR="009D7642" w:rsidRDefault="009D7642" w:rsidP="009D7642">
            <w:pPr>
              <w:jc w:val="both"/>
              <w:rPr>
                <w:sz w:val="24"/>
                <w:szCs w:val="24"/>
              </w:rPr>
            </w:pPr>
            <w:r w:rsidRPr="008007B2">
              <w:rPr>
                <w:sz w:val="24"/>
                <w:szCs w:val="24"/>
              </w:rPr>
              <w:t>Fire-setting behaviour required careful assessment. Rather than focusing solely on the behaviour, trauma-informed practice encouraged consideration of whether it reflected emotional dysregulation, impulsivity or unmet needs (Harris and Fallot, 2001).</w:t>
            </w:r>
          </w:p>
          <w:p w14:paraId="138C9210" w14:textId="77777777" w:rsidR="008007B2" w:rsidRPr="008007B2" w:rsidRDefault="008007B2" w:rsidP="009D7642">
            <w:pPr>
              <w:jc w:val="both"/>
              <w:rPr>
                <w:sz w:val="24"/>
                <w:szCs w:val="24"/>
              </w:rPr>
            </w:pPr>
          </w:p>
          <w:p w14:paraId="5B00138F" w14:textId="77777777" w:rsidR="009D7642" w:rsidRDefault="009D7642" w:rsidP="009D7642">
            <w:pPr>
              <w:jc w:val="both"/>
              <w:rPr>
                <w:sz w:val="24"/>
                <w:szCs w:val="24"/>
              </w:rPr>
            </w:pPr>
            <w:r w:rsidRPr="008007B2">
              <w:rPr>
                <w:sz w:val="24"/>
                <w:szCs w:val="24"/>
              </w:rPr>
              <w:t>Information from respite carers and the Special Guardian consistently demonstrated that the young person responded positively to routine, clear boundaries and predictable expectations. This became a key protective factor within the assessment and suggested that, with appropriate support, he could regulate his behaviour more effectively.</w:t>
            </w:r>
          </w:p>
          <w:p w14:paraId="3F35BFBE" w14:textId="77777777" w:rsidR="008007B2" w:rsidRPr="008007B2" w:rsidRDefault="008007B2" w:rsidP="009D7642">
            <w:pPr>
              <w:jc w:val="both"/>
              <w:rPr>
                <w:sz w:val="24"/>
                <w:szCs w:val="24"/>
              </w:rPr>
            </w:pPr>
          </w:p>
          <w:p w14:paraId="2CFB3D07" w14:textId="77777777" w:rsidR="009D7642" w:rsidRDefault="009D7642" w:rsidP="009D7642">
            <w:pPr>
              <w:jc w:val="both"/>
              <w:rPr>
                <w:sz w:val="24"/>
                <w:szCs w:val="24"/>
              </w:rPr>
            </w:pPr>
            <w:r w:rsidRPr="008007B2">
              <w:rPr>
                <w:sz w:val="24"/>
                <w:szCs w:val="24"/>
              </w:rPr>
              <w:t xml:space="preserve">Signs of Safety principles also informed my thinking throughout the assessment. Turnell and Edwards (1999) emphasise the importance of considering danger, strengths and safety when assessing risk. Whilst significant concerns existed, there were also several strengths. The Special Guardian remained committed to caring for the young person despite considerable challenges. Multi-agency support was established and consistently reviewed. Formal respite remained available and the young person demonstrated positive engagement within those settings. In addition, opportunities for intervention existed through Prevent, Channel and Counter Terrorism Policing. </w:t>
            </w:r>
          </w:p>
          <w:p w14:paraId="5DA8A382" w14:textId="77777777" w:rsidR="00B03700" w:rsidRPr="008007B2" w:rsidRDefault="00B03700" w:rsidP="009D7642">
            <w:pPr>
              <w:jc w:val="both"/>
              <w:rPr>
                <w:sz w:val="24"/>
                <w:szCs w:val="24"/>
              </w:rPr>
            </w:pPr>
          </w:p>
          <w:p w14:paraId="3D60F47C" w14:textId="77777777" w:rsidR="009D7642" w:rsidRDefault="009D7642" w:rsidP="009D7642">
            <w:pPr>
              <w:jc w:val="both"/>
              <w:rPr>
                <w:sz w:val="24"/>
                <w:szCs w:val="24"/>
              </w:rPr>
            </w:pPr>
            <w:r w:rsidRPr="008007B2">
              <w:rPr>
                <w:sz w:val="24"/>
                <w:szCs w:val="24"/>
              </w:rPr>
              <w:t>One of the most important aspects of professional judgement involved determining whether concerns warranted escalation to Child Protection procedures. During the assessment, consideration was given to whether the combination of risks, including aggressive behaviour, online harms, educational disengagement and placement instability, indicated that the young person was suffering or likely to suffer significant harm. However, I concluded that there were sufficient protective factors in place to manage risks safely. The Special Guardian remained highly engaged, professional networks were robust and there was evidence of collaborative intervention. Consequently, I concluded that a voluntary Care and Support Plan was the most proportionate response.</w:t>
            </w:r>
          </w:p>
          <w:p w14:paraId="69679721" w14:textId="77777777" w:rsidR="00B03700" w:rsidRPr="008007B2" w:rsidRDefault="00B03700" w:rsidP="009D7642">
            <w:pPr>
              <w:jc w:val="both"/>
              <w:rPr>
                <w:sz w:val="24"/>
                <w:szCs w:val="24"/>
              </w:rPr>
            </w:pPr>
          </w:p>
          <w:p w14:paraId="4B9002B3" w14:textId="77777777" w:rsidR="009D7642" w:rsidRDefault="009D7642" w:rsidP="009D7642">
            <w:pPr>
              <w:jc w:val="both"/>
              <w:rPr>
                <w:sz w:val="24"/>
                <w:szCs w:val="24"/>
              </w:rPr>
            </w:pPr>
            <w:r w:rsidRPr="008007B2">
              <w:rPr>
                <w:sz w:val="24"/>
                <w:szCs w:val="24"/>
              </w:rPr>
              <w:t xml:space="preserve">Based on all the information gathered throughout the assessment, I recommended that the young person be opened to Children's Services under a voluntary Care and Support Plan. It </w:t>
            </w:r>
            <w:r w:rsidRPr="008007B2">
              <w:rPr>
                <w:sz w:val="24"/>
                <w:szCs w:val="24"/>
              </w:rPr>
              <w:lastRenderedPageBreak/>
              <w:t>was evident that he continued to struggle with emotional regulation, engagement with professionals, behaviour management and safe decision-making. Equally, the assessment demonstrated that he responded positively to structured environments and that his Special Guardian remained committed to working alongside professionals. The proposed Care and Support Plan would therefore provide a coordinated framework to monitor risks, strengthen protective factors and support the young person's emotional, educational and social development.</w:t>
            </w:r>
          </w:p>
          <w:p w14:paraId="7ECBD430" w14:textId="77777777" w:rsidR="00B03700" w:rsidRPr="008007B2" w:rsidRDefault="00B03700" w:rsidP="009D7642">
            <w:pPr>
              <w:jc w:val="both"/>
              <w:rPr>
                <w:sz w:val="24"/>
                <w:szCs w:val="24"/>
              </w:rPr>
            </w:pPr>
          </w:p>
          <w:p w14:paraId="6EC47C12" w14:textId="77777777" w:rsidR="009D7642" w:rsidRPr="008007B2" w:rsidRDefault="009D7642" w:rsidP="009D7642">
            <w:pPr>
              <w:jc w:val="both"/>
              <w:rPr>
                <w:sz w:val="24"/>
                <w:szCs w:val="24"/>
              </w:rPr>
            </w:pPr>
            <w:r w:rsidRPr="008007B2">
              <w:rPr>
                <w:sz w:val="24"/>
                <w:szCs w:val="24"/>
              </w:rPr>
              <w:t>Reflecting on the assessment process, I recognised the importance of avoiding single-factor explanations for behaviour. Through supervision, multi-agency discussions and ongoing assessment, I developed a greater understanding of how trauma, neurodevelopmental needs, educational disengagement and social isolation interacted to create a complex safeguarding picture. This highlighted the importance of holistic assessment and professional curiosity.</w:t>
            </w:r>
          </w:p>
          <w:p w14:paraId="02D89FBA" w14:textId="77777777" w:rsidR="009D7642" w:rsidRDefault="009D7642" w:rsidP="009D7642">
            <w:pPr>
              <w:jc w:val="both"/>
              <w:rPr>
                <w:sz w:val="24"/>
                <w:szCs w:val="24"/>
              </w:rPr>
            </w:pPr>
            <w:r w:rsidRPr="008007B2">
              <w:rPr>
                <w:sz w:val="24"/>
                <w:szCs w:val="24"/>
              </w:rPr>
              <w:t>Collaborative working was central throughout this assessment and was essential in gaining a full understanding of the young person's needs, strengths and risks. The Social Services and Well-being (Wales) Act 2014 emphasises the importance of partnership working and recognises that positive outcomes are most likely to be achieved when professionals work together alongside families rather than in isolation. Reflecting on this case, it quickly became apparent that no single agency held all the information required to fully understand the young person's circumstances.</w:t>
            </w:r>
          </w:p>
          <w:p w14:paraId="249C99C8" w14:textId="77777777" w:rsidR="00B03700" w:rsidRPr="008007B2" w:rsidRDefault="00B03700" w:rsidP="009D7642">
            <w:pPr>
              <w:jc w:val="both"/>
              <w:rPr>
                <w:sz w:val="24"/>
                <w:szCs w:val="24"/>
              </w:rPr>
            </w:pPr>
          </w:p>
          <w:p w14:paraId="4B744650" w14:textId="6D405092" w:rsidR="009D7642" w:rsidRDefault="009D7642" w:rsidP="009D7642">
            <w:pPr>
              <w:jc w:val="both"/>
              <w:rPr>
                <w:sz w:val="24"/>
                <w:szCs w:val="24"/>
              </w:rPr>
            </w:pPr>
            <w:r w:rsidRPr="008007B2">
              <w:rPr>
                <w:sz w:val="24"/>
                <w:szCs w:val="24"/>
              </w:rPr>
              <w:t xml:space="preserve">At the point the assessment commenced, </w:t>
            </w:r>
            <w:r w:rsidR="00B03700" w:rsidRPr="008007B2">
              <w:rPr>
                <w:sz w:val="24"/>
                <w:szCs w:val="24"/>
              </w:rPr>
              <w:t>a few</w:t>
            </w:r>
            <w:r w:rsidRPr="008007B2">
              <w:rPr>
                <w:sz w:val="24"/>
                <w:szCs w:val="24"/>
              </w:rPr>
              <w:t xml:space="preserve"> professionals were already involved. These included CAMHS, specialist education provision, respite carers and Children's Services. As concerns regarding online activity escalated, Prevent and Counter Terrorism Policing also became involved. This widened the professional network significantly and increased the importance of effective communication and information sharing.</w:t>
            </w:r>
          </w:p>
          <w:p w14:paraId="12B75750" w14:textId="77777777" w:rsidR="00B03700" w:rsidRPr="008007B2" w:rsidRDefault="00B03700" w:rsidP="009D7642">
            <w:pPr>
              <w:jc w:val="both"/>
              <w:rPr>
                <w:sz w:val="24"/>
                <w:szCs w:val="24"/>
              </w:rPr>
            </w:pPr>
          </w:p>
          <w:p w14:paraId="46BA3731" w14:textId="161CE72A" w:rsidR="009D7642" w:rsidRDefault="009D7642" w:rsidP="009D7642">
            <w:pPr>
              <w:jc w:val="both"/>
              <w:rPr>
                <w:sz w:val="24"/>
                <w:szCs w:val="24"/>
              </w:rPr>
            </w:pPr>
            <w:r w:rsidRPr="008007B2">
              <w:rPr>
                <w:sz w:val="24"/>
                <w:szCs w:val="24"/>
              </w:rPr>
              <w:t xml:space="preserve">One of the first challenges was obtaining historical information from the previous Local Authority. As the young person had been looked after since age five, this information was essential to understanding the impact of neglect, abuse and past interventions. Despite repeated requests, information was initially unavailable. Through supervision and management discussions, the issue was escalated to ensure all efforts had been made to obtain it. The importance of professional curiosity </w:t>
            </w:r>
            <w:r w:rsidR="00B03700" w:rsidRPr="008007B2">
              <w:rPr>
                <w:sz w:val="24"/>
                <w:szCs w:val="24"/>
              </w:rPr>
              <w:t>became more</w:t>
            </w:r>
            <w:r w:rsidRPr="008007B2">
              <w:rPr>
                <w:sz w:val="24"/>
                <w:szCs w:val="24"/>
              </w:rPr>
              <w:t xml:space="preserve"> apparent, with Munro (2011) highlighting the need for practitioners to continue seeking information where gaps may affect assessment and decision-making.</w:t>
            </w:r>
          </w:p>
          <w:p w14:paraId="5339F90E" w14:textId="77777777" w:rsidR="00B03700" w:rsidRPr="008007B2" w:rsidRDefault="00B03700" w:rsidP="009D7642">
            <w:pPr>
              <w:jc w:val="both"/>
              <w:rPr>
                <w:sz w:val="24"/>
                <w:szCs w:val="24"/>
              </w:rPr>
            </w:pPr>
          </w:p>
          <w:p w14:paraId="70E43242" w14:textId="77777777" w:rsidR="009D7642" w:rsidRDefault="009D7642" w:rsidP="009D7642">
            <w:pPr>
              <w:jc w:val="both"/>
              <w:rPr>
                <w:sz w:val="24"/>
                <w:szCs w:val="24"/>
              </w:rPr>
            </w:pPr>
            <w:r w:rsidRPr="008007B2">
              <w:rPr>
                <w:sz w:val="24"/>
                <w:szCs w:val="24"/>
              </w:rPr>
              <w:t xml:space="preserve">Whilst historical information was important, much of my understanding developed through direct work and ongoing conversations with professionals currently involved. Regular Care and Support Plan reviews, Channel meetings and informal multi-disciplinary discussions enabled information to be shared effectively. </w:t>
            </w:r>
          </w:p>
          <w:p w14:paraId="1E10832F" w14:textId="77777777" w:rsidR="00B03700" w:rsidRPr="008007B2" w:rsidRDefault="00B03700" w:rsidP="009D7642">
            <w:pPr>
              <w:jc w:val="both"/>
              <w:rPr>
                <w:sz w:val="24"/>
                <w:szCs w:val="24"/>
              </w:rPr>
            </w:pPr>
          </w:p>
          <w:p w14:paraId="7D68F78C" w14:textId="4CFC30C1" w:rsidR="009D7642" w:rsidRDefault="009D7642" w:rsidP="009D7642">
            <w:pPr>
              <w:jc w:val="both"/>
              <w:rPr>
                <w:sz w:val="24"/>
                <w:szCs w:val="24"/>
              </w:rPr>
            </w:pPr>
            <w:r w:rsidRPr="008007B2">
              <w:rPr>
                <w:sz w:val="24"/>
                <w:szCs w:val="24"/>
              </w:rPr>
              <w:t xml:space="preserve">The involvement of Counter Terrorism Policing initially felt outside my usual area of practice. Prior to this case, I had limited direct experience of Prevent and Channel processes. Reflecting on this, I recognised some anxiety regarding my own knowledge and confidence when discussing radicalisation. However, joint working with specialist professionals increased my understanding and confidence significantly. The Prevent Duty recognises that vulnerability </w:t>
            </w:r>
            <w:r w:rsidRPr="008007B2">
              <w:rPr>
                <w:sz w:val="24"/>
                <w:szCs w:val="24"/>
              </w:rPr>
              <w:lastRenderedPageBreak/>
              <w:t>to radicalisation should be viewed as a safeguarding concern and not solely as a criminal justice matter (HM Government, 2023). This helped me approach the concerns from a child-centred perspective rather than focusing exclusively on the content being accessed online.</w:t>
            </w:r>
          </w:p>
          <w:p w14:paraId="15C64385" w14:textId="77777777" w:rsidR="00B03700" w:rsidRPr="008007B2" w:rsidRDefault="00B03700" w:rsidP="009D7642">
            <w:pPr>
              <w:jc w:val="both"/>
              <w:rPr>
                <w:sz w:val="24"/>
                <w:szCs w:val="24"/>
              </w:rPr>
            </w:pPr>
          </w:p>
          <w:p w14:paraId="3EEDB384" w14:textId="77777777" w:rsidR="009D7642" w:rsidRDefault="009D7642" w:rsidP="009D7642">
            <w:pPr>
              <w:jc w:val="both"/>
              <w:rPr>
                <w:sz w:val="24"/>
                <w:szCs w:val="24"/>
              </w:rPr>
            </w:pPr>
            <w:r w:rsidRPr="008007B2">
              <w:rPr>
                <w:sz w:val="24"/>
                <w:szCs w:val="24"/>
              </w:rPr>
              <w:t>Specialist education provision also played a significant role despite the young person's lack of engagement. Although there was no attendance in school by the young person, educational professionals continued to share information and attempted to maintain contact. This highlighted the importance of professional persistence and ensuring services remain available even when engagement is limited. It also reinforced Bronfenbrenner's (1979) view that different systems surrounding a child influence development and outcomes. Whilst education was not currently functioning as a protective factor, it remained an important part of future planning.</w:t>
            </w:r>
          </w:p>
          <w:p w14:paraId="44E7A014" w14:textId="77777777" w:rsidR="00B03700" w:rsidRPr="008007B2" w:rsidRDefault="00B03700" w:rsidP="009D7642">
            <w:pPr>
              <w:jc w:val="both"/>
              <w:rPr>
                <w:sz w:val="24"/>
                <w:szCs w:val="24"/>
              </w:rPr>
            </w:pPr>
          </w:p>
          <w:p w14:paraId="400C99F5" w14:textId="77777777" w:rsidR="009D7642" w:rsidRDefault="009D7642" w:rsidP="009D7642">
            <w:pPr>
              <w:jc w:val="both"/>
              <w:rPr>
                <w:sz w:val="24"/>
                <w:szCs w:val="24"/>
              </w:rPr>
            </w:pPr>
            <w:r w:rsidRPr="008007B2">
              <w:rPr>
                <w:sz w:val="24"/>
                <w:szCs w:val="24"/>
              </w:rPr>
              <w:t>The Special Guardian was arguably the most significant protective factor identified throughout the assessment. Despite significant challenges, she remained committed to caring for the young person and consistently engaged with professionals. Reflecting on the assessment, I was struck by her resilience and willingness to continue working alongside agencies despite periods where she reported feeling overwhelmed or previously let down by services. Saleebey (2013) highlights the importance of identifying strengths and resilience when working with families. Whilst the assessment clearly identified risks, it was equally important to recognise the strengths that existed within the placement. This helped ensure the assessment remained balanced and avoided focusing solely on deficits.</w:t>
            </w:r>
          </w:p>
          <w:p w14:paraId="468C40E4" w14:textId="77777777" w:rsidR="00B03700" w:rsidRPr="008007B2" w:rsidRDefault="00B03700" w:rsidP="009D7642">
            <w:pPr>
              <w:jc w:val="both"/>
              <w:rPr>
                <w:sz w:val="24"/>
                <w:szCs w:val="24"/>
              </w:rPr>
            </w:pPr>
          </w:p>
          <w:p w14:paraId="3E7B1F06" w14:textId="77777777" w:rsidR="009D7642" w:rsidRDefault="009D7642" w:rsidP="009D7642">
            <w:pPr>
              <w:jc w:val="both"/>
              <w:rPr>
                <w:sz w:val="24"/>
                <w:szCs w:val="24"/>
              </w:rPr>
            </w:pPr>
            <w:r w:rsidRPr="008007B2">
              <w:rPr>
                <w:sz w:val="24"/>
                <w:szCs w:val="24"/>
              </w:rPr>
              <w:t>An important area of discussion throughout the assessment related to placement stability. Due to escalating behaviour concerns, the case progressed through a pre-accommodation panel and subsequently to an accommodation panel chaired by senior management. This was an emotionally significant stage of the intervention process. The possibility of placement breakdown had considerable implications for the young person, particularly given his history of trauma, disruption and previous experiences within care.</w:t>
            </w:r>
          </w:p>
          <w:p w14:paraId="275ECCB5" w14:textId="77777777" w:rsidR="00B03700" w:rsidRPr="008007B2" w:rsidRDefault="00B03700" w:rsidP="009D7642">
            <w:pPr>
              <w:jc w:val="both"/>
              <w:rPr>
                <w:sz w:val="24"/>
                <w:szCs w:val="24"/>
              </w:rPr>
            </w:pPr>
          </w:p>
          <w:p w14:paraId="14620CEA" w14:textId="30450743" w:rsidR="009D7642" w:rsidRDefault="009D7642" w:rsidP="009D7642">
            <w:pPr>
              <w:jc w:val="both"/>
              <w:rPr>
                <w:sz w:val="24"/>
                <w:szCs w:val="24"/>
              </w:rPr>
            </w:pPr>
            <w:r w:rsidRPr="008007B2">
              <w:rPr>
                <w:sz w:val="24"/>
                <w:szCs w:val="24"/>
              </w:rPr>
              <w:t xml:space="preserve">Attachment theory helped me understand why placement stability was such an important factor. Bowlby (1969) suggests that repeated disruptions to caregiving relationships can have a significant impact on attachment, trust and emotional wellbeing. Although challenges were evident within the placement, there remained evidence of a meaningful relationship between the young person and the Special Guardian. </w:t>
            </w:r>
          </w:p>
          <w:p w14:paraId="1BC18EFB" w14:textId="77777777" w:rsidR="00B03700" w:rsidRPr="008007B2" w:rsidRDefault="00B03700" w:rsidP="009D7642">
            <w:pPr>
              <w:jc w:val="both"/>
              <w:rPr>
                <w:sz w:val="24"/>
                <w:szCs w:val="24"/>
              </w:rPr>
            </w:pPr>
          </w:p>
          <w:p w14:paraId="1096176C" w14:textId="77777777" w:rsidR="009D7642" w:rsidRDefault="009D7642" w:rsidP="009D7642">
            <w:pPr>
              <w:jc w:val="both"/>
              <w:rPr>
                <w:sz w:val="24"/>
                <w:szCs w:val="24"/>
              </w:rPr>
            </w:pPr>
            <w:r w:rsidRPr="008007B2">
              <w:rPr>
                <w:sz w:val="24"/>
                <w:szCs w:val="24"/>
              </w:rPr>
              <w:t>One of the most significant elements of this case involved exercising professional judgement within a highly complex safeguarding context. Whilst safeguarding concerns were evident throughout the assessment, determining the most appropriate response required ongoing analysis, consultation and reflection.</w:t>
            </w:r>
          </w:p>
          <w:p w14:paraId="79B99573" w14:textId="77777777" w:rsidR="00B03700" w:rsidRPr="008007B2" w:rsidRDefault="00B03700" w:rsidP="009D7642">
            <w:pPr>
              <w:jc w:val="both"/>
              <w:rPr>
                <w:sz w:val="24"/>
                <w:szCs w:val="24"/>
              </w:rPr>
            </w:pPr>
          </w:p>
          <w:p w14:paraId="690D365D" w14:textId="77777777" w:rsidR="009D7642" w:rsidRDefault="009D7642" w:rsidP="009D7642">
            <w:pPr>
              <w:jc w:val="both"/>
              <w:rPr>
                <w:sz w:val="24"/>
                <w:szCs w:val="24"/>
              </w:rPr>
            </w:pPr>
            <w:r w:rsidRPr="008007B2">
              <w:rPr>
                <w:sz w:val="24"/>
                <w:szCs w:val="24"/>
              </w:rPr>
              <w:t xml:space="preserve">At several points during the assessment, there were understandable concerns regarding whether the level of risk warranted escalation to Child Protection procedures. Concerns included aggressive behaviour within the home, fire-setting incidents, educational disengagement, vulnerability to radicalisation and the risk of placement breakdown. However, </w:t>
            </w:r>
            <w:r w:rsidRPr="008007B2">
              <w:rPr>
                <w:sz w:val="24"/>
                <w:szCs w:val="24"/>
              </w:rPr>
              <w:lastRenderedPageBreak/>
              <w:t>professional judgement required consideration not only of risk but also of protective factors and existing interventions.</w:t>
            </w:r>
          </w:p>
          <w:p w14:paraId="340B4AE5" w14:textId="77777777" w:rsidR="00B03700" w:rsidRPr="008007B2" w:rsidRDefault="00B03700" w:rsidP="009D7642">
            <w:pPr>
              <w:jc w:val="both"/>
              <w:rPr>
                <w:sz w:val="24"/>
                <w:szCs w:val="24"/>
              </w:rPr>
            </w:pPr>
          </w:p>
          <w:p w14:paraId="3AEB8D77" w14:textId="77777777" w:rsidR="009D7642" w:rsidRDefault="009D7642" w:rsidP="009D7642">
            <w:pPr>
              <w:jc w:val="both"/>
              <w:rPr>
                <w:sz w:val="24"/>
                <w:szCs w:val="24"/>
              </w:rPr>
            </w:pPr>
            <w:r w:rsidRPr="008007B2">
              <w:rPr>
                <w:sz w:val="24"/>
                <w:szCs w:val="24"/>
              </w:rPr>
              <w:t>Working Together to Safeguard Children (Department for Education, 2024) highlights that safeguarding assessments should consider both strengths and risks when determining intervention. Whilst concerns were significant, there were also a number of protective factors. The Special Guardian consistently engaged with professionals, safety planning was implemented, specialist services were involved and formal respite provision remained available. Furthermore, there was evidence that the young person responded positively within structured and predictable environments.</w:t>
            </w:r>
          </w:p>
          <w:p w14:paraId="6C74D692" w14:textId="77777777" w:rsidR="00B03700" w:rsidRPr="008007B2" w:rsidRDefault="00B03700" w:rsidP="009D7642">
            <w:pPr>
              <w:jc w:val="both"/>
              <w:rPr>
                <w:sz w:val="24"/>
                <w:szCs w:val="24"/>
              </w:rPr>
            </w:pPr>
          </w:p>
          <w:p w14:paraId="799ED57C" w14:textId="77777777" w:rsidR="009D7642" w:rsidRPr="008007B2" w:rsidRDefault="009D7642" w:rsidP="009D7642">
            <w:pPr>
              <w:jc w:val="both"/>
              <w:rPr>
                <w:sz w:val="24"/>
                <w:szCs w:val="24"/>
              </w:rPr>
            </w:pPr>
            <w:r w:rsidRPr="008007B2">
              <w:rPr>
                <w:sz w:val="24"/>
                <w:szCs w:val="24"/>
              </w:rPr>
              <w:t>This created a professional dilemma. On one hand, the risks were concerning and required ongoing monitoring. On the other hand, I questioned whether escalating to Child Protection procedures would provide additional safeguards that were not already available through existing intervention. Reflecting on the evidence gathered, I concluded that the threshold for Child Protection intervention was not met at that stage. My reasoning was that the identified risks were being actively addressed through multi-agency involvement, and there was no evidence that the Special Guardian was unable or unwilling to safeguard the young person.</w:t>
            </w:r>
          </w:p>
          <w:p w14:paraId="5D70EC48" w14:textId="379162E4" w:rsidR="009D7642" w:rsidRPr="008007B2" w:rsidRDefault="009D7642" w:rsidP="009D7642">
            <w:pPr>
              <w:spacing w:after="160" w:line="278" w:lineRule="auto"/>
              <w:jc w:val="both"/>
              <w:rPr>
                <w:sz w:val="24"/>
                <w:szCs w:val="24"/>
              </w:rPr>
            </w:pPr>
            <w:r w:rsidRPr="008007B2">
              <w:rPr>
                <w:sz w:val="24"/>
                <w:szCs w:val="24"/>
              </w:rPr>
              <w:t xml:space="preserve">Reflecting critically, I considered the potential implications of escalating the case to Child Protection procedures. Had the threshold been met, the family would have become subject to Child Protection Conferences, Core Group meetings and more intensive statutory oversight. Whilst these processes can enhance safeguards where significant harm is present, they can also create unintended tensions. The Special Guardian had consistently sought help and engaged openly with </w:t>
            </w:r>
            <w:r w:rsidR="00B03700" w:rsidRPr="008007B2">
              <w:rPr>
                <w:sz w:val="24"/>
                <w:szCs w:val="24"/>
              </w:rPr>
              <w:t>professionals;</w:t>
            </w:r>
            <w:r w:rsidRPr="008007B2">
              <w:rPr>
                <w:sz w:val="24"/>
                <w:szCs w:val="24"/>
              </w:rPr>
              <w:t xml:space="preserve"> therefore escalation may have been experienced as criticism of her parenting despite her sustained efforts. This highlighted the importance of anti-oppressive practice and recognising the inherent power imbalance between statutory services and families (Dominelli, 2018). In this case, unnecessary escalation risked undermining trust and engagement at a time when partnership working was essential to maintaining placement stability.</w:t>
            </w:r>
          </w:p>
          <w:p w14:paraId="50257845" w14:textId="77777777" w:rsidR="009D7642" w:rsidRPr="008007B2" w:rsidRDefault="009D7642" w:rsidP="009D7642">
            <w:pPr>
              <w:spacing w:after="160" w:line="278" w:lineRule="auto"/>
              <w:jc w:val="both"/>
              <w:rPr>
                <w:sz w:val="24"/>
                <w:szCs w:val="24"/>
              </w:rPr>
            </w:pPr>
            <w:r w:rsidRPr="008007B2">
              <w:rPr>
                <w:sz w:val="24"/>
                <w:szCs w:val="24"/>
              </w:rPr>
              <w:t>The recommendation that the young person be supported through a voluntary Care and Support Plan reflected this analysis. I felt this represented the most proportionate response, strengthening existing interventions whilst promoting the young person's wellbeing and respecting the family's rights under Article 8 of the Human Rights Act 1998.</w:t>
            </w:r>
          </w:p>
          <w:p w14:paraId="4883E168" w14:textId="77777777" w:rsidR="009D7642" w:rsidRPr="008007B2" w:rsidRDefault="009D7642" w:rsidP="009D7642">
            <w:pPr>
              <w:spacing w:after="160" w:line="278" w:lineRule="auto"/>
              <w:jc w:val="both"/>
              <w:rPr>
                <w:sz w:val="24"/>
                <w:szCs w:val="24"/>
              </w:rPr>
            </w:pPr>
            <w:r w:rsidRPr="008007B2">
              <w:rPr>
                <w:sz w:val="24"/>
                <w:szCs w:val="24"/>
              </w:rPr>
              <w:t>This stage of the assessment strengthened my understanding that safeguarding concerns rarely arise from a single factor. The young person's trauma history, neurodevelopmental needs, educational disengagement, online vulnerabilities and family relationships interacted to create a complex picture of risk. This helped me develop greater confidence in analysing how multiple factors influence a child's wellbeing and the support required to promote safety and stability.</w:t>
            </w:r>
          </w:p>
          <w:p w14:paraId="066B33AB" w14:textId="77777777" w:rsidR="009D7642" w:rsidRPr="008007B2" w:rsidRDefault="009D7642" w:rsidP="009D7642">
            <w:pPr>
              <w:spacing w:after="160" w:line="278" w:lineRule="auto"/>
              <w:jc w:val="both"/>
              <w:rPr>
                <w:sz w:val="24"/>
                <w:szCs w:val="24"/>
              </w:rPr>
            </w:pPr>
            <w:r w:rsidRPr="008007B2">
              <w:rPr>
                <w:sz w:val="24"/>
                <w:szCs w:val="24"/>
              </w:rPr>
              <w:lastRenderedPageBreak/>
              <w:t>Completing this assessment enabled me to consider how my practice has developed within Children's Services and how the learning outcomes relating to analysis, collaborative working and professional judgement have been applied within a complex safeguarding situation.</w:t>
            </w:r>
          </w:p>
          <w:p w14:paraId="59A9D547" w14:textId="77777777" w:rsidR="009D7642" w:rsidRPr="008007B2" w:rsidRDefault="009D7642" w:rsidP="009D7642">
            <w:pPr>
              <w:spacing w:after="160" w:line="278" w:lineRule="auto"/>
              <w:jc w:val="both"/>
              <w:rPr>
                <w:sz w:val="24"/>
                <w:szCs w:val="24"/>
              </w:rPr>
            </w:pPr>
            <w:r w:rsidRPr="008007B2">
              <w:rPr>
                <w:sz w:val="24"/>
                <w:szCs w:val="24"/>
              </w:rPr>
              <w:t>One of the most significant learning points for me was recognising the importance of looking beyond presenting behaviours. As the assessment progressed, it became increasingly clear that the young person's experiences of trauma and neurodevelopmental needs required a holistic understanding of risk and need. Trauma-informed practice remained central throughout the assessment. Rather than focusing solely on behaviour, I considered how the young person's early experiences continued to influence relationships, emotional regulation and engagement with professionals (Bellis et al., 2015).</w:t>
            </w:r>
          </w:p>
          <w:p w14:paraId="6367DA6F" w14:textId="77777777" w:rsidR="009D7642" w:rsidRPr="008007B2" w:rsidRDefault="009D7642" w:rsidP="009D7642">
            <w:pPr>
              <w:spacing w:after="160" w:line="278" w:lineRule="auto"/>
              <w:jc w:val="both"/>
              <w:rPr>
                <w:sz w:val="24"/>
                <w:szCs w:val="24"/>
              </w:rPr>
            </w:pPr>
            <w:r w:rsidRPr="008007B2">
              <w:rPr>
                <w:sz w:val="24"/>
                <w:szCs w:val="24"/>
              </w:rPr>
              <w:t>A key area of learning was my involvement with Prevent and Counter Terrorism Policing. Through joint working, supervision and professional discussions, I developed a greater understanding of radicalisation as a safeguarding issue rather than solely a criminal justice concern. I became more aware of how social isolation, online engagement, trauma and neurodevelopmental needs can increase vulnerability to harmful influences. It was important not to view the young person's behaviour in isolation, but to understand it within the wider context of their experiences, relationships and presenting needs (HM Government, 2023).</w:t>
            </w:r>
          </w:p>
          <w:p w14:paraId="2233C5C5" w14:textId="77777777" w:rsidR="009D7642" w:rsidRPr="008007B2" w:rsidRDefault="009D7642" w:rsidP="009D7642">
            <w:pPr>
              <w:spacing w:after="160" w:line="278" w:lineRule="auto"/>
              <w:jc w:val="both"/>
              <w:rPr>
                <w:sz w:val="24"/>
                <w:szCs w:val="24"/>
              </w:rPr>
            </w:pPr>
            <w:r w:rsidRPr="008007B2">
              <w:rPr>
                <w:sz w:val="24"/>
                <w:szCs w:val="24"/>
              </w:rPr>
              <w:t>Supervision played an important role throughout the assessment. There were points where I questioned my judgement, particularly when balancing presenting risks against the strengths and protective factors that were also evident. Morrison (2005) highlights that effective supervision provides support, accountability and opportunities for critical reflection. I found supervision particularly valuable in helping me challenge assumptions, reflect on my analysis and develop confidence in my decision-making.</w:t>
            </w:r>
          </w:p>
          <w:p w14:paraId="3736CA31" w14:textId="77777777" w:rsidR="009D7642" w:rsidRPr="008007B2" w:rsidRDefault="009D7642" w:rsidP="009D7642">
            <w:pPr>
              <w:spacing w:after="160" w:line="278" w:lineRule="auto"/>
              <w:jc w:val="both"/>
              <w:rPr>
                <w:sz w:val="24"/>
                <w:szCs w:val="24"/>
              </w:rPr>
            </w:pPr>
            <w:r w:rsidRPr="008007B2">
              <w:rPr>
                <w:sz w:val="24"/>
                <w:szCs w:val="24"/>
              </w:rPr>
              <w:t>Another area of reflection was placement stability. The progression from a pre-accommodation panel to an accommodation panel highlighted the pressures within the placement and the possibility of breakdown. Given the young person's history as a looked after child, I was mindful of the impact any further disruption could have on his emotional wellbeing. Bowlby (1969) highlights the importance of secure attachments in promoting healthy emotional development. Although the placement was under pressure, evidence remained of a meaningful relationship between the young person and the Special Guardian.</w:t>
            </w:r>
          </w:p>
          <w:p w14:paraId="4BF79969" w14:textId="77777777" w:rsidR="009D7642" w:rsidRPr="008007B2" w:rsidRDefault="009D7642" w:rsidP="009D7642">
            <w:pPr>
              <w:spacing w:after="160" w:line="278" w:lineRule="auto"/>
              <w:jc w:val="both"/>
              <w:rPr>
                <w:sz w:val="24"/>
                <w:szCs w:val="24"/>
              </w:rPr>
            </w:pPr>
            <w:r w:rsidRPr="008007B2">
              <w:rPr>
                <w:sz w:val="24"/>
                <w:szCs w:val="24"/>
              </w:rPr>
              <w:t xml:space="preserve">Looking back, one of the strengths within my practice was maintaining a strengths-based and relationship-based approach throughout the assessment. Given the young person's history of trauma, disrupted attachments and neurodevelopmental needs, building trust required time, consistency and flexibility. I found that shorter conversations, clear explanations and showing genuine interest in subjects important to him promoted engagement more effectively than structured assessment discussions alone. Consistently keeping appointments, following through on commitments and being transparent about my role helped strengthen the working </w:t>
            </w:r>
            <w:r w:rsidRPr="008007B2">
              <w:rPr>
                <w:sz w:val="24"/>
                <w:szCs w:val="24"/>
              </w:rPr>
              <w:lastRenderedPageBreak/>
              <w:t>relationship and reduce anxiety. Saleebey (2013) highlights the importance of recognising resilience, strengths and protective factors alongside difficulties. Maintaining this focus helped keep the assessment balanced and supported the young person's participation despite periods of resistance and disengagement.</w:t>
            </w:r>
          </w:p>
          <w:p w14:paraId="74C5224A" w14:textId="77777777" w:rsidR="009D7642" w:rsidRPr="008007B2" w:rsidRDefault="009D7642" w:rsidP="009D7642">
            <w:pPr>
              <w:spacing w:after="160" w:line="278" w:lineRule="auto"/>
              <w:jc w:val="both"/>
              <w:rPr>
                <w:sz w:val="24"/>
                <w:szCs w:val="24"/>
              </w:rPr>
            </w:pPr>
            <w:r w:rsidRPr="008007B2">
              <w:rPr>
                <w:sz w:val="24"/>
                <w:szCs w:val="24"/>
              </w:rPr>
              <w:t>Information from CAMHS, education, respite services, Prevent and Counter Terrorism Policing was essential in developing a holistic understanding of the young person's needs. Bronfenbrenner's Ecological Systems Theory (1979) helped me recognise how different systems and relationships influenced outcomes and informed planning.</w:t>
            </w:r>
          </w:p>
          <w:p w14:paraId="49C16638" w14:textId="77777777" w:rsidR="009D7642" w:rsidRPr="008007B2" w:rsidRDefault="009D7642" w:rsidP="009D7642">
            <w:pPr>
              <w:spacing w:after="160" w:line="278" w:lineRule="auto"/>
              <w:jc w:val="both"/>
              <w:rPr>
                <w:sz w:val="24"/>
                <w:szCs w:val="24"/>
              </w:rPr>
            </w:pPr>
            <w:r w:rsidRPr="008007B2">
              <w:rPr>
                <w:sz w:val="24"/>
                <w:szCs w:val="24"/>
              </w:rPr>
              <w:t>One of the most significant professional judgements within this case was recommending ongoing intervention through a voluntary Care and Support Plan rather than escalating to Child Protection procedures. Whilst concerns existed, there were also substantial protective factors, including positive engagement from the Special Guardian and robust multi-agency involvement. Through assessment, analysis and discussion with colleagues, I concluded that a coordinated Care and Support Plan represented the most proportionate response and remained consistent with the preventative and strengths-based principles contained within the Social Services and Well-being (Wales) Act 2014.</w:t>
            </w:r>
          </w:p>
          <w:p w14:paraId="1B7B5D92" w14:textId="77777777" w:rsidR="009D7642" w:rsidRPr="008007B2" w:rsidRDefault="009D7642" w:rsidP="009D7642">
            <w:pPr>
              <w:spacing w:after="160" w:line="278" w:lineRule="auto"/>
              <w:jc w:val="both"/>
              <w:rPr>
                <w:sz w:val="24"/>
                <w:szCs w:val="24"/>
              </w:rPr>
            </w:pPr>
            <w:r w:rsidRPr="008007B2">
              <w:rPr>
                <w:sz w:val="24"/>
                <w:szCs w:val="24"/>
              </w:rPr>
              <w:t>Moving forward, I would like to continue developing my knowledge of neurodevelopmental conditions, particularly FASD and ASD, and the impact they can have on behaviour, emotional regulation and decision-making. I would also like to build upon my experience of working alongside Prevent and Counter Terrorism Policing, as this has increased my confidence in responding to safeguarding concerns involving radicalisation and online vulnerability.</w:t>
            </w:r>
          </w:p>
          <w:p w14:paraId="66C15ABE" w14:textId="77777777" w:rsidR="009D7642" w:rsidRPr="008007B2" w:rsidRDefault="009D7642" w:rsidP="009D7642">
            <w:pPr>
              <w:spacing w:after="160" w:line="278" w:lineRule="auto"/>
              <w:jc w:val="both"/>
              <w:rPr>
                <w:sz w:val="24"/>
                <w:szCs w:val="24"/>
              </w:rPr>
            </w:pPr>
            <w:r w:rsidRPr="008007B2">
              <w:rPr>
                <w:sz w:val="24"/>
                <w:szCs w:val="24"/>
              </w:rPr>
              <w:t>Overall, this assessment strengthened my confidence in analysing complex safeguarding concerns, coordinating multi-agency intervention and exercising professional judgement within uncertain situations. Throughout the assessment, I was required to consider a range of competing factors, including trauma, neurodevelopmental needs, online risks, educational disengagement and family strengths. This increased my confidence in weighing evidence, identifying proportionate interventions and making decisions that promoted the young person's wellbeing and long-term stability.</w:t>
            </w:r>
          </w:p>
          <w:p w14:paraId="22C3076A" w14:textId="77777777" w:rsidR="009D7642" w:rsidRPr="008007B2" w:rsidRDefault="009D7642" w:rsidP="009D7642">
            <w:pPr>
              <w:jc w:val="both"/>
              <w:rPr>
                <w:sz w:val="24"/>
                <w:szCs w:val="24"/>
              </w:rPr>
            </w:pPr>
            <w:r w:rsidRPr="008007B2">
              <w:rPr>
                <w:sz w:val="24"/>
                <w:szCs w:val="24"/>
              </w:rPr>
              <w:t>This case study has demonstrated the complexity of safeguarding practice within Wales and highlighted the importance of integrating assessment, analysis, collaborative working and professional judgement. Through applying Welsh legislation, safeguarding procedures and relevant social work theory, I concluded that ongoing intervention through a voluntary Care and Support Plan represented the most proportionate response. The learning gained from this assessment will continue to inform my practice and support my ability to make balanced, evidence-based decisions in increasingly complex safeguarding situations.</w:t>
            </w:r>
          </w:p>
          <w:p w14:paraId="701D8D4D" w14:textId="38C2B218" w:rsidR="00D3203C" w:rsidRPr="008007B2" w:rsidRDefault="00D3203C" w:rsidP="00FF7EBB">
            <w:pPr>
              <w:jc w:val="both"/>
              <w:rPr>
                <w:i/>
                <w:sz w:val="24"/>
                <w:szCs w:val="24"/>
              </w:rPr>
            </w:pPr>
          </w:p>
          <w:p w14:paraId="7C583995" w14:textId="3E9D3568" w:rsidR="00E96902" w:rsidRDefault="00E96902" w:rsidP="00FF7EBB">
            <w:pPr>
              <w:jc w:val="both"/>
              <w:rPr>
                <w:i/>
                <w:sz w:val="24"/>
                <w:szCs w:val="24"/>
              </w:rPr>
            </w:pPr>
            <w:r>
              <w:rPr>
                <w:i/>
                <w:sz w:val="24"/>
                <w:szCs w:val="24"/>
              </w:rPr>
              <w:t xml:space="preserve">Word Count </w:t>
            </w:r>
            <w:r w:rsidR="000A7B9C">
              <w:rPr>
                <w:i/>
                <w:sz w:val="24"/>
                <w:szCs w:val="24"/>
              </w:rPr>
              <w:t>–</w:t>
            </w:r>
            <w:r>
              <w:rPr>
                <w:i/>
                <w:sz w:val="24"/>
                <w:szCs w:val="24"/>
              </w:rPr>
              <w:t xml:space="preserve"> </w:t>
            </w:r>
            <w:r w:rsidR="008007B2">
              <w:rPr>
                <w:i/>
                <w:sz w:val="24"/>
                <w:szCs w:val="24"/>
              </w:rPr>
              <w:t>4126 words</w:t>
            </w: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D73646" w14:textId="77777777" w:rsidR="006C620B" w:rsidRDefault="006C620B">
      <w:r>
        <w:separator/>
      </w:r>
    </w:p>
  </w:endnote>
  <w:endnote w:type="continuationSeparator" w:id="0">
    <w:p w14:paraId="025380C3" w14:textId="77777777" w:rsidR="006C620B" w:rsidRDefault="006C62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BBFE37" w14:textId="77777777" w:rsidR="006C620B" w:rsidRDefault="006C620B">
      <w:r>
        <w:separator/>
      </w:r>
    </w:p>
  </w:footnote>
  <w:footnote w:type="continuationSeparator" w:id="0">
    <w:p w14:paraId="3272D620" w14:textId="77777777" w:rsidR="006C620B" w:rsidRDefault="006C620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A7B9C"/>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4865"/>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620B"/>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007B2"/>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642"/>
    <w:rsid w:val="009D7BC9"/>
    <w:rsid w:val="009E122F"/>
    <w:rsid w:val="009E1982"/>
    <w:rsid w:val="009E4D2C"/>
    <w:rsid w:val="009F0978"/>
    <w:rsid w:val="009F3AEC"/>
    <w:rsid w:val="009F6801"/>
    <w:rsid w:val="00A00081"/>
    <w:rsid w:val="00A06422"/>
    <w:rsid w:val="00A06AA8"/>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1D75"/>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00"/>
    <w:rsid w:val="00B037B0"/>
    <w:rsid w:val="00B07E79"/>
    <w:rsid w:val="00B12295"/>
    <w:rsid w:val="00B137BE"/>
    <w:rsid w:val="00B15998"/>
    <w:rsid w:val="00B17FA0"/>
    <w:rsid w:val="00B2292C"/>
    <w:rsid w:val="00B22C3C"/>
    <w:rsid w:val="00B24344"/>
    <w:rsid w:val="00B26769"/>
    <w:rsid w:val="00B2754B"/>
    <w:rsid w:val="00B27B30"/>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26BA"/>
    <w:rsid w:val="00C23F17"/>
    <w:rsid w:val="00C246F2"/>
    <w:rsid w:val="00C26D0D"/>
    <w:rsid w:val="00C27C95"/>
    <w:rsid w:val="00C300D2"/>
    <w:rsid w:val="00C3270F"/>
    <w:rsid w:val="00C3278B"/>
    <w:rsid w:val="00C32AE9"/>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6DB"/>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902"/>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0C06"/>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4805</Words>
  <Characters>27394</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 Palin</cp:lastModifiedBy>
  <cp:revision>11</cp:revision>
  <cp:lastPrinted>2020-02-11T19:20:00Z</cp:lastPrinted>
  <dcterms:created xsi:type="dcterms:W3CDTF">2026-10-02T13:35:00Z</dcterms:created>
  <dcterms:modified xsi:type="dcterms:W3CDTF">2026-10-06T14:46:00Z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