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37360" w14:textId="07F80146" w:rsidR="00886FAF" w:rsidRPr="00886FAF" w:rsidRDefault="00886FAF" w:rsidP="00886FAF">
      <w:pPr>
        <w:pStyle w:val="pdq2pgselectionanchorcontainer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>References:</w:t>
      </w:r>
    </w:p>
    <w:p w14:paraId="49343E19" w14:textId="29FBACDD" w:rsidR="00886FAF" w:rsidRPr="00886FAF" w:rsidRDefault="00886FAF" w:rsidP="00886FAF">
      <w:pPr>
        <w:pStyle w:val="pdq2pgselectionanchorcontainer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>Bowlby, J. (1969)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Attachment and Loss. Volume I: Attachment</w:t>
      </w:r>
      <w:r w:rsidRPr="00886FAF">
        <w:rPr>
          <w:rFonts w:ascii="Arial" w:hAnsi="Arial" w:cs="Arial"/>
          <w:color w:val="000000" w:themeColor="text1"/>
        </w:rPr>
        <w:t>. London: Penguin Books.</w:t>
      </w:r>
    </w:p>
    <w:p w14:paraId="743F16AD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 xml:space="preserve">Brandon, M., </w:t>
      </w:r>
      <w:proofErr w:type="spellStart"/>
      <w:r w:rsidRPr="00886FAF">
        <w:rPr>
          <w:rFonts w:ascii="Arial" w:hAnsi="Arial" w:cs="Arial"/>
          <w:color w:val="000000" w:themeColor="text1"/>
        </w:rPr>
        <w:t>Sidebotham</w:t>
      </w:r>
      <w:proofErr w:type="spellEnd"/>
      <w:r w:rsidRPr="00886FAF">
        <w:rPr>
          <w:rFonts w:ascii="Arial" w:hAnsi="Arial" w:cs="Arial"/>
          <w:color w:val="000000" w:themeColor="text1"/>
        </w:rPr>
        <w:t xml:space="preserve">, P., </w:t>
      </w:r>
      <w:proofErr w:type="spellStart"/>
      <w:r w:rsidRPr="00886FAF">
        <w:rPr>
          <w:rFonts w:ascii="Arial" w:hAnsi="Arial" w:cs="Arial"/>
          <w:color w:val="000000" w:themeColor="text1"/>
        </w:rPr>
        <w:t>Belderson</w:t>
      </w:r>
      <w:proofErr w:type="spellEnd"/>
      <w:r w:rsidRPr="00886FAF">
        <w:rPr>
          <w:rFonts w:ascii="Arial" w:hAnsi="Arial" w:cs="Arial"/>
          <w:color w:val="000000" w:themeColor="text1"/>
        </w:rPr>
        <w:t>, P., Dodsworth, J., Bailey, S., Black, J. and Ellis, C. (2020)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Complexity and Challenge: A Triennial Analysis of Serious Case Reviews 2014–2017</w:t>
      </w:r>
      <w:r w:rsidRPr="00886FAF">
        <w:rPr>
          <w:rFonts w:ascii="Arial" w:hAnsi="Arial" w:cs="Arial"/>
          <w:color w:val="000000" w:themeColor="text1"/>
        </w:rPr>
        <w:t>. London: Department for Education.</w:t>
      </w:r>
    </w:p>
    <w:p w14:paraId="3355E3A2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>Children Act 1989. (1989) c.41. London: The Stationery Office.</w:t>
      </w:r>
    </w:p>
    <w:p w14:paraId="010A9034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>Children Act 2004. (2004) c.31. London: The Stationery Office.</w:t>
      </w:r>
    </w:p>
    <w:p w14:paraId="0D4ABFE9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 xml:space="preserve">Cleaver, H., </w:t>
      </w:r>
      <w:proofErr w:type="spellStart"/>
      <w:r w:rsidRPr="00886FAF">
        <w:rPr>
          <w:rFonts w:ascii="Arial" w:hAnsi="Arial" w:cs="Arial"/>
          <w:color w:val="000000" w:themeColor="text1"/>
        </w:rPr>
        <w:t>Unell</w:t>
      </w:r>
      <w:proofErr w:type="spellEnd"/>
      <w:r w:rsidRPr="00886FAF">
        <w:rPr>
          <w:rFonts w:ascii="Arial" w:hAnsi="Arial" w:cs="Arial"/>
          <w:color w:val="000000" w:themeColor="text1"/>
        </w:rPr>
        <w:t>, I. and Aldgate, J. (2011)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Children's Needs – Parenting Capacity: Child Abuse: Parental Mental Illness, Learning Disability, Substance Misuse and Domestic Violence</w:t>
      </w:r>
      <w:r w:rsidRPr="00886FAF">
        <w:rPr>
          <w:rFonts w:ascii="Arial" w:hAnsi="Arial" w:cs="Arial"/>
          <w:color w:val="000000" w:themeColor="text1"/>
        </w:rPr>
        <w:t xml:space="preserve">. 2nd </w:t>
      </w:r>
      <w:proofErr w:type="spellStart"/>
      <w:r w:rsidRPr="00886FAF">
        <w:rPr>
          <w:rFonts w:ascii="Arial" w:hAnsi="Arial" w:cs="Arial"/>
          <w:color w:val="000000" w:themeColor="text1"/>
        </w:rPr>
        <w:t>edn</w:t>
      </w:r>
      <w:proofErr w:type="spellEnd"/>
      <w:r w:rsidRPr="00886FAF">
        <w:rPr>
          <w:rFonts w:ascii="Arial" w:hAnsi="Arial" w:cs="Arial"/>
          <w:color w:val="000000" w:themeColor="text1"/>
        </w:rPr>
        <w:t>. London: The Stationery Office.</w:t>
      </w:r>
    </w:p>
    <w:p w14:paraId="07B0F6C9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>Department for Education (2023)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Working Together to Safeguard Children: A Guide to Multi-agency Working to Help, Protect and Promote the Welfare of Children</w:t>
      </w:r>
      <w:r w:rsidRPr="00886FAF">
        <w:rPr>
          <w:rFonts w:ascii="Arial" w:hAnsi="Arial" w:cs="Arial"/>
          <w:color w:val="000000" w:themeColor="text1"/>
        </w:rPr>
        <w:t>. London: Department for Education.</w:t>
      </w:r>
    </w:p>
    <w:p w14:paraId="2AF83149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>Department of Health (2000)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Framework for the Assessment of Children in Need and their Families</w:t>
      </w:r>
      <w:r w:rsidRPr="00886FAF">
        <w:rPr>
          <w:rFonts w:ascii="Arial" w:hAnsi="Arial" w:cs="Arial"/>
          <w:color w:val="000000" w:themeColor="text1"/>
        </w:rPr>
        <w:t>. London: The Stationery Office.</w:t>
      </w:r>
    </w:p>
    <w:p w14:paraId="0E877874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proofErr w:type="spellStart"/>
      <w:r w:rsidRPr="00886FAF">
        <w:rPr>
          <w:rFonts w:ascii="Arial" w:hAnsi="Arial" w:cs="Arial"/>
          <w:color w:val="000000" w:themeColor="text1"/>
        </w:rPr>
        <w:t>Felitti</w:t>
      </w:r>
      <w:proofErr w:type="spellEnd"/>
      <w:r w:rsidRPr="00886FAF">
        <w:rPr>
          <w:rFonts w:ascii="Arial" w:hAnsi="Arial" w:cs="Arial"/>
          <w:color w:val="000000" w:themeColor="text1"/>
        </w:rPr>
        <w:t>, V.J., Anda, R.F., Nordenberg, D., Williamson, D.F., Spitz, A.M., Edwards, V., Koss, M.P. and Marks, J.S. (1998) ‘Relationship of Childhood Abuse and Household Dysfunction to Many of the Leading Causes of Death in Adults’,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American Journal of Preventive Medicine</w:t>
      </w:r>
      <w:r w:rsidRPr="00886FAF">
        <w:rPr>
          <w:rFonts w:ascii="Arial" w:hAnsi="Arial" w:cs="Arial"/>
          <w:color w:val="000000" w:themeColor="text1"/>
        </w:rPr>
        <w:t>, 14(4), pp. 245–258.</w:t>
      </w:r>
    </w:p>
    <w:p w14:paraId="7E24BB70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 xml:space="preserve">Goodman, S.H. and </w:t>
      </w:r>
      <w:proofErr w:type="spellStart"/>
      <w:r w:rsidRPr="00886FAF">
        <w:rPr>
          <w:rFonts w:ascii="Arial" w:hAnsi="Arial" w:cs="Arial"/>
          <w:color w:val="000000" w:themeColor="text1"/>
        </w:rPr>
        <w:t>Gotlib</w:t>
      </w:r>
      <w:proofErr w:type="spellEnd"/>
      <w:r w:rsidRPr="00886FAF">
        <w:rPr>
          <w:rFonts w:ascii="Arial" w:hAnsi="Arial" w:cs="Arial"/>
          <w:color w:val="000000" w:themeColor="text1"/>
        </w:rPr>
        <w:t>, I.H. (1999) ‘Risk for Psychopathology in the Children of Depressed Mothers: A Developmental Model for Understanding Mechanisms of Transmission’,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Psychological Review</w:t>
      </w:r>
      <w:r w:rsidRPr="00886FAF">
        <w:rPr>
          <w:rFonts w:ascii="Arial" w:hAnsi="Arial" w:cs="Arial"/>
          <w:color w:val="000000" w:themeColor="text1"/>
        </w:rPr>
        <w:t>, 106(3), pp. 458–490.</w:t>
      </w:r>
    </w:p>
    <w:p w14:paraId="6237B035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>National Institute for Health and Care Excellence (NICE) (2022)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Child Maltreatment (NG225)</w:t>
      </w:r>
      <w:r w:rsidRPr="00886FAF">
        <w:rPr>
          <w:rFonts w:ascii="Arial" w:hAnsi="Arial" w:cs="Arial"/>
          <w:color w:val="000000" w:themeColor="text1"/>
        </w:rPr>
        <w:t>. London: NICE.</w:t>
      </w:r>
    </w:p>
    <w:p w14:paraId="0D6FD4B9" w14:textId="77777777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>National Institute for Health and Care Excellence (NICE) (2015)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Children's Attachment: Attachment in Children and Young People Who Are Adopted from Care, in Care or at High Risk of Going into Care (NG26)</w:t>
      </w:r>
      <w:r w:rsidRPr="00886FAF">
        <w:rPr>
          <w:rFonts w:ascii="Arial" w:hAnsi="Arial" w:cs="Arial"/>
          <w:color w:val="000000" w:themeColor="text1"/>
        </w:rPr>
        <w:t>. London: NICE.</w:t>
      </w:r>
    </w:p>
    <w:p w14:paraId="16406D2A" w14:textId="109DDC13" w:rsidR="00886FAF" w:rsidRPr="00886FAF" w:rsidRDefault="00886FAF" w:rsidP="00886FAF">
      <w:pPr>
        <w:pStyle w:val="NormalWeb"/>
        <w:rPr>
          <w:rFonts w:ascii="Arial" w:hAnsi="Arial" w:cs="Arial"/>
          <w:color w:val="000000" w:themeColor="text1"/>
        </w:rPr>
      </w:pPr>
      <w:r w:rsidRPr="00886FAF">
        <w:rPr>
          <w:rFonts w:ascii="Arial" w:hAnsi="Arial" w:cs="Arial"/>
          <w:color w:val="000000" w:themeColor="text1"/>
        </w:rPr>
        <w:t>NSPCC (2024)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Emphasis"/>
          <w:rFonts w:ascii="Arial" w:eastAsiaTheme="majorEastAsia" w:hAnsi="Arial" w:cs="Arial"/>
          <w:color w:val="000000" w:themeColor="text1"/>
        </w:rPr>
        <w:t>Parental Mental Health and Child Protection</w:t>
      </w:r>
      <w:r w:rsidRPr="00886FAF">
        <w:rPr>
          <w:rFonts w:ascii="Arial" w:hAnsi="Arial" w:cs="Arial"/>
          <w:color w:val="000000" w:themeColor="text1"/>
        </w:rPr>
        <w:t>. Available at: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hyperlink r:id="rId4" w:tgtFrame="_new" w:history="1">
        <w:r w:rsidRPr="00886FAF">
          <w:rPr>
            <w:rStyle w:val="Hyperlink"/>
            <w:rFonts w:ascii="Arial" w:eastAsiaTheme="majorEastAsia" w:hAnsi="Arial" w:cs="Arial"/>
            <w:color w:val="000000" w:themeColor="text1"/>
          </w:rPr>
          <w:t>https://learning.nspcc.org.uk</w:t>
        </w:r>
      </w:hyperlink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Fonts w:ascii="Arial" w:hAnsi="Arial" w:cs="Arial"/>
          <w:color w:val="000000" w:themeColor="text1"/>
        </w:rPr>
        <w:t>(Accessed:</w:t>
      </w:r>
      <w:r w:rsidRPr="00886FAF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886FAF">
        <w:rPr>
          <w:rStyle w:val="Strong"/>
          <w:rFonts w:ascii="Arial" w:eastAsiaTheme="majorEastAsia" w:hAnsi="Arial" w:cs="Arial"/>
          <w:color w:val="000000" w:themeColor="text1"/>
        </w:rPr>
        <w:t xml:space="preserve">15 </w:t>
      </w:r>
      <w:proofErr w:type="spellStart"/>
      <w:r w:rsidRPr="00886FAF">
        <w:rPr>
          <w:rStyle w:val="Strong"/>
          <w:rFonts w:ascii="Arial" w:eastAsiaTheme="majorEastAsia" w:hAnsi="Arial" w:cs="Arial"/>
          <w:color w:val="000000" w:themeColor="text1"/>
        </w:rPr>
        <w:t>july</w:t>
      </w:r>
      <w:proofErr w:type="spellEnd"/>
      <w:r w:rsidRPr="00886FAF">
        <w:rPr>
          <w:rStyle w:val="Strong"/>
          <w:rFonts w:ascii="Arial" w:eastAsiaTheme="majorEastAsia" w:hAnsi="Arial" w:cs="Arial"/>
          <w:color w:val="000000" w:themeColor="text1"/>
        </w:rPr>
        <w:t xml:space="preserve"> 2026</w:t>
      </w:r>
      <w:r w:rsidRPr="00886FAF">
        <w:rPr>
          <w:rFonts w:ascii="Arial" w:hAnsi="Arial" w:cs="Arial"/>
          <w:color w:val="000000" w:themeColor="text1"/>
        </w:rPr>
        <w:t>).</w:t>
      </w:r>
    </w:p>
    <w:p w14:paraId="64E3357F" w14:textId="77777777" w:rsidR="00886FAF" w:rsidRPr="00886FAF" w:rsidRDefault="00886FAF">
      <w:pPr>
        <w:rPr>
          <w:color w:val="FFFFFF" w:themeColor="background1"/>
        </w:rPr>
      </w:pPr>
    </w:p>
    <w:sectPr w:rsidR="00886FAF" w:rsidRPr="00886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AF"/>
    <w:rsid w:val="00085FA8"/>
    <w:rsid w:val="00886FAF"/>
    <w:rsid w:val="00AD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B9D961"/>
  <w15:chartTrackingRefBased/>
  <w15:docId w15:val="{F72C3F90-AC02-F24D-9965-39E150F9A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6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F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F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F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F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F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F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F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F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F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F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F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F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F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F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6F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6F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6F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F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6F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F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FAF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886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886FAF"/>
  </w:style>
  <w:style w:type="character" w:styleId="Emphasis">
    <w:name w:val="Emphasis"/>
    <w:basedOn w:val="DefaultParagraphFont"/>
    <w:uiPriority w:val="20"/>
    <w:qFormat/>
    <w:rsid w:val="00886FA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86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86FA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86F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13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.nspcc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Jussara Maria Sa Si Vieira (2431198)</dc:creator>
  <cp:keywords/>
  <dc:description/>
  <cp:lastModifiedBy>Jussara Maria Sa Si Vieira (2431198)</cp:lastModifiedBy>
  <cp:revision>2</cp:revision>
  <dcterms:created xsi:type="dcterms:W3CDTF">2026-07-20T11:57:00Z</dcterms:created>
  <dcterms:modified xsi:type="dcterms:W3CDTF">2026-07-20T11:57:00Z</dcterms:modified>
</cp:coreProperties>
</file>