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4FF8C" w14:textId="6DF8EE7E" w:rsidR="0053545F" w:rsidRPr="0053545F" w:rsidRDefault="0053545F" w:rsidP="007C6F5D">
      <w:pPr>
        <w:rPr>
          <w:rFonts w:ascii="Arial" w:hAnsi="Arial" w:cs="Arial"/>
          <w:sz w:val="24"/>
          <w:szCs w:val="24"/>
          <w:u w:val="single"/>
        </w:rPr>
      </w:pPr>
      <w:r w:rsidRPr="0053545F">
        <w:rPr>
          <w:rFonts w:ascii="Arial" w:hAnsi="Arial" w:cs="Arial"/>
          <w:sz w:val="24"/>
          <w:szCs w:val="24"/>
          <w:u w:val="single"/>
        </w:rPr>
        <w:t>Task a</w:t>
      </w:r>
    </w:p>
    <w:p w14:paraId="2AACB860" w14:textId="020E0A12" w:rsidR="007C6F5D" w:rsidRPr="000F5093" w:rsidRDefault="007C6F5D" w:rsidP="007C6F5D">
      <w:pPr>
        <w:rPr>
          <w:rFonts w:ascii="Arial" w:hAnsi="Arial" w:cs="Arial"/>
          <w:sz w:val="24"/>
          <w:szCs w:val="24"/>
        </w:rPr>
      </w:pPr>
      <w:r w:rsidRPr="000F5093">
        <w:rPr>
          <w:rFonts w:ascii="Arial" w:hAnsi="Arial" w:cs="Arial"/>
          <w:sz w:val="24"/>
          <w:szCs w:val="24"/>
        </w:rPr>
        <w:t>For this task I will critically reflect on my professional development since I qualified as a social worker in November 2021.  I will use Maclean’</w:t>
      </w:r>
      <w:r>
        <w:rPr>
          <w:rFonts w:ascii="Arial" w:hAnsi="Arial" w:cs="Arial"/>
          <w:sz w:val="24"/>
          <w:szCs w:val="24"/>
        </w:rPr>
        <w:t>s</w:t>
      </w:r>
      <w:r w:rsidRPr="000F5093">
        <w:rPr>
          <w:rFonts w:ascii="Arial" w:hAnsi="Arial" w:cs="Arial"/>
          <w:sz w:val="24"/>
          <w:szCs w:val="24"/>
        </w:rPr>
        <w:t xml:space="preserve"> Big Six model as it focuses on main themes of critical reflection – power, values, emotions, knowledge, self-awareness and uncertainty (Maclean, 2020).  This model can be used to reflect on a variety of core social work themes and although all are relevant, for the purposes of this task I will touch on all aspects but focus mainly on the self-awareness component.</w:t>
      </w:r>
    </w:p>
    <w:p w14:paraId="3F29F28C" w14:textId="77777777" w:rsidR="007C6F5D" w:rsidRPr="000F5093" w:rsidRDefault="007C6F5D" w:rsidP="007C6F5D">
      <w:pPr>
        <w:rPr>
          <w:rFonts w:ascii="Arial" w:hAnsi="Arial" w:cs="Arial"/>
          <w:sz w:val="24"/>
          <w:szCs w:val="24"/>
        </w:rPr>
      </w:pPr>
      <w:r w:rsidRPr="000F5093">
        <w:rPr>
          <w:rFonts w:ascii="Arial" w:hAnsi="Arial" w:cs="Arial"/>
          <w:sz w:val="24"/>
          <w:szCs w:val="24"/>
        </w:rPr>
        <w:t xml:space="preserve">During a supervision session with my line manager, I was able to reflect on my first year of practice, considering highlights, challenges and areas for ongoing development.  This included improving my analysis in assessments and the need to be more concise in my writing without losing the important detail.  Recording is an important aspect of social work (Stanley, 2019) and assessments are integral tools which are used in all areas of social work to support identifying themes (Milner et al., 2020).  I have reflected on assessments that I have completed during my first year of practice and have built a self-awareness that I can write in a descriptive fashion rather than analytical, and as such need to focus on a proportionate level of detail and learn that there will always be elements of uncertainty within assessments, so to build a greater knowledge of what is a safe uncertainty (Maclean, 2020).  I feel that this will improve with confidence, supervision and </w:t>
      </w:r>
      <w:r>
        <w:rPr>
          <w:rFonts w:ascii="Arial" w:hAnsi="Arial" w:cs="Arial"/>
          <w:sz w:val="24"/>
          <w:szCs w:val="24"/>
        </w:rPr>
        <w:t>exploring case formulation and scenarios</w:t>
      </w:r>
      <w:r w:rsidRPr="000F5093">
        <w:rPr>
          <w:rFonts w:ascii="Arial" w:hAnsi="Arial" w:cs="Arial"/>
          <w:sz w:val="24"/>
          <w:szCs w:val="24"/>
        </w:rPr>
        <w:t xml:space="preserve"> with colleagues.  </w:t>
      </w:r>
      <w:r>
        <w:rPr>
          <w:rFonts w:ascii="Arial" w:hAnsi="Arial" w:cs="Arial"/>
          <w:sz w:val="24"/>
          <w:szCs w:val="24"/>
        </w:rPr>
        <w:t>Over the next year I</w:t>
      </w:r>
      <w:r w:rsidRPr="000F5093">
        <w:rPr>
          <w:rFonts w:ascii="Arial" w:hAnsi="Arial" w:cs="Arial"/>
          <w:sz w:val="24"/>
          <w:szCs w:val="24"/>
        </w:rPr>
        <w:t xml:space="preserve"> will explore provision of record keeping training to aim to make my work more concise.</w:t>
      </w:r>
    </w:p>
    <w:p w14:paraId="474ABD20" w14:textId="77777777" w:rsidR="007C6F5D" w:rsidRPr="000F5093" w:rsidRDefault="007C6F5D" w:rsidP="007C6F5D">
      <w:pPr>
        <w:rPr>
          <w:rFonts w:ascii="Arial" w:hAnsi="Arial" w:cs="Arial"/>
          <w:sz w:val="24"/>
          <w:szCs w:val="24"/>
        </w:rPr>
      </w:pPr>
      <w:r w:rsidRPr="000F5093">
        <w:rPr>
          <w:rFonts w:ascii="Arial" w:hAnsi="Arial" w:cs="Arial"/>
          <w:sz w:val="24"/>
          <w:szCs w:val="24"/>
        </w:rPr>
        <w:t>I moved to children’s services post-qualifying, and I have reflected that it is critical for me to develop my knowledge and understanding of legislative frameworks regarding assessments in the children’s sector.  I have engaged in training regarding the Social Services and Wellbeing (Wales) Act (2014) and am awaiting a date for specific training regarding completing general fostering assessments.  Through discussions with colleagues, supervision and observing fostering panel I am improving my knowledge regarding fostering regulations and the related competencies which need to be evidenced within assessment analysis.  I have signed up for regular newsletters from Community Care Inform and Fostering Network, so I am kept up to date with practices, research</w:t>
      </w:r>
      <w:r>
        <w:rPr>
          <w:rFonts w:ascii="Arial" w:hAnsi="Arial" w:cs="Arial"/>
          <w:sz w:val="24"/>
          <w:szCs w:val="24"/>
        </w:rPr>
        <w:t>,</w:t>
      </w:r>
      <w:r w:rsidRPr="000F5093">
        <w:rPr>
          <w:rFonts w:ascii="Arial" w:hAnsi="Arial" w:cs="Arial"/>
          <w:sz w:val="24"/>
          <w:szCs w:val="24"/>
        </w:rPr>
        <w:t xml:space="preserve"> emerging themes and learning.  </w:t>
      </w:r>
    </w:p>
    <w:p w14:paraId="19464D6B" w14:textId="77777777" w:rsidR="007C6F5D" w:rsidRPr="000F5093" w:rsidRDefault="007C6F5D" w:rsidP="007C6F5D">
      <w:pPr>
        <w:rPr>
          <w:rFonts w:ascii="Arial" w:hAnsi="Arial" w:cs="Arial"/>
          <w:sz w:val="24"/>
          <w:szCs w:val="24"/>
        </w:rPr>
      </w:pPr>
      <w:r w:rsidRPr="000F5093">
        <w:rPr>
          <w:rFonts w:ascii="Arial" w:hAnsi="Arial" w:cs="Arial"/>
          <w:sz w:val="24"/>
          <w:szCs w:val="24"/>
        </w:rPr>
        <w:t xml:space="preserve">Working in Wales, a key piece of legislation is the SSWBWA (2014) which </w:t>
      </w:r>
      <w:proofErr w:type="spellStart"/>
      <w:r w:rsidRPr="000F5093">
        <w:rPr>
          <w:rFonts w:ascii="Arial" w:hAnsi="Arial" w:cs="Arial"/>
          <w:sz w:val="24"/>
          <w:szCs w:val="24"/>
        </w:rPr>
        <w:t>emphasises</w:t>
      </w:r>
      <w:proofErr w:type="spellEnd"/>
      <w:r w:rsidRPr="000F5093">
        <w:rPr>
          <w:rFonts w:ascii="Arial" w:hAnsi="Arial" w:cs="Arial"/>
          <w:sz w:val="24"/>
          <w:szCs w:val="24"/>
        </w:rPr>
        <w:t xml:space="preserve"> the importance of collaborative working and coproduction.  On reflection, during my study placements I wanted to ‘fix’ </w:t>
      </w:r>
      <w:r>
        <w:rPr>
          <w:rFonts w:ascii="Arial" w:hAnsi="Arial" w:cs="Arial"/>
          <w:sz w:val="24"/>
          <w:szCs w:val="24"/>
        </w:rPr>
        <w:t>situations</w:t>
      </w:r>
      <w:r w:rsidRPr="000F5093">
        <w:rPr>
          <w:rFonts w:ascii="Arial" w:hAnsi="Arial" w:cs="Arial"/>
          <w:sz w:val="24"/>
          <w:szCs w:val="24"/>
        </w:rPr>
        <w:t xml:space="preserve"> and although there are still elements of this within my values, I have become more self-aware of my role as a social worker and the benefits of empowerment and coproduction (Social Care Wales, 2022a), </w:t>
      </w:r>
      <w:r>
        <w:rPr>
          <w:rFonts w:ascii="Arial" w:hAnsi="Arial" w:cs="Arial"/>
          <w:sz w:val="24"/>
          <w:szCs w:val="24"/>
        </w:rPr>
        <w:t xml:space="preserve">including </w:t>
      </w:r>
      <w:r w:rsidRPr="000F5093">
        <w:rPr>
          <w:rFonts w:ascii="Arial" w:hAnsi="Arial" w:cs="Arial"/>
          <w:sz w:val="24"/>
          <w:szCs w:val="24"/>
        </w:rPr>
        <w:t xml:space="preserve">encouraging individuals to use their support network, local resources and reach their own personal goals in accordance with Maclean’s model and the Act.  </w:t>
      </w:r>
    </w:p>
    <w:p w14:paraId="3914BEB7" w14:textId="77777777" w:rsidR="007C6F5D" w:rsidRPr="000F5093" w:rsidRDefault="007C6F5D" w:rsidP="007C6F5D">
      <w:pPr>
        <w:rPr>
          <w:rFonts w:ascii="Arial" w:hAnsi="Arial" w:cs="Arial"/>
          <w:sz w:val="24"/>
          <w:szCs w:val="24"/>
        </w:rPr>
      </w:pPr>
      <w:r w:rsidRPr="000F5093">
        <w:rPr>
          <w:rFonts w:ascii="Arial" w:hAnsi="Arial" w:cs="Arial"/>
          <w:sz w:val="24"/>
          <w:szCs w:val="24"/>
        </w:rPr>
        <w:t>Maclean’s model suggests collaborative working can also bring benefits and challenges of power (Ambrose-Miller and Ashcroft, 2016), whereas SCIE (2022) describe coproduction as “</w:t>
      </w:r>
      <w:r w:rsidRPr="000F5093">
        <w:rPr>
          <w:rFonts w:ascii="Arial" w:hAnsi="Arial" w:cs="Arial"/>
          <w:i/>
          <w:iCs/>
          <w:sz w:val="24"/>
          <w:szCs w:val="24"/>
        </w:rPr>
        <w:t>working in partnership by sharing power</w:t>
      </w:r>
      <w:r w:rsidRPr="000F5093">
        <w:rPr>
          <w:rFonts w:ascii="Arial" w:hAnsi="Arial" w:cs="Arial"/>
          <w:sz w:val="24"/>
          <w:szCs w:val="24"/>
        </w:rPr>
        <w:t xml:space="preserve">”.  Although foster carers are classed as professionals in their own right (Fostering Network, 2016a), </w:t>
      </w:r>
      <w:r w:rsidRPr="000F5093">
        <w:rPr>
          <w:rFonts w:ascii="Arial" w:hAnsi="Arial" w:cs="Arial"/>
          <w:sz w:val="24"/>
          <w:szCs w:val="24"/>
        </w:rPr>
        <w:lastRenderedPageBreak/>
        <w:t xml:space="preserve">Kirton et al. (2007) report that there can still be a power imbalance.  I have reflected upon this during supervision and </w:t>
      </w:r>
      <w:proofErr w:type="spellStart"/>
      <w:r w:rsidRPr="000F5093">
        <w:rPr>
          <w:rFonts w:ascii="Arial" w:hAnsi="Arial" w:cs="Arial"/>
          <w:sz w:val="24"/>
          <w:szCs w:val="24"/>
        </w:rPr>
        <w:t>endeavour</w:t>
      </w:r>
      <w:proofErr w:type="spellEnd"/>
      <w:r w:rsidRPr="000F5093">
        <w:rPr>
          <w:rFonts w:ascii="Arial" w:hAnsi="Arial" w:cs="Arial"/>
          <w:sz w:val="24"/>
          <w:szCs w:val="24"/>
        </w:rPr>
        <w:t xml:space="preserve"> to support foster carers to be active members of the team around the child and value their skills and expertise as equally as any other professional.  I have come to understand that fostering is an emotional and challenging task, and during my support sessions try to gain an understanding of how the foster carer felt during particular times of their fostering role.  I do this through effective communication, open-ended questions and active listening skills.  During my next twelve months I will continue to develop my self-awareness of my communication skills, </w:t>
      </w:r>
      <w:r>
        <w:rPr>
          <w:rFonts w:ascii="Arial" w:hAnsi="Arial" w:cs="Arial"/>
          <w:sz w:val="24"/>
          <w:szCs w:val="24"/>
        </w:rPr>
        <w:t xml:space="preserve">consider feedback from carers, </w:t>
      </w:r>
      <w:r w:rsidRPr="000F5093">
        <w:rPr>
          <w:rFonts w:ascii="Arial" w:hAnsi="Arial" w:cs="Arial"/>
          <w:sz w:val="24"/>
          <w:szCs w:val="24"/>
        </w:rPr>
        <w:t xml:space="preserve">attend available training and reflect during individual and peer supervision sessions.  </w:t>
      </w:r>
    </w:p>
    <w:p w14:paraId="6BE538D6" w14:textId="77777777" w:rsidR="007C6F5D" w:rsidRPr="000F5093" w:rsidRDefault="007C6F5D" w:rsidP="007C6F5D">
      <w:pPr>
        <w:rPr>
          <w:rFonts w:ascii="Arial" w:hAnsi="Arial" w:cs="Arial"/>
          <w:sz w:val="24"/>
          <w:szCs w:val="24"/>
        </w:rPr>
      </w:pPr>
      <w:r w:rsidRPr="000F5093">
        <w:rPr>
          <w:rFonts w:ascii="Arial" w:hAnsi="Arial" w:cs="Arial"/>
          <w:sz w:val="24"/>
          <w:szCs w:val="24"/>
        </w:rPr>
        <w:t>With regards to professional judgement, I would like to improve my confidence regarding analysis and decision-making when completing viability assessment</w:t>
      </w:r>
      <w:r>
        <w:rPr>
          <w:rFonts w:ascii="Arial" w:hAnsi="Arial" w:cs="Arial"/>
          <w:sz w:val="24"/>
          <w:szCs w:val="24"/>
        </w:rPr>
        <w:t>s.  These are completed</w:t>
      </w:r>
      <w:r w:rsidRPr="000F5093">
        <w:rPr>
          <w:rFonts w:ascii="Arial" w:hAnsi="Arial" w:cs="Arial"/>
          <w:sz w:val="24"/>
          <w:szCs w:val="24"/>
        </w:rPr>
        <w:t xml:space="preserve"> when a connected person puts themselves forward to provide care for a child if they are unable to reside with their birth parents (Hunt, 2020).  The outcome of these assessments can be life-changing (O’Brien, 2013) and being in a position of power by submitting a recommendation is a responsible role.  Delivering the </w:t>
      </w:r>
      <w:r>
        <w:rPr>
          <w:rFonts w:ascii="Arial" w:hAnsi="Arial" w:cs="Arial"/>
          <w:sz w:val="24"/>
          <w:szCs w:val="24"/>
        </w:rPr>
        <w:t xml:space="preserve">assessment </w:t>
      </w:r>
      <w:r w:rsidRPr="000F5093">
        <w:rPr>
          <w:rFonts w:ascii="Arial" w:hAnsi="Arial" w:cs="Arial"/>
          <w:sz w:val="24"/>
          <w:szCs w:val="24"/>
        </w:rPr>
        <w:t xml:space="preserve">outcome has allowed me to reflect and using Maclean’s model I have become more self-aware of my own emotional reactions and </w:t>
      </w:r>
      <w:proofErr w:type="spellStart"/>
      <w:r w:rsidRPr="000F5093">
        <w:rPr>
          <w:rFonts w:ascii="Arial" w:hAnsi="Arial" w:cs="Arial"/>
          <w:sz w:val="24"/>
          <w:szCs w:val="24"/>
        </w:rPr>
        <w:t>empathise</w:t>
      </w:r>
      <w:proofErr w:type="spellEnd"/>
      <w:r w:rsidRPr="000F5093">
        <w:rPr>
          <w:rFonts w:ascii="Arial" w:hAnsi="Arial" w:cs="Arial"/>
          <w:sz w:val="24"/>
          <w:szCs w:val="24"/>
        </w:rPr>
        <w:t xml:space="preserve"> with how others feel.  I complete these assessments collaboratively alongside the child’s social worker; however, it is my responsibility to</w:t>
      </w:r>
      <w:r>
        <w:rPr>
          <w:rFonts w:ascii="Arial" w:hAnsi="Arial" w:cs="Arial"/>
          <w:sz w:val="24"/>
          <w:szCs w:val="24"/>
        </w:rPr>
        <w:t xml:space="preserve"> accur</w:t>
      </w:r>
      <w:r w:rsidRPr="000F5093">
        <w:rPr>
          <w:rFonts w:ascii="Arial" w:hAnsi="Arial" w:cs="Arial"/>
          <w:sz w:val="24"/>
          <w:szCs w:val="24"/>
        </w:rPr>
        <w:t>ately</w:t>
      </w:r>
      <w:r>
        <w:rPr>
          <w:rFonts w:ascii="Arial" w:hAnsi="Arial" w:cs="Arial"/>
          <w:sz w:val="24"/>
          <w:szCs w:val="24"/>
        </w:rPr>
        <w:t xml:space="preserve"> record</w:t>
      </w:r>
      <w:r w:rsidRPr="000F5093">
        <w:rPr>
          <w:rFonts w:ascii="Arial" w:hAnsi="Arial" w:cs="Arial"/>
          <w:sz w:val="24"/>
          <w:szCs w:val="24"/>
        </w:rPr>
        <w:t xml:space="preserve">.  I will encourage the child’s social worker to provide critical feedback regarding my strengths and areas for development.  I also plan to look at case studies and consider strengths and vulnerabilities of each case.  </w:t>
      </w:r>
    </w:p>
    <w:p w14:paraId="53C25916" w14:textId="77777777" w:rsidR="007C6F5D" w:rsidRPr="000F5093" w:rsidRDefault="007C6F5D" w:rsidP="007C6F5D">
      <w:pPr>
        <w:jc w:val="right"/>
        <w:rPr>
          <w:rFonts w:ascii="Arial" w:hAnsi="Arial" w:cs="Arial"/>
          <w:sz w:val="24"/>
          <w:szCs w:val="24"/>
        </w:rPr>
      </w:pPr>
      <w:r w:rsidRPr="000F5093">
        <w:rPr>
          <w:rFonts w:ascii="Arial" w:hAnsi="Arial" w:cs="Arial"/>
          <w:sz w:val="24"/>
          <w:szCs w:val="24"/>
        </w:rPr>
        <w:t>Word Count: 80</w:t>
      </w:r>
      <w:r>
        <w:rPr>
          <w:rFonts w:ascii="Arial" w:hAnsi="Arial" w:cs="Arial"/>
          <w:sz w:val="24"/>
          <w:szCs w:val="24"/>
        </w:rPr>
        <w:t>1</w:t>
      </w:r>
    </w:p>
    <w:p w14:paraId="6F43618D" w14:textId="07024B66" w:rsidR="00F360C0" w:rsidRDefault="00F360C0" w:rsidP="000A67B6">
      <w:pPr>
        <w:jc w:val="right"/>
        <w:rPr>
          <w:rFonts w:ascii="Arial" w:hAnsi="Arial" w:cs="Arial"/>
          <w:sz w:val="24"/>
          <w:szCs w:val="24"/>
        </w:rPr>
      </w:pPr>
    </w:p>
    <w:p w14:paraId="7E132E31" w14:textId="40DFF919" w:rsidR="00F360C0" w:rsidRDefault="00F360C0" w:rsidP="000A67B6">
      <w:pPr>
        <w:jc w:val="right"/>
        <w:rPr>
          <w:rFonts w:ascii="Arial" w:hAnsi="Arial" w:cs="Arial"/>
          <w:sz w:val="24"/>
          <w:szCs w:val="24"/>
        </w:rPr>
      </w:pPr>
    </w:p>
    <w:p w14:paraId="6B64121D" w14:textId="7917E129" w:rsidR="00F360C0" w:rsidRDefault="00F360C0" w:rsidP="000A67B6">
      <w:pPr>
        <w:jc w:val="right"/>
        <w:rPr>
          <w:rFonts w:ascii="Arial" w:hAnsi="Arial" w:cs="Arial"/>
          <w:sz w:val="24"/>
          <w:szCs w:val="24"/>
        </w:rPr>
      </w:pPr>
    </w:p>
    <w:p w14:paraId="2425E133" w14:textId="5C3D2C61" w:rsidR="00F360C0" w:rsidRDefault="00F360C0" w:rsidP="000A67B6">
      <w:pPr>
        <w:jc w:val="right"/>
        <w:rPr>
          <w:rFonts w:ascii="Arial" w:hAnsi="Arial" w:cs="Arial"/>
          <w:sz w:val="24"/>
          <w:szCs w:val="24"/>
        </w:rPr>
      </w:pPr>
    </w:p>
    <w:p w14:paraId="31DC70B0" w14:textId="70DBD58B" w:rsidR="00F360C0" w:rsidRDefault="00F360C0" w:rsidP="000A67B6">
      <w:pPr>
        <w:jc w:val="right"/>
        <w:rPr>
          <w:rFonts w:ascii="Arial" w:hAnsi="Arial" w:cs="Arial"/>
          <w:sz w:val="24"/>
          <w:szCs w:val="24"/>
        </w:rPr>
      </w:pPr>
    </w:p>
    <w:p w14:paraId="3C9C2BE2" w14:textId="4E4C56A4" w:rsidR="00F360C0" w:rsidRDefault="00F360C0" w:rsidP="000A67B6">
      <w:pPr>
        <w:jc w:val="right"/>
        <w:rPr>
          <w:rFonts w:ascii="Arial" w:hAnsi="Arial" w:cs="Arial"/>
          <w:sz w:val="24"/>
          <w:szCs w:val="24"/>
        </w:rPr>
      </w:pPr>
    </w:p>
    <w:p w14:paraId="61A4ADBD" w14:textId="05AA158A" w:rsidR="00F360C0" w:rsidRDefault="00F360C0" w:rsidP="000A67B6">
      <w:pPr>
        <w:jc w:val="right"/>
        <w:rPr>
          <w:rFonts w:ascii="Arial" w:hAnsi="Arial" w:cs="Arial"/>
          <w:sz w:val="24"/>
          <w:szCs w:val="24"/>
        </w:rPr>
      </w:pPr>
    </w:p>
    <w:p w14:paraId="6908F57E" w14:textId="17BEE2FB" w:rsidR="00F360C0" w:rsidRDefault="00F360C0" w:rsidP="000A67B6">
      <w:pPr>
        <w:jc w:val="right"/>
        <w:rPr>
          <w:rFonts w:ascii="Arial" w:hAnsi="Arial" w:cs="Arial"/>
          <w:sz w:val="24"/>
          <w:szCs w:val="24"/>
        </w:rPr>
      </w:pPr>
    </w:p>
    <w:p w14:paraId="1116627F" w14:textId="22CD552A" w:rsidR="00F360C0" w:rsidRDefault="00F360C0" w:rsidP="000A67B6">
      <w:pPr>
        <w:jc w:val="right"/>
        <w:rPr>
          <w:rFonts w:ascii="Arial" w:hAnsi="Arial" w:cs="Arial"/>
          <w:sz w:val="24"/>
          <w:szCs w:val="24"/>
        </w:rPr>
      </w:pPr>
    </w:p>
    <w:p w14:paraId="3A48FA7C" w14:textId="1CBE32CD" w:rsidR="00F360C0" w:rsidRDefault="00F360C0" w:rsidP="000A67B6">
      <w:pPr>
        <w:jc w:val="right"/>
        <w:rPr>
          <w:rFonts w:ascii="Arial" w:hAnsi="Arial" w:cs="Arial"/>
          <w:sz w:val="24"/>
          <w:szCs w:val="24"/>
        </w:rPr>
      </w:pPr>
    </w:p>
    <w:p w14:paraId="47AFAE73" w14:textId="39C452A9" w:rsidR="00F360C0" w:rsidRDefault="00F360C0" w:rsidP="000A67B6">
      <w:pPr>
        <w:jc w:val="right"/>
        <w:rPr>
          <w:rFonts w:ascii="Arial" w:hAnsi="Arial" w:cs="Arial"/>
          <w:sz w:val="24"/>
          <w:szCs w:val="24"/>
        </w:rPr>
      </w:pPr>
    </w:p>
    <w:p w14:paraId="3BA3F1EA" w14:textId="1B8473A7" w:rsidR="00F360C0" w:rsidRDefault="00F360C0" w:rsidP="000A67B6">
      <w:pPr>
        <w:jc w:val="right"/>
        <w:rPr>
          <w:rFonts w:ascii="Arial" w:hAnsi="Arial" w:cs="Arial"/>
          <w:sz w:val="24"/>
          <w:szCs w:val="24"/>
        </w:rPr>
      </w:pPr>
    </w:p>
    <w:p w14:paraId="435598BF" w14:textId="45D1B160" w:rsidR="00F360C0" w:rsidRDefault="00F360C0" w:rsidP="000A67B6">
      <w:pPr>
        <w:jc w:val="right"/>
        <w:rPr>
          <w:rFonts w:ascii="Arial" w:hAnsi="Arial" w:cs="Arial"/>
          <w:sz w:val="24"/>
          <w:szCs w:val="24"/>
        </w:rPr>
      </w:pPr>
    </w:p>
    <w:p w14:paraId="188E8F7C" w14:textId="77777777" w:rsidR="00F360C0" w:rsidRDefault="00F360C0" w:rsidP="000A67B6">
      <w:pPr>
        <w:jc w:val="right"/>
        <w:rPr>
          <w:rFonts w:ascii="Arial" w:hAnsi="Arial" w:cs="Arial"/>
          <w:sz w:val="24"/>
          <w:szCs w:val="24"/>
        </w:rPr>
      </w:pPr>
    </w:p>
    <w:p w14:paraId="06F53CDF" w14:textId="1E9F3985" w:rsidR="00F360C0" w:rsidRPr="00F360C0" w:rsidRDefault="00F360C0" w:rsidP="00F360C0">
      <w:pPr>
        <w:jc w:val="center"/>
        <w:rPr>
          <w:rFonts w:ascii="Arial" w:hAnsi="Arial" w:cs="Arial"/>
          <w:sz w:val="24"/>
          <w:szCs w:val="24"/>
          <w:u w:val="single"/>
        </w:rPr>
      </w:pPr>
      <w:r w:rsidRPr="00F360C0">
        <w:rPr>
          <w:rFonts w:ascii="Arial" w:hAnsi="Arial" w:cs="Arial"/>
          <w:sz w:val="24"/>
          <w:szCs w:val="24"/>
          <w:u w:val="single"/>
        </w:rPr>
        <w:lastRenderedPageBreak/>
        <w:t>References</w:t>
      </w:r>
    </w:p>
    <w:p w14:paraId="567348FA" w14:textId="77777777" w:rsidR="00F360C0" w:rsidRPr="00C12151" w:rsidRDefault="00F360C0" w:rsidP="00F360C0">
      <w:pPr>
        <w:rPr>
          <w:rFonts w:ascii="Arial" w:hAnsi="Arial" w:cs="Arial"/>
          <w:color w:val="000000" w:themeColor="text1"/>
          <w:sz w:val="24"/>
          <w:szCs w:val="24"/>
        </w:rPr>
      </w:pPr>
      <w:r w:rsidRPr="00C12151">
        <w:rPr>
          <w:rFonts w:ascii="Arial" w:hAnsi="Arial" w:cs="Arial"/>
          <w:color w:val="000000" w:themeColor="text1"/>
          <w:sz w:val="24"/>
          <w:szCs w:val="24"/>
        </w:rPr>
        <w:t xml:space="preserve">Ambrose-Miller, W. and Ashcroft, R. (2016) </w:t>
      </w:r>
      <w:r w:rsidRPr="00C12151">
        <w:rPr>
          <w:rFonts w:ascii="Arial" w:hAnsi="Arial" w:cs="Arial"/>
          <w:i/>
          <w:iCs/>
          <w:color w:val="000000" w:themeColor="text1"/>
          <w:sz w:val="24"/>
          <w:szCs w:val="24"/>
        </w:rPr>
        <w:t xml:space="preserve">Challenges Faced by Social Workers as Members of Interprofessional Collaborative Health Care Teams, </w:t>
      </w:r>
      <w:r w:rsidRPr="00C12151">
        <w:rPr>
          <w:rFonts w:ascii="Arial" w:hAnsi="Arial" w:cs="Arial"/>
          <w:color w:val="000000" w:themeColor="text1"/>
          <w:sz w:val="24"/>
          <w:szCs w:val="24"/>
        </w:rPr>
        <w:t>Health and Social Work, 41 (2) pp. 101 – 109.</w:t>
      </w:r>
    </w:p>
    <w:p w14:paraId="1FC370A5" w14:textId="77777777" w:rsidR="00F360C0" w:rsidRPr="00C12151" w:rsidRDefault="00F360C0" w:rsidP="00F360C0">
      <w:pPr>
        <w:rPr>
          <w:rFonts w:ascii="Arial" w:hAnsi="Arial" w:cs="Arial"/>
          <w:color w:val="000000" w:themeColor="text1"/>
          <w:sz w:val="24"/>
          <w:szCs w:val="24"/>
        </w:rPr>
      </w:pPr>
      <w:r w:rsidRPr="00C12151">
        <w:rPr>
          <w:rFonts w:ascii="Arial" w:hAnsi="Arial" w:cs="Arial"/>
          <w:color w:val="000000" w:themeColor="text1"/>
          <w:sz w:val="24"/>
          <w:szCs w:val="24"/>
        </w:rPr>
        <w:t xml:space="preserve">Fostering Network (2016a) </w:t>
      </w:r>
      <w:r w:rsidRPr="00C12151">
        <w:rPr>
          <w:rFonts w:ascii="Arial" w:hAnsi="Arial" w:cs="Arial"/>
          <w:i/>
          <w:iCs/>
          <w:color w:val="000000" w:themeColor="text1"/>
          <w:sz w:val="24"/>
          <w:szCs w:val="24"/>
        </w:rPr>
        <w:t xml:space="preserve">It’s Time to Treat Foster Carers as the Professional that they are, </w:t>
      </w:r>
      <w:r w:rsidRPr="00C12151">
        <w:rPr>
          <w:rFonts w:ascii="Arial" w:hAnsi="Arial" w:cs="Arial"/>
          <w:color w:val="000000" w:themeColor="text1"/>
          <w:sz w:val="24"/>
          <w:szCs w:val="24"/>
        </w:rPr>
        <w:t xml:space="preserve">[ONLINE] Available at: </w:t>
      </w:r>
      <w:hyperlink r:id="rId7" w:history="1">
        <w:r w:rsidRPr="00C12151">
          <w:rPr>
            <w:rStyle w:val="Hyperlink"/>
            <w:rFonts w:ascii="Arial" w:hAnsi="Arial" w:cs="Arial"/>
            <w:color w:val="000000" w:themeColor="text1"/>
            <w:sz w:val="24"/>
            <w:szCs w:val="24"/>
          </w:rPr>
          <w:t>www.thefosteringnetwork.org.uk/blogs/kevin-williams/its-time-treat-foster-carers-professionals-they-are</w:t>
        </w:r>
      </w:hyperlink>
      <w:r w:rsidRPr="00C12151">
        <w:rPr>
          <w:rFonts w:ascii="Arial" w:hAnsi="Arial" w:cs="Arial"/>
          <w:color w:val="000000" w:themeColor="text1"/>
          <w:sz w:val="24"/>
          <w:szCs w:val="24"/>
        </w:rPr>
        <w:t xml:space="preserve"> [Accessed on 2 January 2023]. </w:t>
      </w:r>
    </w:p>
    <w:p w14:paraId="27C52AE8" w14:textId="77777777" w:rsidR="00F360C0" w:rsidRPr="00C12151" w:rsidRDefault="00F360C0" w:rsidP="00F360C0">
      <w:pPr>
        <w:rPr>
          <w:rFonts w:ascii="Arial" w:hAnsi="Arial" w:cs="Arial"/>
          <w:color w:val="000000" w:themeColor="text1"/>
          <w:sz w:val="24"/>
          <w:szCs w:val="24"/>
        </w:rPr>
      </w:pPr>
      <w:r w:rsidRPr="00C12151">
        <w:rPr>
          <w:rFonts w:ascii="Arial" w:hAnsi="Arial" w:cs="Arial"/>
          <w:color w:val="000000" w:themeColor="text1"/>
          <w:sz w:val="24"/>
          <w:szCs w:val="24"/>
        </w:rPr>
        <w:t xml:space="preserve">Hunt, J. (2020) </w:t>
      </w:r>
      <w:r w:rsidRPr="00C12151">
        <w:rPr>
          <w:rFonts w:ascii="Arial" w:hAnsi="Arial" w:cs="Arial"/>
          <w:i/>
          <w:iCs/>
          <w:color w:val="000000" w:themeColor="text1"/>
          <w:sz w:val="24"/>
          <w:szCs w:val="24"/>
        </w:rPr>
        <w:t xml:space="preserve">Two Decades of UK Research on Kinship Care: An Overview, </w:t>
      </w:r>
      <w:r w:rsidRPr="00C12151">
        <w:rPr>
          <w:rFonts w:ascii="Arial" w:hAnsi="Arial" w:cs="Arial"/>
          <w:color w:val="000000" w:themeColor="text1"/>
          <w:sz w:val="24"/>
          <w:szCs w:val="24"/>
        </w:rPr>
        <w:t>London: Family Rights Group.</w:t>
      </w:r>
    </w:p>
    <w:p w14:paraId="520BCC43" w14:textId="77777777" w:rsidR="00F360C0" w:rsidRPr="00C12151" w:rsidRDefault="00F360C0" w:rsidP="00F360C0">
      <w:pPr>
        <w:rPr>
          <w:rFonts w:ascii="Arial" w:hAnsi="Arial" w:cs="Arial"/>
          <w:color w:val="000000" w:themeColor="text1"/>
          <w:sz w:val="24"/>
          <w:szCs w:val="24"/>
        </w:rPr>
      </w:pPr>
      <w:r w:rsidRPr="00C12151">
        <w:rPr>
          <w:rFonts w:ascii="Arial" w:hAnsi="Arial" w:cs="Arial"/>
          <w:color w:val="000000" w:themeColor="text1"/>
          <w:sz w:val="24"/>
          <w:szCs w:val="24"/>
        </w:rPr>
        <w:t xml:space="preserve">Kirton, D., Beecham, J. and Ogilvie, K. (2007) </w:t>
      </w:r>
      <w:r w:rsidRPr="00C12151">
        <w:rPr>
          <w:rFonts w:ascii="Arial" w:hAnsi="Arial" w:cs="Arial"/>
          <w:i/>
          <w:iCs/>
          <w:color w:val="000000" w:themeColor="text1"/>
          <w:sz w:val="24"/>
          <w:szCs w:val="24"/>
        </w:rPr>
        <w:t xml:space="preserve">Still the Poor Relations?: Perspectives on Valuing and Listening to Foster Carers, </w:t>
      </w:r>
      <w:r w:rsidRPr="00C12151">
        <w:rPr>
          <w:rFonts w:ascii="Arial" w:hAnsi="Arial" w:cs="Arial"/>
          <w:color w:val="000000" w:themeColor="text1"/>
          <w:sz w:val="24"/>
          <w:szCs w:val="24"/>
        </w:rPr>
        <w:t>Adoption and Fostering, 31 (3) pp. 6-17.</w:t>
      </w:r>
      <w:r w:rsidRPr="00C12151">
        <w:rPr>
          <w:rFonts w:ascii="Arial" w:hAnsi="Arial" w:cs="Arial"/>
          <w:color w:val="000000" w:themeColor="text1"/>
          <w:sz w:val="24"/>
          <w:szCs w:val="24"/>
        </w:rPr>
        <w:br/>
      </w:r>
      <w:r>
        <w:rPr>
          <w:rFonts w:ascii="Arial" w:hAnsi="Arial" w:cs="Arial"/>
          <w:color w:val="000000" w:themeColor="text1"/>
          <w:sz w:val="24"/>
          <w:szCs w:val="24"/>
        </w:rPr>
        <w:br/>
      </w:r>
      <w:r w:rsidRPr="00C12151">
        <w:rPr>
          <w:rFonts w:ascii="Arial" w:hAnsi="Arial" w:cs="Arial"/>
          <w:color w:val="000000" w:themeColor="text1"/>
          <w:sz w:val="24"/>
          <w:szCs w:val="24"/>
        </w:rPr>
        <w:t xml:space="preserve">Legislation (2023b) </w:t>
      </w:r>
      <w:r w:rsidRPr="00C12151">
        <w:rPr>
          <w:rFonts w:ascii="Arial" w:hAnsi="Arial" w:cs="Arial"/>
          <w:i/>
          <w:iCs/>
          <w:color w:val="000000" w:themeColor="text1"/>
          <w:sz w:val="24"/>
          <w:szCs w:val="24"/>
        </w:rPr>
        <w:t xml:space="preserve">Social Services and Wellbeing (Wales) Act (2014) </w:t>
      </w:r>
      <w:r w:rsidRPr="00C12151">
        <w:rPr>
          <w:rFonts w:ascii="Arial" w:hAnsi="Arial" w:cs="Arial"/>
          <w:color w:val="000000" w:themeColor="text1"/>
          <w:sz w:val="24"/>
          <w:szCs w:val="24"/>
        </w:rPr>
        <w:t xml:space="preserve">[ONLINE] Available at: </w:t>
      </w:r>
      <w:hyperlink r:id="rId8" w:history="1">
        <w:r w:rsidRPr="00C12151">
          <w:rPr>
            <w:rStyle w:val="Hyperlink"/>
            <w:rFonts w:ascii="Arial" w:hAnsi="Arial" w:cs="Arial"/>
            <w:color w:val="000000" w:themeColor="text1"/>
            <w:sz w:val="24"/>
            <w:szCs w:val="24"/>
          </w:rPr>
          <w:t>www.legislation.gov.uk/anaw/2014/4/section/76/enacted</w:t>
        </w:r>
      </w:hyperlink>
      <w:r w:rsidRPr="00C12151">
        <w:rPr>
          <w:rFonts w:ascii="Arial" w:hAnsi="Arial" w:cs="Arial"/>
          <w:color w:val="000000" w:themeColor="text1"/>
          <w:sz w:val="24"/>
          <w:szCs w:val="24"/>
        </w:rPr>
        <w:t xml:space="preserve"> [Accessed on 2 June 2023].</w:t>
      </w:r>
      <w:r w:rsidRPr="00C12151">
        <w:rPr>
          <w:rFonts w:ascii="Arial" w:hAnsi="Arial" w:cs="Arial"/>
          <w:color w:val="000000" w:themeColor="text1"/>
          <w:sz w:val="24"/>
          <w:szCs w:val="24"/>
        </w:rPr>
        <w:br/>
      </w:r>
      <w:r>
        <w:rPr>
          <w:rFonts w:ascii="Arial" w:hAnsi="Arial" w:cs="Arial"/>
          <w:color w:val="000000" w:themeColor="text1"/>
          <w:sz w:val="24"/>
          <w:szCs w:val="24"/>
        </w:rPr>
        <w:br/>
      </w:r>
      <w:r w:rsidRPr="00C12151">
        <w:rPr>
          <w:rFonts w:ascii="Arial" w:hAnsi="Arial" w:cs="Arial"/>
          <w:color w:val="000000" w:themeColor="text1"/>
          <w:sz w:val="24"/>
          <w:szCs w:val="24"/>
        </w:rPr>
        <w:t xml:space="preserve">Maclean, S. [2020] </w:t>
      </w:r>
      <w:r w:rsidRPr="00C12151">
        <w:rPr>
          <w:rFonts w:ascii="Arial" w:hAnsi="Arial" w:cs="Arial"/>
          <w:i/>
          <w:iCs/>
          <w:color w:val="000000" w:themeColor="text1"/>
          <w:sz w:val="24"/>
          <w:szCs w:val="24"/>
        </w:rPr>
        <w:t xml:space="preserve">The Big Six Reflective Model </w:t>
      </w:r>
      <w:r w:rsidRPr="00C12151">
        <w:rPr>
          <w:rFonts w:ascii="Arial" w:hAnsi="Arial" w:cs="Arial"/>
          <w:color w:val="000000" w:themeColor="text1"/>
          <w:sz w:val="24"/>
          <w:szCs w:val="24"/>
        </w:rPr>
        <w:t xml:space="preserve">[ONLINE] Available at: </w:t>
      </w:r>
      <w:hyperlink r:id="rId9" w:history="1">
        <w:r w:rsidRPr="00C12151">
          <w:rPr>
            <w:rStyle w:val="Hyperlink"/>
            <w:rFonts w:ascii="Arial" w:hAnsi="Arial" w:cs="Arial"/>
            <w:color w:val="000000" w:themeColor="text1"/>
            <w:sz w:val="24"/>
            <w:szCs w:val="24"/>
          </w:rPr>
          <w:t>www.youtube.com/watch?v=eSCUPmSPTY</w:t>
        </w:r>
      </w:hyperlink>
      <w:r w:rsidRPr="00C12151">
        <w:rPr>
          <w:rFonts w:ascii="Arial" w:hAnsi="Arial" w:cs="Arial"/>
          <w:color w:val="000000" w:themeColor="text1"/>
          <w:sz w:val="24"/>
          <w:szCs w:val="24"/>
        </w:rPr>
        <w:t xml:space="preserve"> [Accessed on 02 January 2023]. </w:t>
      </w:r>
      <w:r w:rsidRPr="00C12151">
        <w:rPr>
          <w:rFonts w:ascii="Arial" w:hAnsi="Arial" w:cs="Arial"/>
          <w:color w:val="000000" w:themeColor="text1"/>
          <w:sz w:val="24"/>
          <w:szCs w:val="24"/>
        </w:rPr>
        <w:br/>
      </w:r>
      <w:r>
        <w:rPr>
          <w:rFonts w:ascii="Arial" w:hAnsi="Arial" w:cs="Arial"/>
          <w:color w:val="000000" w:themeColor="text1"/>
          <w:sz w:val="24"/>
          <w:szCs w:val="24"/>
        </w:rPr>
        <w:br/>
      </w:r>
      <w:r w:rsidRPr="00C12151">
        <w:rPr>
          <w:rFonts w:ascii="Arial" w:hAnsi="Arial" w:cs="Arial"/>
          <w:color w:val="000000" w:themeColor="text1"/>
          <w:sz w:val="24"/>
          <w:szCs w:val="24"/>
        </w:rPr>
        <w:t xml:space="preserve">Milner, J., Myers, S. and O’Byrne, P. (2020) </w:t>
      </w:r>
      <w:r w:rsidRPr="00C12151">
        <w:rPr>
          <w:rFonts w:ascii="Arial" w:hAnsi="Arial" w:cs="Arial"/>
          <w:i/>
          <w:iCs/>
          <w:color w:val="000000" w:themeColor="text1"/>
          <w:sz w:val="24"/>
          <w:szCs w:val="24"/>
        </w:rPr>
        <w:t>Assessment in Social Work</w:t>
      </w:r>
      <w:r w:rsidRPr="00C12151">
        <w:rPr>
          <w:rFonts w:ascii="Arial" w:hAnsi="Arial" w:cs="Arial"/>
          <w:color w:val="000000" w:themeColor="text1"/>
          <w:sz w:val="24"/>
          <w:szCs w:val="24"/>
        </w:rPr>
        <w:t>, Bloomsbury Publishing.</w:t>
      </w:r>
      <w:r>
        <w:rPr>
          <w:rFonts w:ascii="Arial" w:hAnsi="Arial" w:cs="Arial"/>
          <w:color w:val="000000" w:themeColor="text1"/>
          <w:sz w:val="24"/>
          <w:szCs w:val="24"/>
        </w:rPr>
        <w:br/>
      </w:r>
      <w:r>
        <w:rPr>
          <w:rFonts w:ascii="Arial" w:hAnsi="Arial" w:cs="Arial"/>
          <w:color w:val="000000" w:themeColor="text1"/>
          <w:sz w:val="24"/>
          <w:szCs w:val="24"/>
        </w:rPr>
        <w:br/>
      </w:r>
      <w:r w:rsidRPr="00C12151">
        <w:rPr>
          <w:rFonts w:ascii="Arial" w:hAnsi="Arial" w:cs="Arial"/>
          <w:color w:val="000000" w:themeColor="text1"/>
          <w:sz w:val="24"/>
          <w:szCs w:val="24"/>
        </w:rPr>
        <w:t xml:space="preserve">O’Brien, V. (2013) </w:t>
      </w:r>
      <w:r w:rsidRPr="00C12151">
        <w:rPr>
          <w:rFonts w:ascii="Arial" w:hAnsi="Arial" w:cs="Arial"/>
          <w:i/>
          <w:iCs/>
          <w:color w:val="000000" w:themeColor="text1"/>
          <w:sz w:val="24"/>
          <w:szCs w:val="24"/>
        </w:rPr>
        <w:t xml:space="preserve">Kinship Care: Stability, Disruption and the Place of Support Services, </w:t>
      </w:r>
      <w:r w:rsidRPr="00C12151">
        <w:rPr>
          <w:rFonts w:ascii="Arial" w:hAnsi="Arial" w:cs="Arial"/>
          <w:color w:val="000000" w:themeColor="text1"/>
          <w:sz w:val="24"/>
          <w:szCs w:val="24"/>
        </w:rPr>
        <w:t>The Irish Foster Care Journal, 15-17.</w:t>
      </w:r>
      <w:r w:rsidRPr="00C12151">
        <w:rPr>
          <w:rFonts w:ascii="Arial" w:hAnsi="Arial" w:cs="Arial"/>
          <w:color w:val="000000" w:themeColor="text1"/>
          <w:sz w:val="24"/>
          <w:szCs w:val="24"/>
        </w:rPr>
        <w:br/>
      </w:r>
      <w:r>
        <w:rPr>
          <w:rFonts w:ascii="Arial" w:hAnsi="Arial" w:cs="Arial"/>
          <w:color w:val="000000" w:themeColor="text1"/>
          <w:sz w:val="24"/>
          <w:szCs w:val="24"/>
        </w:rPr>
        <w:br/>
      </w:r>
      <w:r w:rsidRPr="00C12151">
        <w:rPr>
          <w:rFonts w:ascii="Arial" w:hAnsi="Arial" w:cs="Arial"/>
          <w:color w:val="000000" w:themeColor="text1"/>
          <w:sz w:val="24"/>
          <w:szCs w:val="24"/>
        </w:rPr>
        <w:t xml:space="preserve">SCIE (2022) </w:t>
      </w:r>
      <w:r w:rsidRPr="00C12151">
        <w:rPr>
          <w:rFonts w:ascii="Arial" w:hAnsi="Arial" w:cs="Arial"/>
          <w:i/>
          <w:iCs/>
          <w:color w:val="000000" w:themeColor="text1"/>
          <w:sz w:val="24"/>
          <w:szCs w:val="24"/>
        </w:rPr>
        <w:t>Coproduction: What it is and how to do it</w:t>
      </w:r>
      <w:r w:rsidRPr="00C12151">
        <w:rPr>
          <w:rFonts w:ascii="Arial" w:hAnsi="Arial" w:cs="Arial"/>
          <w:color w:val="000000" w:themeColor="text1"/>
          <w:sz w:val="24"/>
          <w:szCs w:val="24"/>
        </w:rPr>
        <w:t xml:space="preserve"> [ONLINE] Available at: </w:t>
      </w:r>
      <w:hyperlink r:id="rId10" w:history="1">
        <w:r w:rsidRPr="00C12151">
          <w:rPr>
            <w:rStyle w:val="Hyperlink"/>
            <w:rFonts w:ascii="Arial" w:hAnsi="Arial" w:cs="Arial"/>
            <w:color w:val="000000" w:themeColor="text1"/>
            <w:sz w:val="24"/>
            <w:szCs w:val="24"/>
          </w:rPr>
          <w:t>www.scie.org.uk/co-production/what-how</w:t>
        </w:r>
      </w:hyperlink>
      <w:r w:rsidRPr="00C12151">
        <w:rPr>
          <w:rFonts w:ascii="Arial" w:hAnsi="Arial" w:cs="Arial"/>
          <w:color w:val="000000" w:themeColor="text1"/>
          <w:sz w:val="24"/>
          <w:szCs w:val="24"/>
        </w:rPr>
        <w:t xml:space="preserve"> [Accessed on 16 January 2023]. </w:t>
      </w:r>
    </w:p>
    <w:p w14:paraId="29A81935" w14:textId="77777777" w:rsidR="00F360C0" w:rsidRPr="00C12151" w:rsidRDefault="00F360C0" w:rsidP="00F360C0">
      <w:pPr>
        <w:rPr>
          <w:rFonts w:ascii="Arial" w:hAnsi="Arial" w:cs="Arial"/>
          <w:color w:val="000000" w:themeColor="text1"/>
          <w:sz w:val="24"/>
          <w:szCs w:val="24"/>
        </w:rPr>
      </w:pPr>
      <w:r w:rsidRPr="00C12151">
        <w:rPr>
          <w:rFonts w:ascii="Arial" w:hAnsi="Arial" w:cs="Arial"/>
          <w:color w:val="000000" w:themeColor="text1"/>
          <w:sz w:val="24"/>
          <w:szCs w:val="24"/>
        </w:rPr>
        <w:t>Social Care Wales (2022a)</w:t>
      </w:r>
      <w:r w:rsidRPr="00C12151">
        <w:rPr>
          <w:rFonts w:ascii="Arial" w:hAnsi="Arial" w:cs="Arial"/>
          <w:i/>
          <w:iCs/>
          <w:color w:val="000000" w:themeColor="text1"/>
          <w:sz w:val="24"/>
          <w:szCs w:val="24"/>
        </w:rPr>
        <w:t xml:space="preserve"> Co-production</w:t>
      </w:r>
      <w:r w:rsidRPr="00C12151">
        <w:rPr>
          <w:rFonts w:ascii="Arial" w:hAnsi="Arial" w:cs="Arial"/>
          <w:color w:val="000000" w:themeColor="text1"/>
          <w:sz w:val="24"/>
          <w:szCs w:val="24"/>
        </w:rPr>
        <w:t xml:space="preserve"> [ONLINE] Available at: </w:t>
      </w:r>
      <w:hyperlink r:id="rId11" w:history="1">
        <w:r w:rsidRPr="00C12151">
          <w:rPr>
            <w:rStyle w:val="Hyperlink"/>
            <w:rFonts w:ascii="Arial" w:hAnsi="Arial" w:cs="Arial"/>
            <w:color w:val="000000" w:themeColor="text1"/>
            <w:sz w:val="24"/>
            <w:szCs w:val="24"/>
          </w:rPr>
          <w:t>www.socialcare.wales/resources-guidance/information-and-learning-hub/learning-resources/social-services-and-well-being-wales-act-2014</w:t>
        </w:r>
      </w:hyperlink>
      <w:r w:rsidRPr="00C12151">
        <w:rPr>
          <w:rFonts w:ascii="Arial" w:hAnsi="Arial" w:cs="Arial"/>
          <w:color w:val="000000" w:themeColor="text1"/>
          <w:sz w:val="24"/>
          <w:szCs w:val="24"/>
        </w:rPr>
        <w:t xml:space="preserve"> [Accessed on: 30 December 2022].</w:t>
      </w:r>
    </w:p>
    <w:p w14:paraId="30DBCB30" w14:textId="77777777" w:rsidR="00F360C0" w:rsidRPr="00C12151" w:rsidRDefault="00F360C0" w:rsidP="00F360C0">
      <w:pPr>
        <w:rPr>
          <w:rFonts w:ascii="Arial" w:hAnsi="Arial" w:cs="Arial"/>
          <w:color w:val="000000" w:themeColor="text1"/>
          <w:sz w:val="24"/>
          <w:szCs w:val="24"/>
        </w:rPr>
      </w:pPr>
      <w:r w:rsidRPr="00C12151">
        <w:rPr>
          <w:rFonts w:ascii="Arial" w:hAnsi="Arial" w:cs="Arial"/>
          <w:color w:val="000000" w:themeColor="text1"/>
          <w:sz w:val="24"/>
          <w:szCs w:val="24"/>
        </w:rPr>
        <w:t xml:space="preserve">Stanley, Y. (2019) </w:t>
      </w:r>
      <w:r w:rsidRPr="00C12151">
        <w:rPr>
          <w:rFonts w:ascii="Arial" w:hAnsi="Arial" w:cs="Arial"/>
          <w:i/>
          <w:iCs/>
          <w:color w:val="000000" w:themeColor="text1"/>
          <w:sz w:val="24"/>
          <w:szCs w:val="24"/>
        </w:rPr>
        <w:t>What Makes an Effective Case Record?</w:t>
      </w:r>
      <w:r w:rsidRPr="00C12151">
        <w:rPr>
          <w:rFonts w:ascii="Arial" w:hAnsi="Arial" w:cs="Arial"/>
          <w:color w:val="000000" w:themeColor="text1"/>
          <w:sz w:val="24"/>
          <w:szCs w:val="24"/>
        </w:rPr>
        <w:t xml:space="preserve"> [ONLINE] Available at: </w:t>
      </w:r>
      <w:hyperlink r:id="rId12" w:history="1">
        <w:r w:rsidRPr="00C12151">
          <w:rPr>
            <w:rStyle w:val="Hyperlink"/>
            <w:rFonts w:ascii="Arial" w:hAnsi="Arial" w:cs="Arial"/>
            <w:color w:val="000000" w:themeColor="text1"/>
            <w:sz w:val="24"/>
            <w:szCs w:val="24"/>
          </w:rPr>
          <w:t>www.socialcareinspection.blog.gov.uk/2019/07/24/what-makes-an-effective-case-record</w:t>
        </w:r>
      </w:hyperlink>
      <w:r w:rsidRPr="00C12151">
        <w:rPr>
          <w:rFonts w:ascii="Arial" w:hAnsi="Arial" w:cs="Arial"/>
          <w:color w:val="000000" w:themeColor="text1"/>
          <w:sz w:val="24"/>
          <w:szCs w:val="24"/>
        </w:rPr>
        <w:t xml:space="preserve"> [Accessed on 15 January 2023].</w:t>
      </w:r>
    </w:p>
    <w:p w14:paraId="1410755E" w14:textId="77777777" w:rsidR="00F360C0" w:rsidRPr="000F5093" w:rsidRDefault="00F360C0" w:rsidP="000A67B6">
      <w:pPr>
        <w:jc w:val="right"/>
        <w:rPr>
          <w:rFonts w:ascii="Arial" w:hAnsi="Arial" w:cs="Arial"/>
          <w:sz w:val="24"/>
          <w:szCs w:val="24"/>
        </w:rPr>
      </w:pPr>
    </w:p>
    <w:p w14:paraId="2B61FAF8" w14:textId="38D67513" w:rsidR="00136280" w:rsidRDefault="00136280" w:rsidP="000A67B6"/>
    <w:p w14:paraId="165631CC" w14:textId="1EE3C200" w:rsidR="004D5748" w:rsidRDefault="004D5748" w:rsidP="000A67B6"/>
    <w:p w14:paraId="2296344C" w14:textId="77610738" w:rsidR="0053545F" w:rsidRDefault="0053545F" w:rsidP="000A67B6"/>
    <w:p w14:paraId="605EF7B6" w14:textId="3651F170" w:rsidR="0053545F" w:rsidRDefault="0053545F" w:rsidP="000A67B6"/>
    <w:p w14:paraId="5613D64A" w14:textId="77777777" w:rsidR="0053545F" w:rsidRPr="0053545F" w:rsidRDefault="0053545F" w:rsidP="0053545F">
      <w:pPr>
        <w:rPr>
          <w:rFonts w:ascii="Arial" w:hAnsi="Arial" w:cs="Arial"/>
          <w:sz w:val="24"/>
          <w:szCs w:val="24"/>
          <w:u w:val="single"/>
        </w:rPr>
      </w:pPr>
      <w:r w:rsidRPr="0053545F">
        <w:rPr>
          <w:rFonts w:ascii="Arial" w:hAnsi="Arial" w:cs="Arial"/>
          <w:sz w:val="24"/>
          <w:szCs w:val="24"/>
          <w:u w:val="single"/>
        </w:rPr>
        <w:lastRenderedPageBreak/>
        <w:t>Task b</w:t>
      </w:r>
    </w:p>
    <w:p w14:paraId="113865BE" w14:textId="7E106587" w:rsidR="0053545F" w:rsidRDefault="0053545F" w:rsidP="0053545F">
      <w:pPr>
        <w:rPr>
          <w:rFonts w:ascii="Arial" w:hAnsi="Arial" w:cs="Arial"/>
          <w:sz w:val="24"/>
          <w:szCs w:val="24"/>
        </w:rPr>
      </w:pPr>
      <w:r>
        <w:rPr>
          <w:rFonts w:ascii="Arial" w:hAnsi="Arial" w:cs="Arial"/>
          <w:sz w:val="24"/>
          <w:szCs w:val="24"/>
        </w:rPr>
        <w:t xml:space="preserve">The Big Six model of critical reflection (Maclean, 2020) has supported me in reflecting on my own practice, development, and challenges that I have faced since qualifying as a social worker.  I chose to use this model for this task over others as it can be used at various times of an intervention including before, during and after, whereas Kolb’s model for example focuses on reflection of learning through experiences (Cassidy, 2004).  Maclean’s model has similarities to Gibbs’ Reflective Cycle (Gibbs, 1988), with both having six components which many critics report offers a framework for reflecting on experiences to learn from (Bassot, 2023), however Finlay (2008) reports that this model may have less potential for professional development.  </w:t>
      </w:r>
    </w:p>
    <w:p w14:paraId="3BA3D7E1" w14:textId="77777777" w:rsidR="0053545F" w:rsidRDefault="0053545F" w:rsidP="0053545F">
      <w:pPr>
        <w:rPr>
          <w:rFonts w:ascii="Arial" w:hAnsi="Arial" w:cs="Arial"/>
          <w:sz w:val="24"/>
          <w:szCs w:val="24"/>
        </w:rPr>
      </w:pPr>
      <w:r>
        <w:rPr>
          <w:rFonts w:ascii="Arial" w:hAnsi="Arial" w:cs="Arial"/>
          <w:sz w:val="24"/>
          <w:szCs w:val="24"/>
        </w:rPr>
        <w:t xml:space="preserve">I have begun to develop my assessment skills and working on becoming more concise and analytical in my writing.  Emotionally, I felt anxious about completing my first few assessments as I was in the realm of uncertainty as they varied significantly from any assessments I had completed previously.  I used Maclean’s model to understand that I was becoming self-aware of my emotions and if I increased my knowledge base regarding legislative frameworks and the assessment process, I would start to become more comfortable within the role (BASW, 2023).  I was conscious that I did not want to be portrayed as unprepared and having a lack of knowledge which may have impacted my assessing skills (Kam, 2019) but also, I was aware how the individuals I was assessing would feel.  To improve my skill base, I shadowed experienced colleagues and what struck me was how each social worker used differing techniques to complete their assessments; but the core social work values and the principles of the Social Services and Wellbeing (Wales) Act (2014) (Social Care Wales, 2023a) were common themes.  Some social workers gathered information through conversational assessing whereas others used the prescribed form.  From observing others, I reflected on styles and whilst both of the above methods have their benefits and limitations neither were wrong ways of working.  I have found that since becoming more knowledgeable regarding the assessment content I have veered more towards using a narrative approach and not having paperwork in front of me at all times, as </w:t>
      </w:r>
      <w:proofErr w:type="spellStart"/>
      <w:r>
        <w:rPr>
          <w:rFonts w:ascii="Arial" w:hAnsi="Arial" w:cs="Arial"/>
          <w:sz w:val="24"/>
          <w:szCs w:val="24"/>
        </w:rPr>
        <w:t>Ocloo</w:t>
      </w:r>
      <w:proofErr w:type="spellEnd"/>
      <w:r>
        <w:rPr>
          <w:rFonts w:ascii="Arial" w:hAnsi="Arial" w:cs="Arial"/>
          <w:sz w:val="24"/>
          <w:szCs w:val="24"/>
        </w:rPr>
        <w:t xml:space="preserve"> et al. (2021) states it can act as a barrier to communication.  I have reflected and became more self-aware that I use more open-ended questions as these can provide more detail and empower individuals to tell their narrative, therefore learning more about the person (Esses and Maio, 2002).  However, at times closed-ended questions can also be useful to gain specific information (Morrow-Howell et al., 1999).</w:t>
      </w:r>
    </w:p>
    <w:p w14:paraId="179DB2E0" w14:textId="77777777" w:rsidR="0053545F" w:rsidRDefault="0053545F" w:rsidP="0053545F">
      <w:pPr>
        <w:rPr>
          <w:rFonts w:ascii="Arial" w:hAnsi="Arial" w:cs="Arial"/>
          <w:sz w:val="24"/>
          <w:szCs w:val="24"/>
        </w:rPr>
      </w:pPr>
      <w:r>
        <w:rPr>
          <w:rFonts w:ascii="Arial" w:hAnsi="Arial" w:cs="Arial"/>
          <w:sz w:val="24"/>
          <w:szCs w:val="24"/>
        </w:rPr>
        <w:t xml:space="preserve">When completing assessments, power and knowledge are relevant components of Maclean’s model as I need to use my professional judgement to come to a recommendation which is balanced and evidence-based (Fisher et al., 2009).  Although this is a large responsibility and I have to use my own professional judgement, senior staff quality </w:t>
      </w:r>
      <w:proofErr w:type="gramStart"/>
      <w:r>
        <w:rPr>
          <w:rFonts w:ascii="Arial" w:hAnsi="Arial" w:cs="Arial"/>
          <w:sz w:val="24"/>
          <w:szCs w:val="24"/>
        </w:rPr>
        <w:t>assure</w:t>
      </w:r>
      <w:proofErr w:type="gramEnd"/>
      <w:r>
        <w:rPr>
          <w:rFonts w:ascii="Arial" w:hAnsi="Arial" w:cs="Arial"/>
          <w:sz w:val="24"/>
          <w:szCs w:val="24"/>
        </w:rPr>
        <w:t xml:space="preserve"> all assessments but I am held accountable for my own work and decisions made.  There are levels of uncertainty within all assessment processes and Maclean highlights what one individual views as a safeguarding concern, another may not.  On reflection this may be due to social worker’s own personal experiences and values (Kwan and Reupert, 2019).  I have </w:t>
      </w:r>
      <w:r>
        <w:rPr>
          <w:rFonts w:ascii="Arial" w:hAnsi="Arial" w:cs="Arial"/>
          <w:sz w:val="24"/>
          <w:szCs w:val="24"/>
        </w:rPr>
        <w:lastRenderedPageBreak/>
        <w:t xml:space="preserve">become more self-aware of the benefits of supervision and peer supervision to be able to reflect on cases, looking at each family in a holistic way to consider their strengths and vulnerabilities; but also involve the individuals in these discussions following the ethos of co-production and collaboration.  These perspectives will support me in coming to a balanced analysis based on evidence and a range of views.  Training opportunities relating to specific fostering competency assessments have been a limited resource, however I have engaged in training regarding general assessment skills and record keeping and found these to be beneficial to my practice, particularly in making my analysis more concise.  I have booked onto specific training and awaiting confirmation of a date in the near future.  </w:t>
      </w:r>
    </w:p>
    <w:p w14:paraId="17E3F094" w14:textId="77777777" w:rsidR="0053545F" w:rsidRDefault="0053545F" w:rsidP="0053545F">
      <w:pPr>
        <w:rPr>
          <w:rFonts w:ascii="Arial" w:hAnsi="Arial" w:cs="Arial"/>
          <w:sz w:val="24"/>
          <w:szCs w:val="24"/>
        </w:rPr>
      </w:pPr>
      <w:r>
        <w:rPr>
          <w:rFonts w:ascii="Arial" w:hAnsi="Arial" w:cs="Arial"/>
          <w:sz w:val="24"/>
          <w:szCs w:val="24"/>
        </w:rPr>
        <w:t xml:space="preserve">Maclean speaks about self-awareness, and I have reflected on my own use of communication.  When researching failings in social services reviews, communication is a key theme throughout (SCIE, 2016).  Feedback from individuals who I have worked with has been positive with regards to my communication, particularly completing tasks promptly and keeping them informed, which has supported building positive working relationships.  I will endeavor to keep being self-aware of my presentation, communication, tone and body language whilst building positive working relationships with all involved in the team around the child (Community Care, 2023).  </w:t>
      </w:r>
    </w:p>
    <w:p w14:paraId="1E910FE5" w14:textId="77777777" w:rsidR="0053545F" w:rsidRDefault="0053545F" w:rsidP="0053545F">
      <w:pPr>
        <w:rPr>
          <w:rFonts w:ascii="Arial" w:hAnsi="Arial" w:cs="Arial"/>
          <w:sz w:val="24"/>
          <w:szCs w:val="24"/>
        </w:rPr>
      </w:pPr>
      <w:r>
        <w:rPr>
          <w:rFonts w:ascii="Arial" w:hAnsi="Arial" w:cs="Arial"/>
          <w:sz w:val="24"/>
          <w:szCs w:val="24"/>
        </w:rPr>
        <w:t xml:space="preserve">In the future I would like to develop my knowledge and leadership skills and complete the practice educator course, where I can support students in their social work journeys.  </w:t>
      </w:r>
    </w:p>
    <w:p w14:paraId="3E1B8B86" w14:textId="77777777" w:rsidR="0053545F" w:rsidRDefault="0053545F" w:rsidP="0053545F">
      <w:pPr>
        <w:jc w:val="right"/>
      </w:pPr>
      <w:r>
        <w:rPr>
          <w:rFonts w:ascii="Arial" w:hAnsi="Arial" w:cs="Arial"/>
          <w:sz w:val="24"/>
          <w:szCs w:val="24"/>
        </w:rPr>
        <w:t>Word Count: 789</w:t>
      </w:r>
      <w:r>
        <w:rPr>
          <w:rFonts w:ascii="Arial" w:eastAsia="Arial" w:hAnsi="Arial" w:cs="Arial"/>
          <w:sz w:val="24"/>
        </w:rPr>
        <w:t xml:space="preserve"> </w:t>
      </w:r>
      <w:r>
        <w:rPr>
          <w:rFonts w:ascii="Arial" w:eastAsia="Arial" w:hAnsi="Arial" w:cs="Arial"/>
          <w:b/>
          <w:sz w:val="24"/>
        </w:rPr>
        <w:t xml:space="preserve"> </w:t>
      </w:r>
    </w:p>
    <w:p w14:paraId="41C46A86" w14:textId="77777777" w:rsidR="0053545F" w:rsidRDefault="0053545F" w:rsidP="0053545F">
      <w:pPr>
        <w:rPr>
          <w:rFonts w:ascii="Arial" w:hAnsi="Arial" w:cs="Arial"/>
          <w:sz w:val="24"/>
          <w:szCs w:val="24"/>
        </w:rPr>
      </w:pPr>
    </w:p>
    <w:p w14:paraId="27375E2A" w14:textId="77777777" w:rsidR="0053545F" w:rsidRDefault="0053545F" w:rsidP="0053545F">
      <w:pPr>
        <w:jc w:val="right"/>
        <w:rPr>
          <w:rFonts w:ascii="Arial" w:hAnsi="Arial" w:cs="Arial"/>
          <w:sz w:val="24"/>
          <w:szCs w:val="24"/>
        </w:rPr>
      </w:pPr>
    </w:p>
    <w:p w14:paraId="12242FAD" w14:textId="77777777" w:rsidR="0053545F" w:rsidRDefault="0053545F" w:rsidP="0053545F">
      <w:pPr>
        <w:jc w:val="right"/>
        <w:rPr>
          <w:rFonts w:ascii="Arial" w:hAnsi="Arial" w:cs="Arial"/>
          <w:sz w:val="24"/>
          <w:szCs w:val="24"/>
        </w:rPr>
      </w:pPr>
    </w:p>
    <w:p w14:paraId="1145BF17" w14:textId="77777777" w:rsidR="0053545F" w:rsidRDefault="0053545F" w:rsidP="0053545F">
      <w:pPr>
        <w:jc w:val="right"/>
        <w:rPr>
          <w:rFonts w:ascii="Arial" w:hAnsi="Arial" w:cs="Arial"/>
          <w:sz w:val="24"/>
          <w:szCs w:val="24"/>
        </w:rPr>
      </w:pPr>
    </w:p>
    <w:p w14:paraId="3BC09485" w14:textId="77777777" w:rsidR="0053545F" w:rsidRDefault="0053545F" w:rsidP="0053545F">
      <w:pPr>
        <w:jc w:val="right"/>
        <w:rPr>
          <w:rFonts w:ascii="Arial" w:hAnsi="Arial" w:cs="Arial"/>
          <w:sz w:val="24"/>
          <w:szCs w:val="24"/>
        </w:rPr>
      </w:pPr>
    </w:p>
    <w:p w14:paraId="660E90E0" w14:textId="77777777" w:rsidR="0053545F" w:rsidRDefault="0053545F" w:rsidP="0053545F">
      <w:pPr>
        <w:jc w:val="right"/>
        <w:rPr>
          <w:rFonts w:ascii="Arial" w:hAnsi="Arial" w:cs="Arial"/>
          <w:sz w:val="24"/>
          <w:szCs w:val="24"/>
        </w:rPr>
      </w:pPr>
    </w:p>
    <w:p w14:paraId="57D8C40E" w14:textId="77777777" w:rsidR="0053545F" w:rsidRDefault="0053545F" w:rsidP="0053545F">
      <w:pPr>
        <w:jc w:val="right"/>
        <w:rPr>
          <w:rFonts w:ascii="Arial" w:hAnsi="Arial" w:cs="Arial"/>
          <w:sz w:val="24"/>
          <w:szCs w:val="24"/>
        </w:rPr>
      </w:pPr>
    </w:p>
    <w:p w14:paraId="31E62F65" w14:textId="77777777" w:rsidR="0053545F" w:rsidRDefault="0053545F" w:rsidP="0053545F">
      <w:pPr>
        <w:jc w:val="right"/>
        <w:rPr>
          <w:rFonts w:ascii="Arial" w:hAnsi="Arial" w:cs="Arial"/>
          <w:sz w:val="24"/>
          <w:szCs w:val="24"/>
        </w:rPr>
      </w:pPr>
    </w:p>
    <w:p w14:paraId="66B4F527" w14:textId="77777777" w:rsidR="0053545F" w:rsidRDefault="0053545F" w:rsidP="0053545F">
      <w:pPr>
        <w:jc w:val="right"/>
        <w:rPr>
          <w:rFonts w:ascii="Arial" w:hAnsi="Arial" w:cs="Arial"/>
          <w:sz w:val="24"/>
          <w:szCs w:val="24"/>
        </w:rPr>
      </w:pPr>
    </w:p>
    <w:p w14:paraId="472DD39A" w14:textId="77777777" w:rsidR="0053545F" w:rsidRDefault="0053545F" w:rsidP="0053545F">
      <w:pPr>
        <w:jc w:val="right"/>
        <w:rPr>
          <w:rFonts w:ascii="Arial" w:hAnsi="Arial" w:cs="Arial"/>
          <w:sz w:val="24"/>
          <w:szCs w:val="24"/>
        </w:rPr>
      </w:pPr>
    </w:p>
    <w:p w14:paraId="441B8D24" w14:textId="77777777" w:rsidR="0053545F" w:rsidRDefault="0053545F" w:rsidP="0053545F">
      <w:pPr>
        <w:jc w:val="right"/>
        <w:rPr>
          <w:rFonts w:ascii="Arial" w:hAnsi="Arial" w:cs="Arial"/>
          <w:sz w:val="24"/>
          <w:szCs w:val="24"/>
        </w:rPr>
      </w:pPr>
    </w:p>
    <w:p w14:paraId="743736EA" w14:textId="5210C49A" w:rsidR="0053545F" w:rsidRDefault="0053545F" w:rsidP="0053545F">
      <w:pPr>
        <w:rPr>
          <w:rFonts w:ascii="Arial" w:hAnsi="Arial" w:cs="Arial"/>
          <w:sz w:val="24"/>
          <w:szCs w:val="24"/>
        </w:rPr>
      </w:pPr>
    </w:p>
    <w:p w14:paraId="68531B1D" w14:textId="77777777" w:rsidR="0053545F" w:rsidRDefault="0053545F" w:rsidP="0053545F">
      <w:pPr>
        <w:rPr>
          <w:rFonts w:ascii="Arial" w:hAnsi="Arial" w:cs="Arial"/>
          <w:sz w:val="24"/>
          <w:szCs w:val="24"/>
        </w:rPr>
      </w:pPr>
    </w:p>
    <w:p w14:paraId="0542B608" w14:textId="77777777" w:rsidR="0053545F" w:rsidRDefault="0053545F" w:rsidP="0053545F">
      <w:pPr>
        <w:jc w:val="right"/>
        <w:rPr>
          <w:rFonts w:ascii="Arial" w:eastAsia="Arial" w:hAnsi="Arial" w:cs="Arial"/>
          <w:sz w:val="24"/>
        </w:rPr>
      </w:pPr>
    </w:p>
    <w:p w14:paraId="6B4E10AB" w14:textId="77777777" w:rsidR="0053545F" w:rsidRDefault="0053545F" w:rsidP="0053545F">
      <w:pPr>
        <w:jc w:val="center"/>
        <w:rPr>
          <w:rFonts w:ascii="Arial" w:eastAsia="Arial" w:hAnsi="Arial" w:cs="Arial"/>
          <w:sz w:val="24"/>
          <w:u w:val="single"/>
        </w:rPr>
      </w:pPr>
      <w:r>
        <w:rPr>
          <w:rFonts w:ascii="Arial" w:eastAsia="Arial" w:hAnsi="Arial" w:cs="Arial"/>
          <w:sz w:val="24"/>
          <w:u w:val="single"/>
        </w:rPr>
        <w:lastRenderedPageBreak/>
        <w:t>References</w:t>
      </w:r>
    </w:p>
    <w:p w14:paraId="2CE26011"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Bassot, B. (2023) </w:t>
      </w:r>
      <w:r>
        <w:rPr>
          <w:rFonts w:ascii="Arial" w:hAnsi="Arial" w:cs="Arial"/>
          <w:i/>
          <w:iCs/>
          <w:color w:val="000000" w:themeColor="text1"/>
          <w:sz w:val="24"/>
          <w:szCs w:val="24"/>
        </w:rPr>
        <w:t xml:space="preserve">The Reflective Practice Guide: An Interdisciplinary Approach to Critical Reflection, </w:t>
      </w:r>
      <w:r>
        <w:rPr>
          <w:rFonts w:ascii="Arial" w:hAnsi="Arial" w:cs="Arial"/>
          <w:color w:val="000000" w:themeColor="text1"/>
          <w:sz w:val="24"/>
          <w:szCs w:val="24"/>
        </w:rPr>
        <w:t xml:space="preserve">Taylor and Francis. </w:t>
      </w:r>
    </w:p>
    <w:p w14:paraId="038C2E0B"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BASW (2023) </w:t>
      </w:r>
      <w:r>
        <w:rPr>
          <w:rFonts w:ascii="Arial" w:hAnsi="Arial" w:cs="Arial"/>
          <w:i/>
          <w:iCs/>
          <w:color w:val="000000" w:themeColor="text1"/>
          <w:sz w:val="24"/>
          <w:szCs w:val="24"/>
        </w:rPr>
        <w:t xml:space="preserve">Social Worker – Knowledge, </w:t>
      </w:r>
      <w:r>
        <w:rPr>
          <w:rFonts w:ascii="Arial" w:hAnsi="Arial" w:cs="Arial"/>
          <w:color w:val="000000" w:themeColor="text1"/>
          <w:sz w:val="24"/>
          <w:szCs w:val="24"/>
        </w:rPr>
        <w:t xml:space="preserve">[ONLINE] Available at: </w:t>
      </w:r>
      <w:hyperlink r:id="rId13" w:history="1">
        <w:r>
          <w:rPr>
            <w:rStyle w:val="Hyperlink"/>
            <w:rFonts w:ascii="Arial" w:hAnsi="Arial" w:cs="Arial"/>
            <w:color w:val="000000" w:themeColor="text1"/>
            <w:sz w:val="24"/>
            <w:szCs w:val="24"/>
          </w:rPr>
          <w:t>www.basw.co.uk/professional-development/professional-capabilities-framework-pcf/the-pcf/social-worker/knowledge</w:t>
        </w:r>
      </w:hyperlink>
      <w:r>
        <w:rPr>
          <w:rFonts w:ascii="Arial" w:hAnsi="Arial" w:cs="Arial"/>
          <w:color w:val="000000" w:themeColor="text1"/>
          <w:sz w:val="24"/>
          <w:szCs w:val="24"/>
        </w:rPr>
        <w:t xml:space="preserve"> [Accessed 8 July 2023].</w:t>
      </w:r>
    </w:p>
    <w:p w14:paraId="33CF0283"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Cassidy, S. (2004) </w:t>
      </w:r>
      <w:r>
        <w:rPr>
          <w:rFonts w:ascii="Arial" w:hAnsi="Arial" w:cs="Arial"/>
          <w:i/>
          <w:iCs/>
          <w:color w:val="000000" w:themeColor="text1"/>
          <w:sz w:val="24"/>
          <w:szCs w:val="24"/>
        </w:rPr>
        <w:t xml:space="preserve">Learning Styles: An Overview of Theories, Models and Measures, </w:t>
      </w:r>
      <w:r>
        <w:rPr>
          <w:rFonts w:ascii="Arial" w:hAnsi="Arial" w:cs="Arial"/>
          <w:color w:val="000000" w:themeColor="text1"/>
          <w:sz w:val="24"/>
          <w:szCs w:val="24"/>
        </w:rPr>
        <w:t>Educational Psychology, 24 (4) pp. 419 – 444.</w:t>
      </w:r>
    </w:p>
    <w:p w14:paraId="27A01D01"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Community Care (2023) </w:t>
      </w:r>
      <w:r>
        <w:rPr>
          <w:rFonts w:ascii="Arial" w:hAnsi="Arial" w:cs="Arial"/>
          <w:i/>
          <w:iCs/>
          <w:color w:val="000000" w:themeColor="text1"/>
          <w:sz w:val="24"/>
          <w:szCs w:val="24"/>
        </w:rPr>
        <w:t xml:space="preserve">What Service Users want from Social Workers, </w:t>
      </w:r>
      <w:r>
        <w:rPr>
          <w:rFonts w:ascii="Arial" w:hAnsi="Arial" w:cs="Arial"/>
          <w:color w:val="000000" w:themeColor="text1"/>
          <w:sz w:val="24"/>
          <w:szCs w:val="24"/>
        </w:rPr>
        <w:t xml:space="preserve">[ONLINE] Available at: </w:t>
      </w:r>
      <w:hyperlink r:id="rId14" w:history="1">
        <w:r>
          <w:rPr>
            <w:rStyle w:val="Hyperlink"/>
            <w:rFonts w:ascii="Arial" w:hAnsi="Arial" w:cs="Arial"/>
            <w:color w:val="000000" w:themeColor="text1"/>
            <w:sz w:val="24"/>
            <w:szCs w:val="24"/>
          </w:rPr>
          <w:t>www.communitycare.co.uk/2012/04/27/what-service-users-want-from-social-workers</w:t>
        </w:r>
      </w:hyperlink>
      <w:r>
        <w:rPr>
          <w:rFonts w:ascii="Arial" w:hAnsi="Arial" w:cs="Arial"/>
          <w:color w:val="000000" w:themeColor="text1"/>
          <w:sz w:val="24"/>
          <w:szCs w:val="24"/>
        </w:rPr>
        <w:t xml:space="preserve"> Accessed on 8 July 2023]. </w:t>
      </w:r>
    </w:p>
    <w:p w14:paraId="448578CB"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Esses, V.M. and Maio, G.R. (2002) </w:t>
      </w:r>
      <w:r>
        <w:rPr>
          <w:rFonts w:ascii="Arial" w:hAnsi="Arial" w:cs="Arial"/>
          <w:i/>
          <w:iCs/>
          <w:color w:val="000000" w:themeColor="text1"/>
          <w:sz w:val="24"/>
          <w:szCs w:val="24"/>
        </w:rPr>
        <w:t xml:space="preserve">Expanding the Assessment of Attitude Components and Structure: The Benefits of Open-Ended Measures, </w:t>
      </w:r>
      <w:r>
        <w:rPr>
          <w:rFonts w:ascii="Arial" w:hAnsi="Arial" w:cs="Arial"/>
          <w:color w:val="000000" w:themeColor="text1"/>
          <w:sz w:val="24"/>
          <w:szCs w:val="24"/>
        </w:rPr>
        <w:t xml:space="preserve">European Review of Social Psychology, 12 (1) pp. 71 – 101.  </w:t>
      </w:r>
    </w:p>
    <w:p w14:paraId="4F77DDE2"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Finlay, L. (2008) </w:t>
      </w:r>
      <w:r>
        <w:rPr>
          <w:rFonts w:ascii="Arial" w:hAnsi="Arial" w:cs="Arial"/>
          <w:i/>
          <w:iCs/>
          <w:color w:val="000000" w:themeColor="text1"/>
          <w:sz w:val="24"/>
          <w:szCs w:val="24"/>
        </w:rPr>
        <w:t xml:space="preserve">Reflecting on ‘Reflective Practice’, </w:t>
      </w:r>
      <w:r>
        <w:rPr>
          <w:rFonts w:ascii="Arial" w:hAnsi="Arial" w:cs="Arial"/>
          <w:color w:val="000000" w:themeColor="text1"/>
          <w:sz w:val="24"/>
          <w:szCs w:val="24"/>
        </w:rPr>
        <w:t xml:space="preserve">Practice-Based Professional Learning Paper 52, The Open University: Milton Keynes. </w:t>
      </w:r>
    </w:p>
    <w:p w14:paraId="448814A6"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Fisher, P.A., Chamberlain, P. and Leve, L. (2009) </w:t>
      </w:r>
      <w:r>
        <w:rPr>
          <w:rFonts w:ascii="Arial" w:hAnsi="Arial" w:cs="Arial"/>
          <w:i/>
          <w:iCs/>
          <w:color w:val="000000" w:themeColor="text1"/>
          <w:sz w:val="24"/>
          <w:szCs w:val="24"/>
        </w:rPr>
        <w:t xml:space="preserve">Improving the Lives of Foster Children Through Evidence-Based Interventions, </w:t>
      </w:r>
      <w:r>
        <w:rPr>
          <w:rFonts w:ascii="Arial" w:hAnsi="Arial" w:cs="Arial"/>
          <w:color w:val="000000" w:themeColor="text1"/>
          <w:sz w:val="24"/>
          <w:szCs w:val="24"/>
        </w:rPr>
        <w:t>An International Interdisciplinary Journal for Research, Policy and Care, 4 (2) pp. 122 – 127.</w:t>
      </w:r>
    </w:p>
    <w:p w14:paraId="338CED36"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Gibbs, G. (1988) </w:t>
      </w:r>
      <w:r>
        <w:rPr>
          <w:rFonts w:ascii="Arial" w:hAnsi="Arial" w:cs="Arial"/>
          <w:i/>
          <w:iCs/>
          <w:color w:val="000000" w:themeColor="text1"/>
          <w:sz w:val="24"/>
          <w:szCs w:val="24"/>
        </w:rPr>
        <w:t xml:space="preserve">Learning by Doing: A Guide to Teaching and Learning Methods, </w:t>
      </w:r>
      <w:r>
        <w:rPr>
          <w:rFonts w:ascii="Arial" w:hAnsi="Arial" w:cs="Arial"/>
          <w:color w:val="000000" w:themeColor="text1"/>
          <w:sz w:val="24"/>
          <w:szCs w:val="24"/>
        </w:rPr>
        <w:t xml:space="preserve">Further Education Unit: Oxford Polytechnic. </w:t>
      </w:r>
    </w:p>
    <w:p w14:paraId="40750057"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Kam, P.K. (2019) </w:t>
      </w:r>
      <w:r>
        <w:rPr>
          <w:rFonts w:ascii="Arial" w:hAnsi="Arial" w:cs="Arial"/>
          <w:i/>
          <w:iCs/>
          <w:color w:val="000000" w:themeColor="text1"/>
          <w:sz w:val="24"/>
          <w:szCs w:val="24"/>
        </w:rPr>
        <w:t xml:space="preserve">‘Social Work is not just a job’: The Qualities of Social Workers from the Perspectives of Service Users, </w:t>
      </w:r>
      <w:r>
        <w:rPr>
          <w:rFonts w:ascii="Arial" w:hAnsi="Arial" w:cs="Arial"/>
          <w:color w:val="000000" w:themeColor="text1"/>
          <w:sz w:val="24"/>
          <w:szCs w:val="24"/>
        </w:rPr>
        <w:t>Journal of Social Work, 20 (6).</w:t>
      </w:r>
    </w:p>
    <w:p w14:paraId="639AEDA2"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Kwan, C.K. and Reupert, A.E. (2019) </w:t>
      </w:r>
      <w:r>
        <w:rPr>
          <w:rFonts w:ascii="Arial" w:hAnsi="Arial" w:cs="Arial"/>
          <w:i/>
          <w:iCs/>
          <w:color w:val="000000" w:themeColor="text1"/>
          <w:sz w:val="24"/>
          <w:szCs w:val="24"/>
        </w:rPr>
        <w:t xml:space="preserve">The Relevance of Social Workers’ Personal Experiences to Their Practices, </w:t>
      </w:r>
      <w:r>
        <w:rPr>
          <w:rFonts w:ascii="Arial" w:hAnsi="Arial" w:cs="Arial"/>
          <w:color w:val="000000" w:themeColor="text1"/>
          <w:sz w:val="24"/>
          <w:szCs w:val="24"/>
        </w:rPr>
        <w:t>British Journal of Social Work, 49 (1) pp. 256 – 271.</w:t>
      </w:r>
    </w:p>
    <w:p w14:paraId="499B4C7F"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Maclean, S. [2020] </w:t>
      </w:r>
      <w:r>
        <w:rPr>
          <w:rFonts w:ascii="Arial" w:hAnsi="Arial" w:cs="Arial"/>
          <w:i/>
          <w:iCs/>
          <w:color w:val="000000" w:themeColor="text1"/>
          <w:sz w:val="24"/>
          <w:szCs w:val="24"/>
        </w:rPr>
        <w:t xml:space="preserve">The Big Six Reflective Model </w:t>
      </w:r>
      <w:r>
        <w:rPr>
          <w:rFonts w:ascii="Arial" w:hAnsi="Arial" w:cs="Arial"/>
          <w:color w:val="000000" w:themeColor="text1"/>
          <w:sz w:val="24"/>
          <w:szCs w:val="24"/>
        </w:rPr>
        <w:t xml:space="preserve">[ONLINE] Available at: </w:t>
      </w:r>
      <w:hyperlink r:id="rId15" w:history="1">
        <w:r>
          <w:rPr>
            <w:rStyle w:val="Hyperlink"/>
            <w:rFonts w:ascii="Arial" w:hAnsi="Arial" w:cs="Arial"/>
            <w:color w:val="000000" w:themeColor="text1"/>
            <w:sz w:val="24"/>
            <w:szCs w:val="24"/>
          </w:rPr>
          <w:t>www.youtube.com/watch?v=eSCUPmSPTY</w:t>
        </w:r>
      </w:hyperlink>
      <w:r>
        <w:rPr>
          <w:rFonts w:ascii="Arial" w:hAnsi="Arial" w:cs="Arial"/>
          <w:color w:val="000000" w:themeColor="text1"/>
          <w:sz w:val="24"/>
          <w:szCs w:val="24"/>
        </w:rPr>
        <w:t xml:space="preserve"> [Accessed on 02 January 2023]. </w:t>
      </w:r>
    </w:p>
    <w:p w14:paraId="65D28C83"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Morrow-Howell, N., </w:t>
      </w:r>
      <w:proofErr w:type="spellStart"/>
      <w:r>
        <w:rPr>
          <w:rFonts w:ascii="Arial" w:hAnsi="Arial" w:cs="Arial"/>
          <w:color w:val="000000" w:themeColor="text1"/>
          <w:sz w:val="24"/>
          <w:szCs w:val="24"/>
        </w:rPr>
        <w:t>Kinnevy</w:t>
      </w:r>
      <w:proofErr w:type="spellEnd"/>
      <w:r>
        <w:rPr>
          <w:rFonts w:ascii="Arial" w:hAnsi="Arial" w:cs="Arial"/>
          <w:color w:val="000000" w:themeColor="text1"/>
          <w:sz w:val="24"/>
          <w:szCs w:val="24"/>
        </w:rPr>
        <w:t xml:space="preserve">, S. and Mann, M. (1999) </w:t>
      </w:r>
      <w:r>
        <w:rPr>
          <w:rFonts w:ascii="Arial" w:hAnsi="Arial" w:cs="Arial"/>
          <w:i/>
          <w:iCs/>
          <w:color w:val="000000" w:themeColor="text1"/>
          <w:sz w:val="24"/>
          <w:szCs w:val="24"/>
        </w:rPr>
        <w:t xml:space="preserve">The Perceived Benefits of Participating in Volunteer and Educational Activities, </w:t>
      </w:r>
      <w:r>
        <w:rPr>
          <w:rFonts w:ascii="Arial" w:hAnsi="Arial" w:cs="Arial"/>
          <w:color w:val="000000" w:themeColor="text1"/>
          <w:sz w:val="24"/>
          <w:szCs w:val="24"/>
        </w:rPr>
        <w:t>Journal of Gerontological Social Work, 32 (2) pp. 65 – 80.</w:t>
      </w:r>
    </w:p>
    <w:p w14:paraId="59655867" w14:textId="77777777" w:rsidR="0053545F" w:rsidRDefault="0053545F" w:rsidP="0053545F">
      <w:pPr>
        <w:rPr>
          <w:rFonts w:ascii="Arial" w:hAnsi="Arial" w:cs="Arial"/>
          <w:color w:val="000000" w:themeColor="text1"/>
          <w:sz w:val="24"/>
          <w:szCs w:val="24"/>
        </w:rPr>
      </w:pPr>
      <w:proofErr w:type="spellStart"/>
      <w:r>
        <w:rPr>
          <w:rFonts w:ascii="Arial" w:hAnsi="Arial" w:cs="Arial"/>
          <w:color w:val="000000" w:themeColor="text1"/>
          <w:sz w:val="24"/>
          <w:szCs w:val="24"/>
        </w:rPr>
        <w:t>Ocloo</w:t>
      </w:r>
      <w:proofErr w:type="spellEnd"/>
      <w:r>
        <w:rPr>
          <w:rFonts w:ascii="Arial" w:hAnsi="Arial" w:cs="Arial"/>
          <w:color w:val="000000" w:themeColor="text1"/>
          <w:sz w:val="24"/>
          <w:szCs w:val="24"/>
        </w:rPr>
        <w:t xml:space="preserve">, J., Garfield, S., Franklin, B.D. and Dawson, S. (2021) </w:t>
      </w:r>
      <w:r>
        <w:rPr>
          <w:rFonts w:ascii="Arial" w:hAnsi="Arial" w:cs="Arial"/>
          <w:i/>
          <w:iCs/>
          <w:color w:val="000000" w:themeColor="text1"/>
          <w:sz w:val="24"/>
          <w:szCs w:val="24"/>
        </w:rPr>
        <w:t xml:space="preserve">Exploring the Theory, Barriers and Enablers for Patient and Public Involvement Across Health, Social Care and Patient Safety: A Systematic Review of Reviews, </w:t>
      </w:r>
      <w:r>
        <w:rPr>
          <w:rFonts w:ascii="Arial" w:hAnsi="Arial" w:cs="Arial"/>
          <w:color w:val="000000" w:themeColor="text1"/>
          <w:sz w:val="24"/>
          <w:szCs w:val="24"/>
        </w:rPr>
        <w:t>Health Research Policy and Systems, 19, pp. 1 – 21.</w:t>
      </w:r>
    </w:p>
    <w:p w14:paraId="1FFD46F4"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t xml:space="preserve">SCIE (2016) </w:t>
      </w:r>
      <w:r>
        <w:rPr>
          <w:rFonts w:ascii="Arial" w:hAnsi="Arial" w:cs="Arial"/>
          <w:i/>
          <w:iCs/>
          <w:color w:val="000000" w:themeColor="text1"/>
          <w:sz w:val="24"/>
          <w:szCs w:val="24"/>
        </w:rPr>
        <w:t xml:space="preserve">Lack of Communication Between Children’s and Adult’s Social Care: Practice Issues from Serious Case Reviews, </w:t>
      </w:r>
      <w:r>
        <w:rPr>
          <w:rFonts w:ascii="Arial" w:hAnsi="Arial" w:cs="Arial"/>
          <w:color w:val="000000" w:themeColor="text1"/>
          <w:sz w:val="24"/>
          <w:szCs w:val="24"/>
        </w:rPr>
        <w:t xml:space="preserve">[ONLINE] Available at: </w:t>
      </w:r>
      <w:hyperlink r:id="rId16" w:history="1">
        <w:r>
          <w:rPr>
            <w:rStyle w:val="Hyperlink"/>
            <w:rFonts w:ascii="Arial" w:hAnsi="Arial" w:cs="Arial"/>
            <w:color w:val="000000" w:themeColor="text1"/>
            <w:sz w:val="24"/>
            <w:szCs w:val="24"/>
          </w:rPr>
          <w:t>www.scie-socialcareonline.org.uk/lack-of-communication-between-childrens-and-adults-social-care-practice-issues-from-serious-case-reviews/r/a11G0000009TIGAIA4</w:t>
        </w:r>
      </w:hyperlink>
      <w:r>
        <w:rPr>
          <w:rFonts w:ascii="Arial" w:hAnsi="Arial" w:cs="Arial"/>
          <w:color w:val="000000" w:themeColor="text1"/>
          <w:sz w:val="24"/>
          <w:szCs w:val="24"/>
        </w:rPr>
        <w:t xml:space="preserve"> [Accessed on 12 July 2023].</w:t>
      </w:r>
    </w:p>
    <w:p w14:paraId="5297C8D2" w14:textId="77777777" w:rsidR="0053545F" w:rsidRDefault="0053545F" w:rsidP="0053545F">
      <w:pPr>
        <w:rPr>
          <w:rFonts w:ascii="Arial" w:hAnsi="Arial" w:cs="Arial"/>
          <w:color w:val="000000" w:themeColor="text1"/>
          <w:sz w:val="24"/>
          <w:szCs w:val="24"/>
        </w:rPr>
      </w:pPr>
      <w:r>
        <w:rPr>
          <w:rFonts w:ascii="Arial" w:hAnsi="Arial" w:cs="Arial"/>
          <w:color w:val="000000" w:themeColor="text1"/>
          <w:sz w:val="24"/>
          <w:szCs w:val="24"/>
        </w:rPr>
        <w:lastRenderedPageBreak/>
        <w:t xml:space="preserve">Social Care Wales (2023a) </w:t>
      </w:r>
      <w:r>
        <w:rPr>
          <w:rFonts w:ascii="Arial" w:hAnsi="Arial" w:cs="Arial"/>
          <w:i/>
          <w:iCs/>
          <w:color w:val="000000" w:themeColor="text1"/>
          <w:sz w:val="24"/>
          <w:szCs w:val="24"/>
        </w:rPr>
        <w:t xml:space="preserve">Social Services and Wellbeing (Wales) Act (2014) </w:t>
      </w:r>
      <w:r>
        <w:rPr>
          <w:rFonts w:ascii="Arial" w:hAnsi="Arial" w:cs="Arial"/>
          <w:color w:val="000000" w:themeColor="text1"/>
          <w:sz w:val="24"/>
          <w:szCs w:val="24"/>
        </w:rPr>
        <w:t xml:space="preserve">[ONLINE] Available at: </w:t>
      </w:r>
      <w:hyperlink r:id="rId17" w:history="1">
        <w:r>
          <w:rPr>
            <w:rStyle w:val="Hyperlink"/>
            <w:rFonts w:ascii="Arial" w:hAnsi="Arial" w:cs="Arial"/>
            <w:color w:val="000000" w:themeColor="text1"/>
            <w:sz w:val="24"/>
            <w:szCs w:val="24"/>
          </w:rPr>
          <w:t>www.socialcare.wales/resources-guidance/information-and-learning-hub/sswbact</w:t>
        </w:r>
      </w:hyperlink>
      <w:r>
        <w:rPr>
          <w:rFonts w:ascii="Arial" w:hAnsi="Arial" w:cs="Arial"/>
          <w:color w:val="000000" w:themeColor="text1"/>
          <w:sz w:val="24"/>
          <w:szCs w:val="24"/>
        </w:rPr>
        <w:t xml:space="preserve"> [Accessed on 30 May 2023].</w:t>
      </w:r>
    </w:p>
    <w:p w14:paraId="23FFF363" w14:textId="77777777" w:rsidR="0053545F" w:rsidRDefault="0053545F" w:rsidP="0053545F"/>
    <w:p w14:paraId="00A813E2" w14:textId="77777777" w:rsidR="0053545F" w:rsidRPr="000A67B6" w:rsidRDefault="0053545F" w:rsidP="000A67B6"/>
    <w:sectPr w:rsidR="0053545F" w:rsidRPr="000A67B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FA7AF" w14:textId="77777777" w:rsidR="00FF3E18" w:rsidRDefault="00FF3E18" w:rsidP="000A67B6">
      <w:pPr>
        <w:spacing w:after="0" w:line="240" w:lineRule="auto"/>
      </w:pPr>
      <w:r>
        <w:separator/>
      </w:r>
    </w:p>
  </w:endnote>
  <w:endnote w:type="continuationSeparator" w:id="0">
    <w:p w14:paraId="56A070AA" w14:textId="77777777" w:rsidR="00FF3E18" w:rsidRDefault="00FF3E18" w:rsidP="000A6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80B79" w14:textId="77777777" w:rsidR="00FF3E18" w:rsidRDefault="00FF3E18" w:rsidP="000A67B6">
      <w:pPr>
        <w:spacing w:after="0" w:line="240" w:lineRule="auto"/>
      </w:pPr>
      <w:r>
        <w:separator/>
      </w:r>
    </w:p>
  </w:footnote>
  <w:footnote w:type="continuationSeparator" w:id="0">
    <w:p w14:paraId="071787B0" w14:textId="77777777" w:rsidR="00FF3E18" w:rsidRDefault="00FF3E18" w:rsidP="000A67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1BC38" w14:textId="2F02F0FC" w:rsidR="000A67B6" w:rsidRDefault="0053355C" w:rsidP="0053355C">
    <w:pPr>
      <w:pStyle w:val="Header"/>
    </w:pPr>
    <w:r>
      <w:t>Task 1</w:t>
    </w:r>
    <w:r w:rsidR="0053545F">
      <w:t xml:space="preserve"> </w:t>
    </w:r>
    <w:r>
      <w:t xml:space="preserve">                                                                                                                                   </w:t>
    </w:r>
    <w:r w:rsidR="000A67B6">
      <w:t>Learner ID: 2221510</w:t>
    </w:r>
  </w:p>
  <w:p w14:paraId="1DE92A30" w14:textId="77777777" w:rsidR="000A67B6" w:rsidRDefault="000A67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1723F"/>
    <w:multiLevelType w:val="hybridMultilevel"/>
    <w:tmpl w:val="5F6E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FF6708"/>
    <w:multiLevelType w:val="hybridMultilevel"/>
    <w:tmpl w:val="9B361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6973798">
    <w:abstractNumId w:val="0"/>
  </w:num>
  <w:num w:numId="2" w16cid:durableId="1565794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C6A"/>
    <w:rsid w:val="00044F58"/>
    <w:rsid w:val="000A67B6"/>
    <w:rsid w:val="000F5093"/>
    <w:rsid w:val="00102535"/>
    <w:rsid w:val="00136280"/>
    <w:rsid w:val="0020019C"/>
    <w:rsid w:val="002B6FE9"/>
    <w:rsid w:val="0032001F"/>
    <w:rsid w:val="00363691"/>
    <w:rsid w:val="00475929"/>
    <w:rsid w:val="00476363"/>
    <w:rsid w:val="004D5748"/>
    <w:rsid w:val="004F4884"/>
    <w:rsid w:val="0053355C"/>
    <w:rsid w:val="0053545F"/>
    <w:rsid w:val="00555C6A"/>
    <w:rsid w:val="005A5F53"/>
    <w:rsid w:val="006261D0"/>
    <w:rsid w:val="006B5672"/>
    <w:rsid w:val="0073510F"/>
    <w:rsid w:val="007C3F80"/>
    <w:rsid w:val="007C6F5D"/>
    <w:rsid w:val="007E5427"/>
    <w:rsid w:val="00872EA7"/>
    <w:rsid w:val="008A01D1"/>
    <w:rsid w:val="00901123"/>
    <w:rsid w:val="00953189"/>
    <w:rsid w:val="00982771"/>
    <w:rsid w:val="009C31A9"/>
    <w:rsid w:val="009C454A"/>
    <w:rsid w:val="009D671A"/>
    <w:rsid w:val="00A24D99"/>
    <w:rsid w:val="00A665E4"/>
    <w:rsid w:val="00A95CD7"/>
    <w:rsid w:val="00B25764"/>
    <w:rsid w:val="00B62951"/>
    <w:rsid w:val="00C03324"/>
    <w:rsid w:val="00D45F04"/>
    <w:rsid w:val="00D750EA"/>
    <w:rsid w:val="00D77179"/>
    <w:rsid w:val="00DC5100"/>
    <w:rsid w:val="00DF3B76"/>
    <w:rsid w:val="00E1184A"/>
    <w:rsid w:val="00E44B85"/>
    <w:rsid w:val="00E72455"/>
    <w:rsid w:val="00E80098"/>
    <w:rsid w:val="00EB467B"/>
    <w:rsid w:val="00F360C0"/>
    <w:rsid w:val="00FF3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0B764"/>
  <w15:chartTrackingRefBased/>
  <w15:docId w15:val="{2ADF2330-B056-47F8-AC7D-B4E5C247E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7B6"/>
    <w:rPr>
      <w:rFonts w:ascii="Calibri" w:eastAsia="Calibri" w:hAnsi="Calibri" w:cs="Times New Roman"/>
      <w:color w:val="000000"/>
      <w:kern w:val="2"/>
      <w:lang w:val="en" w:eastAsia="e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3691"/>
    <w:pPr>
      <w:ind w:left="720"/>
      <w:contextualSpacing/>
    </w:pPr>
    <w:rPr>
      <w:rFonts w:asciiTheme="minorHAnsi" w:eastAsiaTheme="minorHAnsi" w:hAnsiTheme="minorHAnsi" w:cstheme="minorBidi"/>
      <w:color w:val="auto"/>
      <w:kern w:val="0"/>
      <w:lang w:val="en-GB" w:eastAsia="en-US"/>
      <w14:ligatures w14:val="none"/>
    </w:rPr>
  </w:style>
  <w:style w:type="character" w:styleId="Hyperlink">
    <w:name w:val="Hyperlink"/>
    <w:basedOn w:val="DefaultParagraphFont"/>
    <w:uiPriority w:val="99"/>
    <w:unhideWhenUsed/>
    <w:rsid w:val="009C31A9"/>
    <w:rPr>
      <w:color w:val="0563C1" w:themeColor="hyperlink"/>
      <w:u w:val="single"/>
    </w:rPr>
  </w:style>
  <w:style w:type="character" w:styleId="UnresolvedMention">
    <w:name w:val="Unresolved Mention"/>
    <w:basedOn w:val="DefaultParagraphFont"/>
    <w:uiPriority w:val="99"/>
    <w:semiHidden/>
    <w:unhideWhenUsed/>
    <w:rsid w:val="009C31A9"/>
    <w:rPr>
      <w:color w:val="605E5C"/>
      <w:shd w:val="clear" w:color="auto" w:fill="E1DFDD"/>
    </w:rPr>
  </w:style>
  <w:style w:type="paragraph" w:styleId="Header">
    <w:name w:val="header"/>
    <w:basedOn w:val="Normal"/>
    <w:link w:val="HeaderChar"/>
    <w:uiPriority w:val="99"/>
    <w:unhideWhenUsed/>
    <w:rsid w:val="000A67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7B6"/>
    <w:rPr>
      <w:rFonts w:ascii="Calibri" w:eastAsia="Calibri" w:hAnsi="Calibri" w:cs="Times New Roman"/>
      <w:color w:val="000000"/>
      <w:kern w:val="2"/>
      <w:lang w:val="en" w:eastAsia="en"/>
      <w14:ligatures w14:val="standardContextual"/>
    </w:rPr>
  </w:style>
  <w:style w:type="paragraph" w:styleId="Footer">
    <w:name w:val="footer"/>
    <w:basedOn w:val="Normal"/>
    <w:link w:val="FooterChar"/>
    <w:uiPriority w:val="99"/>
    <w:unhideWhenUsed/>
    <w:rsid w:val="000A6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7B6"/>
    <w:rPr>
      <w:rFonts w:ascii="Calibri" w:eastAsia="Calibri" w:hAnsi="Calibri" w:cs="Times New Roman"/>
      <w:color w:val="000000"/>
      <w:kern w:val="2"/>
      <w:lang w:val="en" w:eastAsia="e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30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anaw/2014/4/section/76/enacted" TargetMode="External"/><Relationship Id="rId13" Type="http://schemas.openxmlformats.org/officeDocument/2006/relationships/hyperlink" Target="http://www.basw.co.uk/professional-development/professional-capabilities-framework-pcf/the-pcf/social-worker/knowledge"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thefosteringnetwork.org.uk/blogs/kevin-williams/its-time-treat-foster-carers-professionals-they-are" TargetMode="External"/><Relationship Id="rId12" Type="http://schemas.openxmlformats.org/officeDocument/2006/relationships/hyperlink" Target="http://www.socialcareinspection.blog.gov.uk/2019/07/24/what-makes-an-effective-case-record" TargetMode="External"/><Relationship Id="rId17" Type="http://schemas.openxmlformats.org/officeDocument/2006/relationships/hyperlink" Target="http://www.socialcare.wales/resources-guidance/information-and-learning-hub/sswbact" TargetMode="External"/><Relationship Id="rId2" Type="http://schemas.openxmlformats.org/officeDocument/2006/relationships/styles" Target="styles.xml"/><Relationship Id="rId16" Type="http://schemas.openxmlformats.org/officeDocument/2006/relationships/hyperlink" Target="http://www.scie-socialcareonline.org.uk/lack-of-communication-between-childrens-and-adults-social-care-practice-issues-from-serious-case-reviews/r/a11G0000009TIGAIA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ocialcare.wales/resources-guidance/information-and-learning-hub/learning-resources/social-services-and-well-being-wales-act-2014" TargetMode="External"/><Relationship Id="rId5" Type="http://schemas.openxmlformats.org/officeDocument/2006/relationships/footnotes" Target="footnotes.xml"/><Relationship Id="rId15" Type="http://schemas.openxmlformats.org/officeDocument/2006/relationships/hyperlink" Target="http://www.youtube.com/watch?v=eSCUPmSPTY" TargetMode="External"/><Relationship Id="rId10" Type="http://schemas.openxmlformats.org/officeDocument/2006/relationships/hyperlink" Target="http://www.scie.org.uk/co-production/what-ho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youtube.com/watch?v=eSCUPmSPTY" TargetMode="External"/><Relationship Id="rId14" Type="http://schemas.openxmlformats.org/officeDocument/2006/relationships/hyperlink" Target="http://www.communitycare.co.uk/2012/04/27/what-service-users-want-from-social-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7</Pages>
  <Words>2405</Words>
  <Characters>13712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16085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McLaren</dc:creator>
  <cp:keywords/>
  <dc:description/>
  <cp:lastModifiedBy>Catrin McLaren</cp:lastModifiedBy>
  <cp:revision>42</cp:revision>
  <dcterms:created xsi:type="dcterms:W3CDTF">2023-05-29T16:13:00Z</dcterms:created>
  <dcterms:modified xsi:type="dcterms:W3CDTF">2023-10-17T21:08:00Z</dcterms:modified>
</cp:coreProperties>
</file>