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F3FD8" w14:textId="7151DAAE" w:rsidR="00F70E27" w:rsidRDefault="00EA7B14" w:rsidP="002A7BD6">
      <w:pPr>
        <w:rPr>
          <w:b/>
          <w:bCs/>
          <w:sz w:val="32"/>
          <w:szCs w:val="32"/>
        </w:rPr>
      </w:pPr>
      <w:r>
        <w:rPr>
          <w:noProof/>
          <w:lang w:val="en-US" w:bidi="ar-SA"/>
        </w:rPr>
        <w:drawing>
          <wp:inline distT="0" distB="0" distL="0" distR="0" wp14:anchorId="11988E15" wp14:editId="25B6CFE2">
            <wp:extent cx="2861945" cy="1591310"/>
            <wp:effectExtent l="0" t="0" r="0" b="8890"/>
            <wp:docPr id="1015710243" name="Picture 1"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Education in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1591310"/>
                    </a:xfrm>
                    <a:prstGeom prst="rect">
                      <a:avLst/>
                    </a:prstGeom>
                    <a:noFill/>
                    <a:ln>
                      <a:noFill/>
                    </a:ln>
                  </pic:spPr>
                </pic:pic>
              </a:graphicData>
            </a:graphic>
          </wp:inline>
        </w:drawing>
      </w:r>
    </w:p>
    <w:p w14:paraId="2E91CF19" w14:textId="77777777" w:rsidR="00A86455" w:rsidRDefault="00A86455">
      <w:pPr>
        <w:rPr>
          <w:b/>
          <w:bCs/>
          <w:sz w:val="32"/>
          <w:szCs w:val="32"/>
        </w:rPr>
      </w:pPr>
    </w:p>
    <w:p w14:paraId="0DC57208" w14:textId="77777777" w:rsidR="00A86455" w:rsidRDefault="00A86455" w:rsidP="00A86455">
      <w:pPr>
        <w:spacing w:line="360" w:lineRule="auto"/>
        <w:rPr>
          <w:b/>
          <w:bCs/>
          <w:sz w:val="32"/>
          <w:szCs w:val="32"/>
        </w:rPr>
      </w:pPr>
    </w:p>
    <w:p w14:paraId="47ACC672" w14:textId="2AC2C9D3" w:rsidR="0013535F" w:rsidRPr="00422444" w:rsidRDefault="00A86455" w:rsidP="00656C83">
      <w:pPr>
        <w:spacing w:line="360" w:lineRule="auto"/>
        <w:jc w:val="both"/>
        <w:rPr>
          <w:rFonts w:ascii="Arial" w:hAnsi="Arial" w:cs="Arial"/>
          <w:b/>
          <w:bCs/>
          <w:sz w:val="28"/>
        </w:rPr>
      </w:pPr>
      <w:r w:rsidRPr="00422444">
        <w:rPr>
          <w:rFonts w:ascii="Arial" w:hAnsi="Arial" w:cs="Arial"/>
          <w:b/>
          <w:bCs/>
          <w:sz w:val="28"/>
        </w:rPr>
        <w:t>Module Code:</w:t>
      </w:r>
      <w:r w:rsidRPr="00422444">
        <w:rPr>
          <w:rFonts w:ascii="Arial" w:hAnsi="Arial" w:cs="Arial"/>
          <w:sz w:val="28"/>
        </w:rPr>
        <w:t xml:space="preserve"> LCHS4003</w:t>
      </w:r>
    </w:p>
    <w:p w14:paraId="23A5BA72" w14:textId="208794B6" w:rsidR="00A86455" w:rsidRPr="00422444" w:rsidRDefault="00A86455" w:rsidP="00656C83">
      <w:pPr>
        <w:spacing w:line="360" w:lineRule="auto"/>
        <w:jc w:val="both"/>
        <w:rPr>
          <w:rFonts w:ascii="Arial" w:hAnsi="Arial" w:cs="Arial"/>
          <w:b/>
          <w:bCs/>
          <w:sz w:val="28"/>
        </w:rPr>
      </w:pPr>
      <w:r w:rsidRPr="00422444">
        <w:rPr>
          <w:rFonts w:ascii="Arial" w:hAnsi="Arial" w:cs="Arial"/>
          <w:b/>
          <w:bCs/>
          <w:sz w:val="28"/>
        </w:rPr>
        <w:t xml:space="preserve">Module Title: </w:t>
      </w:r>
      <w:r w:rsidRPr="00422444">
        <w:rPr>
          <w:rFonts w:ascii="Arial" w:hAnsi="Arial" w:cs="Arial"/>
          <w:sz w:val="28"/>
        </w:rPr>
        <w:t>Introduction to Health and Social Care</w:t>
      </w:r>
    </w:p>
    <w:p w14:paraId="1498CCF2" w14:textId="7F94B886" w:rsidR="00A86455" w:rsidRPr="00422444" w:rsidRDefault="00A86455" w:rsidP="00656C83">
      <w:pPr>
        <w:spacing w:line="360" w:lineRule="auto"/>
        <w:jc w:val="both"/>
        <w:rPr>
          <w:rFonts w:ascii="Arial" w:hAnsi="Arial" w:cs="Arial"/>
          <w:b/>
          <w:bCs/>
          <w:sz w:val="28"/>
        </w:rPr>
      </w:pPr>
      <w:r w:rsidRPr="00422444">
        <w:rPr>
          <w:rFonts w:ascii="Arial" w:hAnsi="Arial" w:cs="Arial"/>
          <w:b/>
          <w:bCs/>
          <w:sz w:val="28"/>
        </w:rPr>
        <w:t>Assignment Title:</w:t>
      </w:r>
      <w:r w:rsidR="00422444" w:rsidRPr="00422444">
        <w:rPr>
          <w:rFonts w:ascii="Arial" w:hAnsi="Arial" w:cs="Arial"/>
          <w:b/>
          <w:bCs/>
          <w:sz w:val="28"/>
        </w:rPr>
        <w:t xml:space="preserve"> </w:t>
      </w:r>
      <w:r w:rsidR="00422444" w:rsidRPr="00422444">
        <w:rPr>
          <w:rFonts w:ascii="Arial" w:hAnsi="Arial" w:cs="Arial"/>
          <w:sz w:val="28"/>
        </w:rPr>
        <w:t>Communication, Administrative Practice and Collaborative Working in the Care of Mrs Thompson</w:t>
      </w:r>
    </w:p>
    <w:p w14:paraId="59F0185C" w14:textId="51853FAF" w:rsidR="00A86455" w:rsidRPr="00422444" w:rsidRDefault="00A86455" w:rsidP="00656C83">
      <w:pPr>
        <w:spacing w:line="360" w:lineRule="auto"/>
        <w:jc w:val="both"/>
        <w:rPr>
          <w:rFonts w:ascii="Arial" w:hAnsi="Arial" w:cs="Arial"/>
          <w:b/>
          <w:bCs/>
          <w:sz w:val="28"/>
        </w:rPr>
      </w:pPr>
      <w:r w:rsidRPr="00422444">
        <w:rPr>
          <w:rFonts w:ascii="Arial" w:hAnsi="Arial" w:cs="Arial"/>
          <w:b/>
          <w:bCs/>
          <w:sz w:val="28"/>
        </w:rPr>
        <w:t xml:space="preserve">Module Leader: </w:t>
      </w:r>
      <w:r w:rsidRPr="00422444">
        <w:rPr>
          <w:rFonts w:ascii="Arial" w:hAnsi="Arial" w:cs="Arial"/>
          <w:sz w:val="28"/>
        </w:rPr>
        <w:t>Muhammad Aliyu</w:t>
      </w:r>
    </w:p>
    <w:p w14:paraId="78D0C1C4" w14:textId="77777777" w:rsidR="00A86455" w:rsidRPr="00422444" w:rsidRDefault="00A86455" w:rsidP="00656C83">
      <w:pPr>
        <w:spacing w:line="360" w:lineRule="auto"/>
        <w:jc w:val="both"/>
        <w:rPr>
          <w:rFonts w:ascii="Arial" w:hAnsi="Arial" w:cs="Arial"/>
          <w:b/>
          <w:bCs/>
          <w:sz w:val="28"/>
        </w:rPr>
      </w:pPr>
    </w:p>
    <w:p w14:paraId="39959AD8" w14:textId="77777777" w:rsidR="00A86455" w:rsidRPr="00422444" w:rsidRDefault="00A86455" w:rsidP="00656C83">
      <w:pPr>
        <w:spacing w:line="360" w:lineRule="auto"/>
        <w:jc w:val="both"/>
        <w:rPr>
          <w:rFonts w:ascii="Arial" w:hAnsi="Arial" w:cs="Arial"/>
          <w:b/>
          <w:bCs/>
          <w:sz w:val="28"/>
        </w:rPr>
      </w:pPr>
    </w:p>
    <w:p w14:paraId="0CAE069A" w14:textId="746C7A1A" w:rsidR="00A86455" w:rsidRPr="00422444" w:rsidRDefault="00A86455" w:rsidP="00656C83">
      <w:pPr>
        <w:spacing w:line="360" w:lineRule="auto"/>
        <w:jc w:val="both"/>
        <w:rPr>
          <w:rFonts w:ascii="Arial" w:hAnsi="Arial" w:cs="Arial"/>
          <w:b/>
          <w:bCs/>
          <w:sz w:val="28"/>
        </w:rPr>
      </w:pPr>
    </w:p>
    <w:p w14:paraId="77B58AC6" w14:textId="77777777" w:rsidR="00A86455" w:rsidRPr="00422444" w:rsidRDefault="00A86455" w:rsidP="00656C83">
      <w:pPr>
        <w:spacing w:line="360" w:lineRule="auto"/>
        <w:jc w:val="both"/>
        <w:rPr>
          <w:rFonts w:ascii="Arial" w:hAnsi="Arial" w:cs="Arial"/>
          <w:b/>
          <w:bCs/>
          <w:sz w:val="28"/>
        </w:rPr>
      </w:pPr>
    </w:p>
    <w:p w14:paraId="3F00F5C1" w14:textId="379274FC" w:rsidR="00A86455" w:rsidRPr="00422444" w:rsidRDefault="00A86455" w:rsidP="00656C83">
      <w:pPr>
        <w:spacing w:line="360" w:lineRule="auto"/>
        <w:jc w:val="both"/>
        <w:rPr>
          <w:rFonts w:ascii="Arial" w:hAnsi="Arial" w:cs="Arial"/>
          <w:b/>
          <w:bCs/>
          <w:sz w:val="28"/>
        </w:rPr>
      </w:pPr>
      <w:r w:rsidRPr="00422444">
        <w:rPr>
          <w:rFonts w:ascii="Arial" w:hAnsi="Arial" w:cs="Arial"/>
          <w:b/>
          <w:bCs/>
          <w:sz w:val="28"/>
        </w:rPr>
        <w:t>Student Name:</w:t>
      </w:r>
      <w:r w:rsidR="005D7DAF">
        <w:rPr>
          <w:rFonts w:ascii="Arial" w:hAnsi="Arial" w:cs="Arial"/>
          <w:b/>
          <w:bCs/>
          <w:sz w:val="28"/>
        </w:rPr>
        <w:t xml:space="preserve"> </w:t>
      </w:r>
      <w:proofErr w:type="spellStart"/>
      <w:r w:rsidR="005D7DAF" w:rsidRPr="005D7DAF">
        <w:rPr>
          <w:rFonts w:ascii="Arial" w:hAnsi="Arial" w:cs="Arial"/>
          <w:bCs/>
          <w:sz w:val="28"/>
        </w:rPr>
        <w:t>Robius</w:t>
      </w:r>
      <w:proofErr w:type="spellEnd"/>
      <w:r w:rsidR="005D7DAF" w:rsidRPr="005D7DAF">
        <w:rPr>
          <w:rFonts w:ascii="Arial" w:hAnsi="Arial" w:cs="Arial"/>
          <w:bCs/>
          <w:sz w:val="28"/>
        </w:rPr>
        <w:t xml:space="preserve"> </w:t>
      </w:r>
      <w:proofErr w:type="spellStart"/>
      <w:r w:rsidR="005D7DAF" w:rsidRPr="005D7DAF">
        <w:rPr>
          <w:rFonts w:ascii="Arial" w:hAnsi="Arial" w:cs="Arial"/>
          <w:bCs/>
          <w:sz w:val="28"/>
        </w:rPr>
        <w:t>Sany</w:t>
      </w:r>
      <w:proofErr w:type="spellEnd"/>
    </w:p>
    <w:p w14:paraId="50FA2798" w14:textId="74CFEC72" w:rsidR="00A86455" w:rsidRPr="00422444" w:rsidRDefault="00A86455" w:rsidP="00656C83">
      <w:pPr>
        <w:spacing w:line="360" w:lineRule="auto"/>
        <w:jc w:val="both"/>
        <w:rPr>
          <w:rFonts w:ascii="Arial" w:hAnsi="Arial" w:cs="Arial"/>
          <w:b/>
          <w:bCs/>
          <w:sz w:val="28"/>
        </w:rPr>
      </w:pPr>
      <w:r w:rsidRPr="00422444">
        <w:rPr>
          <w:rFonts w:ascii="Arial" w:hAnsi="Arial" w:cs="Arial"/>
          <w:b/>
          <w:bCs/>
          <w:sz w:val="28"/>
        </w:rPr>
        <w:t>Student ID:</w:t>
      </w:r>
      <w:r w:rsidR="005D7DAF">
        <w:rPr>
          <w:rFonts w:ascii="Arial" w:hAnsi="Arial" w:cs="Arial"/>
          <w:b/>
          <w:bCs/>
          <w:sz w:val="28"/>
        </w:rPr>
        <w:t xml:space="preserve"> </w:t>
      </w:r>
      <w:r w:rsidR="005D7DAF" w:rsidRPr="005D7DAF">
        <w:rPr>
          <w:rFonts w:ascii="Arial" w:hAnsi="Arial" w:cs="Arial"/>
          <w:bCs/>
          <w:sz w:val="28"/>
        </w:rPr>
        <w:t>2523192</w:t>
      </w:r>
    </w:p>
    <w:p w14:paraId="4ABF1CD3" w14:textId="1544355D" w:rsidR="00A86455" w:rsidRPr="00BF2A54" w:rsidRDefault="00A86455" w:rsidP="00656C83">
      <w:pPr>
        <w:spacing w:line="360" w:lineRule="auto"/>
        <w:jc w:val="both"/>
        <w:rPr>
          <w:rFonts w:ascii="Arial" w:hAnsi="Arial" w:cs="Arial"/>
          <w:sz w:val="28"/>
        </w:rPr>
      </w:pPr>
      <w:r w:rsidRPr="00422444">
        <w:rPr>
          <w:rFonts w:ascii="Arial" w:hAnsi="Arial" w:cs="Arial"/>
          <w:b/>
          <w:bCs/>
          <w:sz w:val="28"/>
        </w:rPr>
        <w:t>Word Count</w:t>
      </w:r>
      <w:r w:rsidR="005D1009">
        <w:rPr>
          <w:rFonts w:ascii="Arial" w:hAnsi="Arial" w:cs="Arial"/>
          <w:b/>
          <w:bCs/>
          <w:sz w:val="28"/>
        </w:rPr>
        <w:t xml:space="preserve">: </w:t>
      </w:r>
      <w:r w:rsidR="005D1009" w:rsidRPr="00BF2A54">
        <w:rPr>
          <w:rFonts w:ascii="Arial" w:hAnsi="Arial" w:cs="Arial"/>
          <w:sz w:val="28"/>
        </w:rPr>
        <w:t>1549</w:t>
      </w:r>
    </w:p>
    <w:p w14:paraId="77B2BC59" w14:textId="77777777" w:rsidR="0013535F" w:rsidRPr="00BF2A54" w:rsidRDefault="0013535F">
      <w:pPr>
        <w:rPr>
          <w:sz w:val="32"/>
          <w:szCs w:val="32"/>
        </w:rPr>
      </w:pPr>
    </w:p>
    <w:p w14:paraId="23693BA8" w14:textId="4A45ED70" w:rsidR="00F70E27" w:rsidRPr="00BF2A54" w:rsidRDefault="00F70E27">
      <w:pPr>
        <w:rPr>
          <w:sz w:val="32"/>
          <w:szCs w:val="32"/>
        </w:rPr>
      </w:pPr>
      <w:bookmarkStart w:id="0" w:name="_GoBack"/>
      <w:bookmarkEnd w:id="0"/>
      <w:r w:rsidRPr="00BF2A54">
        <w:rPr>
          <w:sz w:val="32"/>
          <w:szCs w:val="32"/>
        </w:rPr>
        <w:br w:type="page"/>
      </w:r>
    </w:p>
    <w:sdt>
      <w:sdtPr>
        <w:rPr>
          <w:rFonts w:asciiTheme="minorHAnsi" w:eastAsiaTheme="minorHAnsi" w:hAnsiTheme="minorHAnsi" w:cs="Vrinda"/>
          <w:color w:val="auto"/>
          <w:sz w:val="22"/>
          <w:szCs w:val="28"/>
          <w:lang w:val="en-GB" w:bidi="bn-BD"/>
          <w14:ligatures w14:val="standardContextual"/>
        </w:rPr>
        <w:id w:val="-10065676"/>
        <w:docPartObj>
          <w:docPartGallery w:val="Table of Contents"/>
          <w:docPartUnique/>
        </w:docPartObj>
      </w:sdtPr>
      <w:sdtEndPr>
        <w:rPr>
          <w:b/>
          <w:bCs/>
          <w:noProof/>
        </w:rPr>
      </w:sdtEndPr>
      <w:sdtContent>
        <w:p w14:paraId="7FCC91BE" w14:textId="1B86ED5D" w:rsidR="00F70E27" w:rsidRPr="001060D0" w:rsidRDefault="00F70E27" w:rsidP="00F70E27">
          <w:pPr>
            <w:pStyle w:val="TOCHeading"/>
            <w:spacing w:line="360" w:lineRule="auto"/>
            <w:jc w:val="center"/>
            <w:rPr>
              <w:rFonts w:ascii="Arial" w:hAnsi="Arial" w:cs="Arial"/>
              <w:b/>
              <w:bCs/>
              <w:color w:val="002060"/>
            </w:rPr>
          </w:pPr>
          <w:r w:rsidRPr="001060D0">
            <w:rPr>
              <w:rFonts w:ascii="Arial" w:hAnsi="Arial" w:cs="Arial"/>
              <w:b/>
              <w:bCs/>
              <w:color w:val="002060"/>
            </w:rPr>
            <w:t>Table of Contents</w:t>
          </w:r>
        </w:p>
        <w:p w14:paraId="1B550F58" w14:textId="5FD05A67" w:rsidR="00F70E27" w:rsidRPr="00F70E27" w:rsidRDefault="00F70E27" w:rsidP="00F70E27">
          <w:pPr>
            <w:pStyle w:val="TOC1"/>
            <w:tabs>
              <w:tab w:val="right" w:leader="dot" w:pos="9016"/>
            </w:tabs>
            <w:spacing w:line="360" w:lineRule="auto"/>
            <w:rPr>
              <w:rFonts w:ascii="Arial" w:hAnsi="Arial" w:cs="Arial"/>
              <w:noProof/>
            </w:rPr>
          </w:pPr>
          <w:r w:rsidRPr="00F70E27">
            <w:rPr>
              <w:rFonts w:ascii="Arial" w:hAnsi="Arial" w:cs="Arial"/>
            </w:rPr>
            <w:fldChar w:fldCharType="begin"/>
          </w:r>
          <w:r w:rsidRPr="00F70E27">
            <w:rPr>
              <w:rFonts w:ascii="Arial" w:hAnsi="Arial" w:cs="Arial"/>
            </w:rPr>
            <w:instrText xml:space="preserve"> TOC \o "1-3" \h \z \u </w:instrText>
          </w:r>
          <w:r w:rsidRPr="00F70E27">
            <w:rPr>
              <w:rFonts w:ascii="Arial" w:hAnsi="Arial" w:cs="Arial"/>
            </w:rPr>
            <w:fldChar w:fldCharType="separate"/>
          </w:r>
          <w:hyperlink w:anchor="_Toc237163490" w:history="1">
            <w:r w:rsidRPr="00F70E27">
              <w:rPr>
                <w:rStyle w:val="Hyperlink"/>
                <w:rFonts w:ascii="Arial" w:hAnsi="Arial" w:cs="Arial"/>
                <w:noProof/>
              </w:rPr>
              <w:t>Introduction</w:t>
            </w:r>
            <w:r w:rsidRPr="00F70E27">
              <w:rPr>
                <w:rFonts w:ascii="Arial" w:hAnsi="Arial" w:cs="Arial"/>
                <w:noProof/>
                <w:webHidden/>
              </w:rPr>
              <w:tab/>
            </w:r>
            <w:r w:rsidRPr="00F70E27">
              <w:rPr>
                <w:rFonts w:ascii="Arial" w:hAnsi="Arial" w:cs="Arial"/>
                <w:noProof/>
                <w:webHidden/>
              </w:rPr>
              <w:fldChar w:fldCharType="begin"/>
            </w:r>
            <w:r w:rsidRPr="00F70E27">
              <w:rPr>
                <w:rFonts w:ascii="Arial" w:hAnsi="Arial" w:cs="Arial"/>
                <w:noProof/>
                <w:webHidden/>
              </w:rPr>
              <w:instrText xml:space="preserve"> PAGEREF _Toc237163490 \h </w:instrText>
            </w:r>
            <w:r w:rsidRPr="00F70E27">
              <w:rPr>
                <w:rFonts w:ascii="Arial" w:hAnsi="Arial" w:cs="Arial"/>
                <w:noProof/>
                <w:webHidden/>
              </w:rPr>
            </w:r>
            <w:r w:rsidRPr="00F70E27">
              <w:rPr>
                <w:rFonts w:ascii="Arial" w:hAnsi="Arial" w:cs="Arial"/>
                <w:noProof/>
                <w:webHidden/>
              </w:rPr>
              <w:fldChar w:fldCharType="separate"/>
            </w:r>
            <w:r w:rsidR="00575F2D">
              <w:rPr>
                <w:rFonts w:ascii="Arial" w:hAnsi="Arial" w:cs="Arial"/>
                <w:noProof/>
                <w:webHidden/>
              </w:rPr>
              <w:t>1</w:t>
            </w:r>
            <w:r w:rsidRPr="00F70E27">
              <w:rPr>
                <w:rFonts w:ascii="Arial" w:hAnsi="Arial" w:cs="Arial"/>
                <w:noProof/>
                <w:webHidden/>
              </w:rPr>
              <w:fldChar w:fldCharType="end"/>
            </w:r>
          </w:hyperlink>
        </w:p>
        <w:p w14:paraId="293A5D01" w14:textId="5A83C16A" w:rsidR="00F70E27" w:rsidRPr="00F70E27" w:rsidRDefault="00965E2C" w:rsidP="00F70E27">
          <w:pPr>
            <w:pStyle w:val="TOC1"/>
            <w:tabs>
              <w:tab w:val="left" w:pos="480"/>
              <w:tab w:val="right" w:leader="dot" w:pos="9016"/>
            </w:tabs>
            <w:spacing w:line="360" w:lineRule="auto"/>
            <w:rPr>
              <w:rFonts w:ascii="Arial" w:hAnsi="Arial" w:cs="Arial"/>
              <w:noProof/>
            </w:rPr>
          </w:pPr>
          <w:hyperlink w:anchor="_Toc237163491" w:history="1">
            <w:r w:rsidR="00F70E27" w:rsidRPr="00F70E27">
              <w:rPr>
                <w:rStyle w:val="Hyperlink"/>
                <w:rFonts w:ascii="Arial" w:hAnsi="Arial" w:cs="Arial"/>
                <w:noProof/>
              </w:rPr>
              <w:t>1.</w:t>
            </w:r>
            <w:r w:rsidR="00F70E27" w:rsidRPr="00F70E27">
              <w:rPr>
                <w:rFonts w:ascii="Arial" w:hAnsi="Arial" w:cs="Arial"/>
                <w:noProof/>
              </w:rPr>
              <w:tab/>
            </w:r>
            <w:r w:rsidR="00F70E27" w:rsidRPr="00F70E27">
              <w:rPr>
                <w:rStyle w:val="Hyperlink"/>
                <w:rFonts w:ascii="Arial" w:hAnsi="Arial" w:cs="Arial"/>
                <w:noProof/>
              </w:rPr>
              <w:t>Effective Communication</w:t>
            </w:r>
            <w:r w:rsidR="00F70E27" w:rsidRPr="00F70E27">
              <w:rPr>
                <w:rFonts w:ascii="Arial" w:hAnsi="Arial" w:cs="Arial"/>
                <w:noProof/>
                <w:webHidden/>
              </w:rPr>
              <w:tab/>
            </w:r>
            <w:r w:rsidR="00F70E27" w:rsidRPr="00F70E27">
              <w:rPr>
                <w:rFonts w:ascii="Arial" w:hAnsi="Arial" w:cs="Arial"/>
                <w:noProof/>
                <w:webHidden/>
              </w:rPr>
              <w:fldChar w:fldCharType="begin"/>
            </w:r>
            <w:r w:rsidR="00F70E27" w:rsidRPr="00F70E27">
              <w:rPr>
                <w:rFonts w:ascii="Arial" w:hAnsi="Arial" w:cs="Arial"/>
                <w:noProof/>
                <w:webHidden/>
              </w:rPr>
              <w:instrText xml:space="preserve"> PAGEREF _Toc237163491 \h </w:instrText>
            </w:r>
            <w:r w:rsidR="00F70E27" w:rsidRPr="00F70E27">
              <w:rPr>
                <w:rFonts w:ascii="Arial" w:hAnsi="Arial" w:cs="Arial"/>
                <w:noProof/>
                <w:webHidden/>
              </w:rPr>
            </w:r>
            <w:r w:rsidR="00F70E27" w:rsidRPr="00F70E27">
              <w:rPr>
                <w:rFonts w:ascii="Arial" w:hAnsi="Arial" w:cs="Arial"/>
                <w:noProof/>
                <w:webHidden/>
              </w:rPr>
              <w:fldChar w:fldCharType="separate"/>
            </w:r>
            <w:r w:rsidR="00575F2D">
              <w:rPr>
                <w:rFonts w:ascii="Arial" w:hAnsi="Arial" w:cs="Arial"/>
                <w:noProof/>
                <w:webHidden/>
              </w:rPr>
              <w:t>1</w:t>
            </w:r>
            <w:r w:rsidR="00F70E27" w:rsidRPr="00F70E27">
              <w:rPr>
                <w:rFonts w:ascii="Arial" w:hAnsi="Arial" w:cs="Arial"/>
                <w:noProof/>
                <w:webHidden/>
              </w:rPr>
              <w:fldChar w:fldCharType="end"/>
            </w:r>
          </w:hyperlink>
        </w:p>
        <w:p w14:paraId="3F0EA9C5" w14:textId="101F88F6" w:rsidR="00F70E27" w:rsidRPr="00F70E27" w:rsidRDefault="00965E2C" w:rsidP="00F70E27">
          <w:pPr>
            <w:pStyle w:val="TOC1"/>
            <w:tabs>
              <w:tab w:val="left" w:pos="480"/>
              <w:tab w:val="right" w:leader="dot" w:pos="9016"/>
            </w:tabs>
            <w:spacing w:line="360" w:lineRule="auto"/>
            <w:rPr>
              <w:rFonts w:ascii="Arial" w:hAnsi="Arial" w:cs="Arial"/>
              <w:noProof/>
            </w:rPr>
          </w:pPr>
          <w:hyperlink w:anchor="_Toc237163492" w:history="1">
            <w:r w:rsidR="00F70E27" w:rsidRPr="00F70E27">
              <w:rPr>
                <w:rStyle w:val="Hyperlink"/>
                <w:rFonts w:ascii="Arial" w:hAnsi="Arial" w:cs="Arial"/>
                <w:noProof/>
              </w:rPr>
              <w:t>2.</w:t>
            </w:r>
            <w:r w:rsidR="00F70E27" w:rsidRPr="00F70E27">
              <w:rPr>
                <w:rFonts w:ascii="Arial" w:hAnsi="Arial" w:cs="Arial"/>
                <w:noProof/>
              </w:rPr>
              <w:tab/>
            </w:r>
            <w:r w:rsidR="00F70E27" w:rsidRPr="00F70E27">
              <w:rPr>
                <w:rStyle w:val="Hyperlink"/>
                <w:rFonts w:ascii="Arial" w:hAnsi="Arial" w:cs="Arial"/>
                <w:noProof/>
              </w:rPr>
              <w:t>Administrative Skills, Record Keeping and Data Protection</w:t>
            </w:r>
            <w:r w:rsidR="00F70E27" w:rsidRPr="00F70E27">
              <w:rPr>
                <w:rFonts w:ascii="Arial" w:hAnsi="Arial" w:cs="Arial"/>
                <w:noProof/>
                <w:webHidden/>
              </w:rPr>
              <w:tab/>
            </w:r>
            <w:r w:rsidR="00F70E27" w:rsidRPr="00F70E27">
              <w:rPr>
                <w:rFonts w:ascii="Arial" w:hAnsi="Arial" w:cs="Arial"/>
                <w:noProof/>
                <w:webHidden/>
              </w:rPr>
              <w:fldChar w:fldCharType="begin"/>
            </w:r>
            <w:r w:rsidR="00F70E27" w:rsidRPr="00F70E27">
              <w:rPr>
                <w:rFonts w:ascii="Arial" w:hAnsi="Arial" w:cs="Arial"/>
                <w:noProof/>
                <w:webHidden/>
              </w:rPr>
              <w:instrText xml:space="preserve"> PAGEREF _Toc237163492 \h </w:instrText>
            </w:r>
            <w:r w:rsidR="00F70E27" w:rsidRPr="00F70E27">
              <w:rPr>
                <w:rFonts w:ascii="Arial" w:hAnsi="Arial" w:cs="Arial"/>
                <w:noProof/>
                <w:webHidden/>
              </w:rPr>
            </w:r>
            <w:r w:rsidR="00F70E27" w:rsidRPr="00F70E27">
              <w:rPr>
                <w:rFonts w:ascii="Arial" w:hAnsi="Arial" w:cs="Arial"/>
                <w:noProof/>
                <w:webHidden/>
              </w:rPr>
              <w:fldChar w:fldCharType="separate"/>
            </w:r>
            <w:r w:rsidR="00575F2D">
              <w:rPr>
                <w:rFonts w:ascii="Arial" w:hAnsi="Arial" w:cs="Arial"/>
                <w:noProof/>
                <w:webHidden/>
              </w:rPr>
              <w:t>2</w:t>
            </w:r>
            <w:r w:rsidR="00F70E27" w:rsidRPr="00F70E27">
              <w:rPr>
                <w:rFonts w:ascii="Arial" w:hAnsi="Arial" w:cs="Arial"/>
                <w:noProof/>
                <w:webHidden/>
              </w:rPr>
              <w:fldChar w:fldCharType="end"/>
            </w:r>
          </w:hyperlink>
        </w:p>
        <w:p w14:paraId="3093C7D1" w14:textId="41A991C4" w:rsidR="00F70E27" w:rsidRPr="00F70E27" w:rsidRDefault="00965E2C" w:rsidP="00F70E27">
          <w:pPr>
            <w:pStyle w:val="TOC1"/>
            <w:tabs>
              <w:tab w:val="left" w:pos="480"/>
              <w:tab w:val="right" w:leader="dot" w:pos="9016"/>
            </w:tabs>
            <w:spacing w:line="360" w:lineRule="auto"/>
            <w:rPr>
              <w:rFonts w:ascii="Arial" w:hAnsi="Arial" w:cs="Arial"/>
              <w:noProof/>
            </w:rPr>
          </w:pPr>
          <w:hyperlink w:anchor="_Toc237163493" w:history="1">
            <w:r w:rsidR="00F70E27" w:rsidRPr="00F70E27">
              <w:rPr>
                <w:rStyle w:val="Hyperlink"/>
                <w:rFonts w:ascii="Arial" w:hAnsi="Arial" w:cs="Arial"/>
                <w:noProof/>
              </w:rPr>
              <w:t>3.</w:t>
            </w:r>
            <w:r w:rsidR="00F70E27" w:rsidRPr="00F70E27">
              <w:rPr>
                <w:rFonts w:ascii="Arial" w:hAnsi="Arial" w:cs="Arial"/>
                <w:noProof/>
              </w:rPr>
              <w:tab/>
            </w:r>
            <w:r w:rsidR="00F70E27" w:rsidRPr="00F70E27">
              <w:rPr>
                <w:rStyle w:val="Hyperlink"/>
                <w:rFonts w:ascii="Arial" w:hAnsi="Arial" w:cs="Arial"/>
                <w:noProof/>
              </w:rPr>
              <w:t>Collaborative Working</w:t>
            </w:r>
            <w:r w:rsidR="00F70E27" w:rsidRPr="00F70E27">
              <w:rPr>
                <w:rFonts w:ascii="Arial" w:hAnsi="Arial" w:cs="Arial"/>
                <w:noProof/>
                <w:webHidden/>
              </w:rPr>
              <w:tab/>
            </w:r>
            <w:r w:rsidR="00F70E27" w:rsidRPr="00F70E27">
              <w:rPr>
                <w:rFonts w:ascii="Arial" w:hAnsi="Arial" w:cs="Arial"/>
                <w:noProof/>
                <w:webHidden/>
              </w:rPr>
              <w:fldChar w:fldCharType="begin"/>
            </w:r>
            <w:r w:rsidR="00F70E27" w:rsidRPr="00F70E27">
              <w:rPr>
                <w:rFonts w:ascii="Arial" w:hAnsi="Arial" w:cs="Arial"/>
                <w:noProof/>
                <w:webHidden/>
              </w:rPr>
              <w:instrText xml:space="preserve"> PAGEREF _Toc237163493 \h </w:instrText>
            </w:r>
            <w:r w:rsidR="00F70E27" w:rsidRPr="00F70E27">
              <w:rPr>
                <w:rFonts w:ascii="Arial" w:hAnsi="Arial" w:cs="Arial"/>
                <w:noProof/>
                <w:webHidden/>
              </w:rPr>
            </w:r>
            <w:r w:rsidR="00F70E27" w:rsidRPr="00F70E27">
              <w:rPr>
                <w:rFonts w:ascii="Arial" w:hAnsi="Arial" w:cs="Arial"/>
                <w:noProof/>
                <w:webHidden/>
              </w:rPr>
              <w:fldChar w:fldCharType="separate"/>
            </w:r>
            <w:r w:rsidR="00575F2D">
              <w:rPr>
                <w:rFonts w:ascii="Arial" w:hAnsi="Arial" w:cs="Arial"/>
                <w:noProof/>
                <w:webHidden/>
              </w:rPr>
              <w:t>4</w:t>
            </w:r>
            <w:r w:rsidR="00F70E27" w:rsidRPr="00F70E27">
              <w:rPr>
                <w:rFonts w:ascii="Arial" w:hAnsi="Arial" w:cs="Arial"/>
                <w:noProof/>
                <w:webHidden/>
              </w:rPr>
              <w:fldChar w:fldCharType="end"/>
            </w:r>
          </w:hyperlink>
        </w:p>
        <w:p w14:paraId="3065659C" w14:textId="2D5E0AE6" w:rsidR="00F70E27" w:rsidRPr="00F70E27" w:rsidRDefault="00965E2C" w:rsidP="00F70E27">
          <w:pPr>
            <w:pStyle w:val="TOC1"/>
            <w:tabs>
              <w:tab w:val="right" w:leader="dot" w:pos="9016"/>
            </w:tabs>
            <w:spacing w:line="360" w:lineRule="auto"/>
            <w:rPr>
              <w:rFonts w:ascii="Arial" w:hAnsi="Arial" w:cs="Arial"/>
              <w:noProof/>
            </w:rPr>
          </w:pPr>
          <w:hyperlink w:anchor="_Toc237163494" w:history="1">
            <w:r w:rsidR="00F70E27" w:rsidRPr="00F70E27">
              <w:rPr>
                <w:rStyle w:val="Hyperlink"/>
                <w:rFonts w:ascii="Arial" w:hAnsi="Arial" w:cs="Arial"/>
                <w:noProof/>
              </w:rPr>
              <w:t>Conclusion</w:t>
            </w:r>
            <w:r w:rsidR="00F70E27" w:rsidRPr="00F70E27">
              <w:rPr>
                <w:rFonts w:ascii="Arial" w:hAnsi="Arial" w:cs="Arial"/>
                <w:noProof/>
                <w:webHidden/>
              </w:rPr>
              <w:tab/>
            </w:r>
            <w:r w:rsidR="00F70E27" w:rsidRPr="00F70E27">
              <w:rPr>
                <w:rFonts w:ascii="Arial" w:hAnsi="Arial" w:cs="Arial"/>
                <w:noProof/>
                <w:webHidden/>
              </w:rPr>
              <w:fldChar w:fldCharType="begin"/>
            </w:r>
            <w:r w:rsidR="00F70E27" w:rsidRPr="00F70E27">
              <w:rPr>
                <w:rFonts w:ascii="Arial" w:hAnsi="Arial" w:cs="Arial"/>
                <w:noProof/>
                <w:webHidden/>
              </w:rPr>
              <w:instrText xml:space="preserve"> PAGEREF _Toc237163494 \h </w:instrText>
            </w:r>
            <w:r w:rsidR="00F70E27" w:rsidRPr="00F70E27">
              <w:rPr>
                <w:rFonts w:ascii="Arial" w:hAnsi="Arial" w:cs="Arial"/>
                <w:noProof/>
                <w:webHidden/>
              </w:rPr>
            </w:r>
            <w:r w:rsidR="00F70E27" w:rsidRPr="00F70E27">
              <w:rPr>
                <w:rFonts w:ascii="Arial" w:hAnsi="Arial" w:cs="Arial"/>
                <w:noProof/>
                <w:webHidden/>
              </w:rPr>
              <w:fldChar w:fldCharType="separate"/>
            </w:r>
            <w:r w:rsidR="00575F2D">
              <w:rPr>
                <w:rFonts w:ascii="Arial" w:hAnsi="Arial" w:cs="Arial"/>
                <w:noProof/>
                <w:webHidden/>
              </w:rPr>
              <w:t>4</w:t>
            </w:r>
            <w:r w:rsidR="00F70E27" w:rsidRPr="00F70E27">
              <w:rPr>
                <w:rFonts w:ascii="Arial" w:hAnsi="Arial" w:cs="Arial"/>
                <w:noProof/>
                <w:webHidden/>
              </w:rPr>
              <w:fldChar w:fldCharType="end"/>
            </w:r>
          </w:hyperlink>
        </w:p>
        <w:p w14:paraId="3CF7CC7E" w14:textId="021D2BCB" w:rsidR="00F70E27" w:rsidRPr="00F70E27" w:rsidRDefault="00965E2C" w:rsidP="00F70E27">
          <w:pPr>
            <w:pStyle w:val="TOC1"/>
            <w:tabs>
              <w:tab w:val="right" w:leader="dot" w:pos="9016"/>
            </w:tabs>
            <w:spacing w:line="360" w:lineRule="auto"/>
            <w:rPr>
              <w:rFonts w:ascii="Arial" w:hAnsi="Arial" w:cs="Arial"/>
              <w:noProof/>
            </w:rPr>
          </w:pPr>
          <w:hyperlink w:anchor="_Toc237163495" w:history="1">
            <w:r w:rsidR="00F70E27" w:rsidRPr="00F70E27">
              <w:rPr>
                <w:rStyle w:val="Hyperlink"/>
                <w:rFonts w:ascii="Arial" w:hAnsi="Arial" w:cs="Arial"/>
                <w:noProof/>
              </w:rPr>
              <w:t>References</w:t>
            </w:r>
            <w:r w:rsidR="00F70E27" w:rsidRPr="00F70E27">
              <w:rPr>
                <w:rFonts w:ascii="Arial" w:hAnsi="Arial" w:cs="Arial"/>
                <w:noProof/>
                <w:webHidden/>
              </w:rPr>
              <w:tab/>
            </w:r>
            <w:r w:rsidR="00F70E27" w:rsidRPr="00F70E27">
              <w:rPr>
                <w:rFonts w:ascii="Arial" w:hAnsi="Arial" w:cs="Arial"/>
                <w:noProof/>
                <w:webHidden/>
              </w:rPr>
              <w:fldChar w:fldCharType="begin"/>
            </w:r>
            <w:r w:rsidR="00F70E27" w:rsidRPr="00F70E27">
              <w:rPr>
                <w:rFonts w:ascii="Arial" w:hAnsi="Arial" w:cs="Arial"/>
                <w:noProof/>
                <w:webHidden/>
              </w:rPr>
              <w:instrText xml:space="preserve"> PAGEREF _Toc237163495 \h </w:instrText>
            </w:r>
            <w:r w:rsidR="00F70E27" w:rsidRPr="00F70E27">
              <w:rPr>
                <w:rFonts w:ascii="Arial" w:hAnsi="Arial" w:cs="Arial"/>
                <w:noProof/>
                <w:webHidden/>
              </w:rPr>
            </w:r>
            <w:r w:rsidR="00F70E27" w:rsidRPr="00F70E27">
              <w:rPr>
                <w:rFonts w:ascii="Arial" w:hAnsi="Arial" w:cs="Arial"/>
                <w:noProof/>
                <w:webHidden/>
              </w:rPr>
              <w:fldChar w:fldCharType="separate"/>
            </w:r>
            <w:r w:rsidR="00575F2D">
              <w:rPr>
                <w:rFonts w:ascii="Arial" w:hAnsi="Arial" w:cs="Arial"/>
                <w:noProof/>
                <w:webHidden/>
              </w:rPr>
              <w:t>5</w:t>
            </w:r>
            <w:r w:rsidR="00F70E27" w:rsidRPr="00F70E27">
              <w:rPr>
                <w:rFonts w:ascii="Arial" w:hAnsi="Arial" w:cs="Arial"/>
                <w:noProof/>
                <w:webHidden/>
              </w:rPr>
              <w:fldChar w:fldCharType="end"/>
            </w:r>
          </w:hyperlink>
        </w:p>
        <w:p w14:paraId="660017D6" w14:textId="101BF4B1" w:rsidR="00F70E27" w:rsidRDefault="00F70E27" w:rsidP="00F70E27">
          <w:pPr>
            <w:spacing w:line="360" w:lineRule="auto"/>
          </w:pPr>
          <w:r w:rsidRPr="00F70E27">
            <w:rPr>
              <w:rFonts w:ascii="Arial" w:hAnsi="Arial" w:cs="Arial"/>
              <w:b/>
              <w:bCs/>
              <w:noProof/>
            </w:rPr>
            <w:fldChar w:fldCharType="end"/>
          </w:r>
        </w:p>
      </w:sdtContent>
    </w:sdt>
    <w:p w14:paraId="634D32ED" w14:textId="77777777" w:rsidR="00D374FB" w:rsidRDefault="00D374FB" w:rsidP="002A7BD6">
      <w:pPr>
        <w:rPr>
          <w:b/>
          <w:bCs/>
          <w:sz w:val="32"/>
          <w:szCs w:val="32"/>
        </w:rPr>
      </w:pPr>
    </w:p>
    <w:p w14:paraId="6FABF61D" w14:textId="77777777" w:rsidR="00D83D23" w:rsidRPr="00D83D23" w:rsidRDefault="00D83D23" w:rsidP="00D83D23">
      <w:pPr>
        <w:rPr>
          <w:sz w:val="32"/>
          <w:szCs w:val="32"/>
        </w:rPr>
      </w:pPr>
    </w:p>
    <w:p w14:paraId="2C067200" w14:textId="77777777" w:rsidR="00D83D23" w:rsidRPr="00D83D23" w:rsidRDefault="00D83D23" w:rsidP="00D83D23">
      <w:pPr>
        <w:rPr>
          <w:sz w:val="32"/>
          <w:szCs w:val="32"/>
        </w:rPr>
      </w:pPr>
    </w:p>
    <w:p w14:paraId="368F9491" w14:textId="77777777" w:rsidR="00D83D23" w:rsidRPr="00D83D23" w:rsidRDefault="00D83D23" w:rsidP="00D83D23">
      <w:pPr>
        <w:rPr>
          <w:sz w:val="32"/>
          <w:szCs w:val="32"/>
        </w:rPr>
      </w:pPr>
    </w:p>
    <w:p w14:paraId="585797C6" w14:textId="77777777" w:rsidR="00D83D23" w:rsidRPr="00D83D23" w:rsidRDefault="00D83D23" w:rsidP="00D83D23">
      <w:pPr>
        <w:rPr>
          <w:sz w:val="32"/>
          <w:szCs w:val="32"/>
        </w:rPr>
      </w:pPr>
    </w:p>
    <w:p w14:paraId="7D80AA5C" w14:textId="77777777" w:rsidR="00D83D23" w:rsidRPr="00D83D23" w:rsidRDefault="00D83D23" w:rsidP="00D83D23">
      <w:pPr>
        <w:rPr>
          <w:sz w:val="32"/>
          <w:szCs w:val="32"/>
        </w:rPr>
      </w:pPr>
    </w:p>
    <w:p w14:paraId="4996BDCF" w14:textId="77777777" w:rsidR="00D83D23" w:rsidRPr="00D83D23" w:rsidRDefault="00D83D23" w:rsidP="00D83D23">
      <w:pPr>
        <w:rPr>
          <w:sz w:val="32"/>
          <w:szCs w:val="32"/>
        </w:rPr>
      </w:pPr>
    </w:p>
    <w:p w14:paraId="0FB6E7EC" w14:textId="77777777" w:rsidR="00D83D23" w:rsidRPr="00D83D23" w:rsidRDefault="00D83D23" w:rsidP="00D83D23">
      <w:pPr>
        <w:rPr>
          <w:sz w:val="32"/>
          <w:szCs w:val="32"/>
        </w:rPr>
      </w:pPr>
    </w:p>
    <w:p w14:paraId="56F24CE2" w14:textId="77777777" w:rsidR="00D83D23" w:rsidRPr="00D83D23" w:rsidRDefault="00D83D23" w:rsidP="00D83D23">
      <w:pPr>
        <w:rPr>
          <w:sz w:val="32"/>
          <w:szCs w:val="32"/>
        </w:rPr>
      </w:pPr>
    </w:p>
    <w:p w14:paraId="44B895B5" w14:textId="77777777" w:rsidR="00D83D23" w:rsidRPr="00D83D23" w:rsidRDefault="00D83D23" w:rsidP="00D83D23">
      <w:pPr>
        <w:rPr>
          <w:sz w:val="32"/>
          <w:szCs w:val="32"/>
        </w:rPr>
      </w:pPr>
    </w:p>
    <w:p w14:paraId="4B03681E" w14:textId="77777777" w:rsidR="00D83D23" w:rsidRPr="00D83D23" w:rsidRDefault="00D83D23" w:rsidP="00D83D23">
      <w:pPr>
        <w:rPr>
          <w:sz w:val="32"/>
          <w:szCs w:val="32"/>
        </w:rPr>
      </w:pPr>
    </w:p>
    <w:p w14:paraId="0681B2BF" w14:textId="77777777" w:rsidR="00D83D23" w:rsidRPr="00D83D23" w:rsidRDefault="00D83D23" w:rsidP="00D83D23">
      <w:pPr>
        <w:rPr>
          <w:sz w:val="32"/>
          <w:szCs w:val="32"/>
        </w:rPr>
      </w:pPr>
    </w:p>
    <w:p w14:paraId="47C922DE" w14:textId="0D349B42" w:rsidR="00D83D23" w:rsidRPr="00D83D23" w:rsidRDefault="00D83D23" w:rsidP="00D83D23">
      <w:pPr>
        <w:tabs>
          <w:tab w:val="left" w:pos="3396"/>
        </w:tabs>
        <w:rPr>
          <w:sz w:val="32"/>
          <w:szCs w:val="32"/>
        </w:rPr>
      </w:pPr>
      <w:r>
        <w:rPr>
          <w:sz w:val="32"/>
          <w:szCs w:val="32"/>
        </w:rPr>
        <w:tab/>
      </w:r>
    </w:p>
    <w:p w14:paraId="18D5FDAD" w14:textId="0A4B7E30" w:rsidR="00D83D23" w:rsidRPr="00D83D23" w:rsidRDefault="00D83D23" w:rsidP="00D83D23">
      <w:pPr>
        <w:tabs>
          <w:tab w:val="left" w:pos="3396"/>
        </w:tabs>
        <w:rPr>
          <w:sz w:val="32"/>
          <w:szCs w:val="32"/>
        </w:rPr>
        <w:sectPr w:rsidR="00D83D23" w:rsidRPr="00D83D23" w:rsidSect="00605A91">
          <w:pgSz w:w="11906" w:h="16838"/>
          <w:pgMar w:top="1440" w:right="1440" w:bottom="1440" w:left="1440" w:header="708" w:footer="708" w:gutter="0"/>
          <w:cols w:space="708"/>
          <w:docGrid w:linePitch="360"/>
        </w:sectPr>
      </w:pPr>
      <w:r>
        <w:rPr>
          <w:sz w:val="32"/>
          <w:szCs w:val="32"/>
        </w:rPr>
        <w:tab/>
      </w:r>
    </w:p>
    <w:p w14:paraId="3E285F4C" w14:textId="62F11071" w:rsidR="00751331" w:rsidRPr="002A7BD6" w:rsidRDefault="00751331" w:rsidP="002A7BD6">
      <w:pPr>
        <w:rPr>
          <w:b/>
          <w:bCs/>
          <w:sz w:val="32"/>
          <w:szCs w:val="32"/>
        </w:rPr>
      </w:pPr>
      <w:r w:rsidRPr="002A7BD6">
        <w:rPr>
          <w:b/>
          <w:bCs/>
          <w:sz w:val="32"/>
          <w:szCs w:val="32"/>
        </w:rPr>
        <w:lastRenderedPageBreak/>
        <w:t>Case Study Report: Mrs Thompson</w:t>
      </w:r>
    </w:p>
    <w:p w14:paraId="2DDCAEB1" w14:textId="77777777" w:rsidR="00751331" w:rsidRPr="002A7BD6" w:rsidRDefault="00751331" w:rsidP="002A7BD6">
      <w:pPr>
        <w:pStyle w:val="Heading1"/>
      </w:pPr>
      <w:bookmarkStart w:id="1" w:name="_Toc237163490"/>
      <w:r w:rsidRPr="002A7BD6">
        <w:t>Introduction</w:t>
      </w:r>
      <w:bookmarkEnd w:id="1"/>
    </w:p>
    <w:p w14:paraId="636E2CEC" w14:textId="0E5DEA5B" w:rsidR="00634E7F" w:rsidRPr="00634E7F" w:rsidRDefault="00FB5B3C" w:rsidP="00634E7F">
      <w:pPr>
        <w:spacing w:line="360" w:lineRule="auto"/>
        <w:jc w:val="both"/>
        <w:rPr>
          <w:rFonts w:ascii="Arial" w:hAnsi="Arial" w:cs="Arial"/>
        </w:rPr>
      </w:pPr>
      <w:r w:rsidRPr="00FB5B3C">
        <w:rPr>
          <w:rFonts w:ascii="Arial" w:hAnsi="Arial" w:cs="Arial"/>
        </w:rPr>
        <w:t xml:space="preserve">Mrs Thompson is an 84-year-old woman living in sheltered housing who has recently </w:t>
      </w:r>
      <w:r w:rsidRPr="00FB5B3C">
        <w:rPr>
          <w:rFonts w:ascii="Arial" w:hAnsi="Arial" w:cs="Arial"/>
          <w:b/>
          <w:bCs/>
        </w:rPr>
        <w:t xml:space="preserve">been </w:t>
      </w:r>
      <w:r w:rsidRPr="00FB5B3C">
        <w:rPr>
          <w:rFonts w:ascii="Arial" w:hAnsi="Arial" w:cs="Arial"/>
        </w:rPr>
        <w:t>discharged from hospital after being treated for pneumonia.</w:t>
      </w:r>
      <w:r>
        <w:rPr>
          <w:rFonts w:ascii="Arial" w:hAnsi="Arial" w:cs="Arial"/>
        </w:rPr>
        <w:t xml:space="preserve"> </w:t>
      </w:r>
      <w:r w:rsidR="00634E7F" w:rsidRPr="00634E7F">
        <w:rPr>
          <w:rFonts w:ascii="Arial" w:hAnsi="Arial" w:cs="Arial"/>
        </w:rPr>
        <w:t xml:space="preserve">She receives domiciliary care twice a day and </w:t>
      </w:r>
      <w:r w:rsidR="00B21BB6" w:rsidRPr="00B21BB6">
        <w:rPr>
          <w:rFonts w:ascii="Arial" w:hAnsi="Arial" w:cs="Arial"/>
        </w:rPr>
        <w:t>has mild dementia, affecting her memory and her ability to manage her medicines regularly</w:t>
      </w:r>
      <w:r w:rsidR="00586000" w:rsidRPr="00586000">
        <w:rPr>
          <w:rFonts w:ascii="Times New Roman" w:eastAsia="Times New Roman" w:hAnsi="Times New Roman" w:cs="Times New Roman"/>
          <w:sz w:val="24"/>
          <w:szCs w:val="24"/>
          <w:lang w:eastAsia="en-GB"/>
          <w14:ligatures w14:val="none"/>
        </w:rPr>
        <w:t xml:space="preserve"> </w:t>
      </w:r>
      <w:r w:rsidR="00586000" w:rsidRPr="00586000">
        <w:rPr>
          <w:rFonts w:ascii="Arial" w:hAnsi="Arial" w:cs="Arial"/>
        </w:rPr>
        <w:t>Missing medication for two days led to increased confusion, while a separate incident in which she was found outside in cold weather without appropriate clothing raised safeguarding concerns.</w:t>
      </w:r>
      <w:r w:rsidR="00586000">
        <w:rPr>
          <w:rFonts w:ascii="Arial" w:hAnsi="Arial" w:cs="Arial"/>
        </w:rPr>
        <w:t xml:space="preserve"> </w:t>
      </w:r>
      <w:r w:rsidR="00634E7F" w:rsidRPr="00634E7F">
        <w:rPr>
          <w:rFonts w:ascii="Arial" w:hAnsi="Arial" w:cs="Arial"/>
        </w:rPr>
        <w:t xml:space="preserve">The events suggest that her current care plan might not adequately address her needs. </w:t>
      </w:r>
      <w:r w:rsidR="00AE2E22" w:rsidRPr="00AE2E22">
        <w:rPr>
          <w:rFonts w:ascii="Arial" w:hAnsi="Arial" w:cs="Arial"/>
        </w:rPr>
        <w:t xml:space="preserve">Good communication, </w:t>
      </w:r>
      <w:r w:rsidR="00AE2E22" w:rsidRPr="00AE2E22">
        <w:rPr>
          <w:rFonts w:ascii="Arial" w:hAnsi="Arial" w:cs="Arial"/>
          <w:b/>
          <w:bCs/>
        </w:rPr>
        <w:t xml:space="preserve">effective administration and collaborative </w:t>
      </w:r>
      <w:r w:rsidR="00AE2E22" w:rsidRPr="00AE2E22">
        <w:rPr>
          <w:rFonts w:ascii="Arial" w:hAnsi="Arial" w:cs="Arial"/>
        </w:rPr>
        <w:t>working are therefore essential</w:t>
      </w:r>
      <w:r w:rsidR="00634E7F" w:rsidRPr="00634E7F">
        <w:rPr>
          <w:rFonts w:ascii="Arial" w:hAnsi="Arial" w:cs="Arial"/>
        </w:rPr>
        <w:t xml:space="preserve"> to ensure her safety, dignity and independence. Wellbeing, protection from neglect and personal control are key themes of the Care Act 2014, which are central to adult social care. In this report the focus is on communication, record keeping and multi-agency working in Mrs Thompson's case and the review and update of her care plan.</w:t>
      </w:r>
    </w:p>
    <w:p w14:paraId="1191524C" w14:textId="72866328" w:rsidR="00751331" w:rsidRPr="002A7BD6" w:rsidRDefault="00751331" w:rsidP="002A7BD6">
      <w:pPr>
        <w:pStyle w:val="Heading1"/>
        <w:numPr>
          <w:ilvl w:val="0"/>
          <w:numId w:val="2"/>
        </w:numPr>
      </w:pPr>
      <w:bookmarkStart w:id="2" w:name="_Toc237163491"/>
      <w:r w:rsidRPr="002A7BD6">
        <w:t>Effective Communication</w:t>
      </w:r>
      <w:bookmarkEnd w:id="2"/>
    </w:p>
    <w:p w14:paraId="64421AD4" w14:textId="77777777" w:rsidR="00634E7F" w:rsidRPr="00634E7F" w:rsidRDefault="00634E7F" w:rsidP="00634E7F">
      <w:pPr>
        <w:spacing w:line="360" w:lineRule="auto"/>
        <w:jc w:val="both"/>
        <w:rPr>
          <w:rFonts w:ascii="Arial" w:hAnsi="Arial" w:cs="Arial"/>
        </w:rPr>
      </w:pPr>
      <w:r w:rsidRPr="00634E7F">
        <w:rPr>
          <w:rFonts w:ascii="Arial" w:hAnsi="Arial" w:cs="Arial"/>
        </w:rPr>
        <w:t xml:space="preserve">It is important to communicate effectively as dementia may impact memory and the ability to understand and retain information. </w:t>
      </w:r>
      <w:r w:rsidRPr="00634E7F">
        <w:rPr>
          <w:rFonts w:ascii="Arial" w:hAnsi="Arial" w:cs="Arial"/>
          <w:szCs w:val="22"/>
        </w:rPr>
        <w:t>Professionals should not assume that information given once has been understood or remembered</w:t>
      </w:r>
      <w:r w:rsidRPr="00634E7F">
        <w:rPr>
          <w:rFonts w:ascii="Arial" w:hAnsi="Arial" w:cs="Arial"/>
        </w:rPr>
        <w:t>. Communication should therefore be clear, respectful and tailored to the abilities of Mrs Thompson. It is stressed that communication with people living with dementia should safeguard personhood, dignity and relationships (</w:t>
      </w:r>
      <w:proofErr w:type="spellStart"/>
      <w:r w:rsidRPr="00634E7F">
        <w:rPr>
          <w:rFonts w:ascii="Arial" w:hAnsi="Arial" w:cs="Arial"/>
        </w:rPr>
        <w:t>Alsawy</w:t>
      </w:r>
      <w:proofErr w:type="spellEnd"/>
      <w:r w:rsidRPr="00634E7F">
        <w:rPr>
          <w:rFonts w:ascii="Arial" w:hAnsi="Arial" w:cs="Arial"/>
        </w:rPr>
        <w:t xml:space="preserve"> et al., 2017) and appropriate communication skills can enhance communication in dementia care (Eggenberger, Heimerl and Bennett, 2013).</w:t>
      </w:r>
    </w:p>
    <w:p w14:paraId="570C26CF" w14:textId="44046E26" w:rsidR="00634E7F" w:rsidRPr="00634E7F" w:rsidRDefault="00130FC4" w:rsidP="00634E7F">
      <w:pPr>
        <w:spacing w:line="360" w:lineRule="auto"/>
        <w:jc w:val="both"/>
        <w:rPr>
          <w:rFonts w:ascii="Arial" w:hAnsi="Arial" w:cs="Arial"/>
        </w:rPr>
      </w:pPr>
      <w:r w:rsidRPr="00130FC4">
        <w:rPr>
          <w:rFonts w:ascii="Arial" w:hAnsi="Arial" w:cs="Arial"/>
          <w:b/>
          <w:bCs/>
        </w:rPr>
        <w:t xml:space="preserve">The </w:t>
      </w:r>
      <w:r w:rsidRPr="00634297">
        <w:rPr>
          <w:rFonts w:ascii="Arial" w:hAnsi="Arial" w:cs="Arial"/>
        </w:rPr>
        <w:t>Shannon–Weaver model</w:t>
      </w:r>
      <w:r w:rsidRPr="00130FC4">
        <w:rPr>
          <w:rFonts w:ascii="Arial" w:hAnsi="Arial" w:cs="Arial"/>
        </w:rPr>
        <w:t xml:space="preserve"> can be used</w:t>
      </w:r>
      <w:r w:rsidR="00634E7F" w:rsidRPr="00634E7F">
        <w:rPr>
          <w:rFonts w:ascii="Arial" w:hAnsi="Arial" w:cs="Arial"/>
        </w:rPr>
        <w:t xml:space="preserve"> to identify potential communication barriers. It represents a message transmitted from a sender via a channel to a receiver, with the possibility of “noise” impeding the meaning (Shannon and Weaver, 1949). For Mrs Thompson, the sender might be a care worker, the channel might be verbal discussion, and the noise might be memory impairments, tiredness, anxiety, unfamiliar words, or noises and distractions in the environment. </w:t>
      </w:r>
      <w:r w:rsidR="00A031FA" w:rsidRPr="00A031FA">
        <w:rPr>
          <w:rFonts w:ascii="Arial" w:hAnsi="Arial" w:cs="Arial"/>
        </w:rPr>
        <w:t>Staff should, therefore, use short sentences, speak slowly and discuss one thing at a time</w:t>
      </w:r>
      <w:r w:rsidR="00634E7F" w:rsidRPr="00A031FA">
        <w:rPr>
          <w:rFonts w:ascii="Arial" w:hAnsi="Arial" w:cs="Arial"/>
        </w:rPr>
        <w:t xml:space="preserve"> </w:t>
      </w:r>
      <w:r w:rsidR="00634E7F" w:rsidRPr="00634E7F">
        <w:rPr>
          <w:rFonts w:ascii="Arial" w:hAnsi="Arial" w:cs="Arial"/>
        </w:rPr>
        <w:t xml:space="preserve">whilst allowing plenty of time for a response. Verbal information can be reinforced with a written reminder, medication chart or simple visual prompt. </w:t>
      </w:r>
      <w:r w:rsidR="00DE7174" w:rsidRPr="00DE7174">
        <w:rPr>
          <w:rFonts w:ascii="Arial" w:hAnsi="Arial" w:cs="Arial"/>
        </w:rPr>
        <w:t>NICE (2018) advises that communication and information should be tailored and accessible</w:t>
      </w:r>
      <w:r w:rsidR="00634E7F" w:rsidRPr="00634E7F">
        <w:rPr>
          <w:rFonts w:ascii="Arial" w:hAnsi="Arial" w:cs="Arial"/>
        </w:rPr>
        <w:t xml:space="preserve"> to those with dementia.</w:t>
      </w:r>
    </w:p>
    <w:p w14:paraId="219A1BEB" w14:textId="77777777" w:rsidR="004C4CF0" w:rsidRDefault="00634E7F" w:rsidP="00634E7F">
      <w:pPr>
        <w:spacing w:line="360" w:lineRule="auto"/>
        <w:jc w:val="both"/>
        <w:rPr>
          <w:rFonts w:ascii="Arial" w:hAnsi="Arial" w:cs="Arial"/>
          <w:b/>
          <w:bCs/>
        </w:rPr>
      </w:pPr>
      <w:r w:rsidRPr="00634E7F">
        <w:rPr>
          <w:rFonts w:ascii="Arial" w:hAnsi="Arial" w:cs="Arial"/>
        </w:rPr>
        <w:lastRenderedPageBreak/>
        <w:t xml:space="preserve">Communication needs to be a two-way process as well. </w:t>
      </w:r>
      <w:r w:rsidR="00F12DAE" w:rsidRPr="00F12DAE">
        <w:rPr>
          <w:rFonts w:ascii="Arial" w:hAnsi="Arial" w:cs="Arial"/>
        </w:rPr>
        <w:t>Mrs Thompson should be involved in discussions to understand her wishes regarding medication, safety and routines</w:t>
      </w:r>
      <w:r w:rsidRPr="00634E7F">
        <w:rPr>
          <w:rFonts w:ascii="Arial" w:hAnsi="Arial" w:cs="Arial"/>
        </w:rPr>
        <w:t xml:space="preserve"> regarding medication, safety and routines. Staff can assess her understanding by asking her to repeat the key information back to them. Miller et al. (2016) and </w:t>
      </w:r>
      <w:proofErr w:type="spellStart"/>
      <w:r w:rsidRPr="00634E7F">
        <w:rPr>
          <w:rFonts w:ascii="Arial" w:hAnsi="Arial" w:cs="Arial"/>
        </w:rPr>
        <w:t>Smebye</w:t>
      </w:r>
      <w:proofErr w:type="spellEnd"/>
      <w:r w:rsidRPr="00634E7F">
        <w:rPr>
          <w:rFonts w:ascii="Arial" w:hAnsi="Arial" w:cs="Arial"/>
        </w:rPr>
        <w:t xml:space="preserve"> et al. (2012) illustrate that with appropriate support people with dementia can be involved in decisions when it is appropriate. </w:t>
      </w:r>
      <w:r w:rsidR="004C4CF0" w:rsidRPr="004C4CF0">
        <w:rPr>
          <w:rFonts w:ascii="Arial" w:hAnsi="Arial" w:cs="Arial"/>
        </w:rPr>
        <w:t>Therefore, when considering care planning, Mrs Thompson should not be assumed to lack capacity simply because she has dementia.</w:t>
      </w:r>
      <w:r w:rsidR="004C4CF0">
        <w:rPr>
          <w:rFonts w:ascii="Arial" w:hAnsi="Arial" w:cs="Arial"/>
          <w:b/>
          <w:bCs/>
        </w:rPr>
        <w:t xml:space="preserve"> </w:t>
      </w:r>
    </w:p>
    <w:p w14:paraId="27BBA9CA" w14:textId="2020DCB8" w:rsidR="00634E7F" w:rsidRPr="00634E7F" w:rsidRDefault="00634E7F" w:rsidP="00634E7F">
      <w:pPr>
        <w:spacing w:line="360" w:lineRule="auto"/>
        <w:jc w:val="both"/>
        <w:rPr>
          <w:rFonts w:ascii="Arial" w:hAnsi="Arial" w:cs="Arial"/>
        </w:rPr>
      </w:pPr>
      <w:r w:rsidRPr="00634E7F">
        <w:rPr>
          <w:rFonts w:ascii="Arial" w:hAnsi="Arial" w:cs="Arial"/>
        </w:rPr>
        <w:t xml:space="preserve">Relevant legislation is the Equality Act 2010, which includes age and disability as protected characteristics, and requires service providers to make reasonable adjustments as needed. </w:t>
      </w:r>
      <w:r w:rsidR="00F118D6" w:rsidRPr="00F118D6">
        <w:rPr>
          <w:rFonts w:ascii="Arial" w:hAnsi="Arial" w:cs="Arial"/>
        </w:rPr>
        <w:t>These might include longer conversations, simplified written information, fewer distractions</w:t>
      </w:r>
      <w:r w:rsidRPr="00634E7F">
        <w:rPr>
          <w:rFonts w:ascii="Arial" w:hAnsi="Arial" w:cs="Arial"/>
        </w:rPr>
        <w:t>, fewer distractions, or the same carers for Mrs Thompson. Equality does not mean treating everyone the same, it means removing barriers to participation.</w:t>
      </w:r>
    </w:p>
    <w:p w14:paraId="656D7349" w14:textId="72839B8B" w:rsidR="00634E7F" w:rsidRPr="00634E7F" w:rsidRDefault="00634E7F" w:rsidP="00634E7F">
      <w:pPr>
        <w:spacing w:line="360" w:lineRule="auto"/>
        <w:jc w:val="both"/>
        <w:rPr>
          <w:rFonts w:ascii="Arial" w:hAnsi="Arial" w:cs="Arial"/>
        </w:rPr>
      </w:pPr>
      <w:r w:rsidRPr="00634E7F">
        <w:rPr>
          <w:rFonts w:ascii="Arial" w:hAnsi="Arial" w:cs="Arial"/>
        </w:rPr>
        <w:t xml:space="preserve">Family can </w:t>
      </w:r>
      <w:r w:rsidR="00F118D6">
        <w:rPr>
          <w:rFonts w:ascii="Arial" w:hAnsi="Arial" w:cs="Arial"/>
        </w:rPr>
        <w:t>provide</w:t>
      </w:r>
      <w:r w:rsidRPr="00634E7F">
        <w:rPr>
          <w:rFonts w:ascii="Arial" w:hAnsi="Arial" w:cs="Arial"/>
        </w:rPr>
        <w:t xml:space="preserve"> information regarding Mrs Thompson's routine, behaviour and preferred method of communication. </w:t>
      </w:r>
      <w:r w:rsidR="0097007C" w:rsidRPr="0097007C">
        <w:rPr>
          <w:rFonts w:ascii="Arial" w:hAnsi="Arial" w:cs="Arial"/>
        </w:rPr>
        <w:t>However, confidential information should not automatically be shared with family members simply because Mrs Thompson has dementia</w:t>
      </w:r>
      <w:r w:rsidRPr="00634E7F">
        <w:rPr>
          <w:rFonts w:ascii="Arial" w:hAnsi="Arial" w:cs="Arial"/>
        </w:rPr>
        <w:t xml:space="preserve">. </w:t>
      </w:r>
      <w:r w:rsidR="00103D21" w:rsidRPr="00103D21">
        <w:rPr>
          <w:rFonts w:ascii="Arial" w:hAnsi="Arial" w:cs="Arial"/>
        </w:rPr>
        <w:t>The Mental Capacity Act 2005 presumes that a person has capacity unless it is established otherwise</w:t>
      </w:r>
      <w:r w:rsidR="00103D21">
        <w:rPr>
          <w:rFonts w:ascii="Arial" w:hAnsi="Arial" w:cs="Arial"/>
          <w:b/>
          <w:bCs/>
        </w:rPr>
        <w:t xml:space="preserve"> </w:t>
      </w:r>
      <w:r w:rsidRPr="00634E7F">
        <w:rPr>
          <w:rFonts w:ascii="Arial" w:hAnsi="Arial" w:cs="Arial"/>
        </w:rPr>
        <w:t xml:space="preserve">and involves professionals in supporting people in making decisions. </w:t>
      </w:r>
      <w:r w:rsidR="00E55A71" w:rsidRPr="00E55A71">
        <w:rPr>
          <w:rFonts w:ascii="Arial" w:hAnsi="Arial" w:cs="Arial"/>
        </w:rPr>
        <w:t>Mrs Thompson should therefore be asked who she would like to be involved in her care</w:t>
      </w:r>
      <w:r w:rsidRPr="00634E7F">
        <w:rPr>
          <w:rFonts w:ascii="Arial" w:hAnsi="Arial" w:cs="Arial"/>
        </w:rPr>
        <w:t>. If she is not capable of making a particular decision, the procedure of a best-interests decision should be followed.</w:t>
      </w:r>
    </w:p>
    <w:p w14:paraId="664AF266" w14:textId="6F1B90AF" w:rsidR="00634E7F" w:rsidRPr="00634E7F" w:rsidRDefault="00634E7F" w:rsidP="00634E7F">
      <w:pPr>
        <w:spacing w:line="360" w:lineRule="auto"/>
        <w:jc w:val="both"/>
        <w:rPr>
          <w:rFonts w:ascii="Arial" w:hAnsi="Arial" w:cs="Arial"/>
          <w:szCs w:val="22"/>
        </w:rPr>
      </w:pPr>
      <w:r w:rsidRPr="00634E7F">
        <w:rPr>
          <w:rFonts w:ascii="Arial" w:hAnsi="Arial" w:cs="Arial"/>
          <w:szCs w:val="22"/>
        </w:rPr>
        <w:t xml:space="preserve">These principles should shape her care-plan review. </w:t>
      </w:r>
      <w:r w:rsidRPr="00634E7F">
        <w:rPr>
          <w:rFonts w:ascii="Arial" w:hAnsi="Arial" w:cs="Arial"/>
        </w:rPr>
        <w:t xml:space="preserve">Care planning should be a continuous process and not a one-off document </w:t>
      </w:r>
      <w:r w:rsidR="00605D4E" w:rsidRPr="00605D4E">
        <w:rPr>
          <w:rFonts w:ascii="Arial" w:hAnsi="Arial" w:cs="Arial"/>
        </w:rPr>
        <w:t>as Mrs Thompson's needs may vary as she recovers from pneumonia and as her dementia progresses</w:t>
      </w:r>
      <w:r w:rsidR="00605D4E">
        <w:rPr>
          <w:rFonts w:ascii="Arial" w:hAnsi="Arial" w:cs="Arial"/>
        </w:rPr>
        <w:t xml:space="preserve"> </w:t>
      </w:r>
      <w:r w:rsidRPr="00634E7F">
        <w:rPr>
          <w:rFonts w:ascii="Arial" w:hAnsi="Arial" w:cs="Arial"/>
        </w:rPr>
        <w:t xml:space="preserve">and as her dementia worsens. The missed medication episode indicates a need to overcome the limitations of reminders; the cold weather event indicates </w:t>
      </w:r>
      <w:r w:rsidR="00DB5857" w:rsidRPr="00DB5857">
        <w:rPr>
          <w:rFonts w:ascii="Arial" w:hAnsi="Arial" w:cs="Arial"/>
        </w:rPr>
        <w:t xml:space="preserve">a need for </w:t>
      </w:r>
      <w:r w:rsidR="00DB5857" w:rsidRPr="001E7153">
        <w:rPr>
          <w:rFonts w:ascii="Arial" w:hAnsi="Arial" w:cs="Arial"/>
        </w:rPr>
        <w:t>additional safety support</w:t>
      </w:r>
      <w:r w:rsidRPr="00634E7F">
        <w:rPr>
          <w:rFonts w:ascii="Arial" w:hAnsi="Arial" w:cs="Arial"/>
        </w:rPr>
        <w:t>, without taking away the ability to be independent.</w:t>
      </w:r>
    </w:p>
    <w:p w14:paraId="38669F4D" w14:textId="28B1FA66" w:rsidR="00751331" w:rsidRPr="002A7BD6" w:rsidRDefault="00751331" w:rsidP="002A7BD6">
      <w:pPr>
        <w:pStyle w:val="Heading1"/>
        <w:numPr>
          <w:ilvl w:val="0"/>
          <w:numId w:val="2"/>
        </w:numPr>
      </w:pPr>
      <w:bookmarkStart w:id="3" w:name="_Toc237163492"/>
      <w:r w:rsidRPr="002A7BD6">
        <w:t>Administrative Skills, Record Keeping and Data Protection</w:t>
      </w:r>
      <w:bookmarkEnd w:id="3"/>
    </w:p>
    <w:p w14:paraId="3A2A9857" w14:textId="77777777" w:rsidR="0013535F" w:rsidRPr="0013535F" w:rsidRDefault="0013535F" w:rsidP="0013535F">
      <w:pPr>
        <w:spacing w:line="360" w:lineRule="auto"/>
        <w:jc w:val="both"/>
        <w:rPr>
          <w:rFonts w:ascii="Arial" w:hAnsi="Arial" w:cs="Arial"/>
        </w:rPr>
      </w:pPr>
      <w:r w:rsidRPr="0013535F">
        <w:rPr>
          <w:rFonts w:ascii="Arial" w:hAnsi="Arial" w:cs="Arial"/>
        </w:rPr>
        <w:t>Safe care depends on good information, and good administrative practice helps to make sure that professionals are able to access relevant, up-to-date information. The missed medication should be documented in Mrs Thompson's records as well as the confusion, what actions were taken, which professionals were contacted and the request for a medication review. The outdoor incident should also document the circumstances, her state, immediate actions taken and the referral to the local council.</w:t>
      </w:r>
    </w:p>
    <w:p w14:paraId="0F230365" w14:textId="6491E57E" w:rsidR="0013535F" w:rsidRPr="0013535F" w:rsidRDefault="0013535F" w:rsidP="0013535F">
      <w:pPr>
        <w:spacing w:line="360" w:lineRule="auto"/>
        <w:jc w:val="both"/>
        <w:rPr>
          <w:rFonts w:ascii="Arial" w:hAnsi="Arial" w:cs="Arial"/>
        </w:rPr>
      </w:pPr>
      <w:r w:rsidRPr="0013535F">
        <w:rPr>
          <w:rFonts w:ascii="Arial" w:hAnsi="Arial" w:cs="Arial"/>
        </w:rPr>
        <w:lastRenderedPageBreak/>
        <w:t>Records of medication are especially important because of the possibility of impaired cognition that may impact adherence. Medication adherence is cited as a major problem for older adults with cognitive impairments (El-Saifi et al., 2018; Campbell et al., 2012), and there are difficulties for older adults in remembering, organising and understanding medications (Lim &amp; Sharmeen, 2018). NICE (2017) states that if medicines support is provided by social care workers, this should be recorded in the care plan, and each time support is provided. The use of medicines should therefore be recorded on Mrs Thompson's medicine administration record as taken, refused or missed. If doses are missed several times, the issue should be escalated, not just noted.</w:t>
      </w:r>
    </w:p>
    <w:p w14:paraId="4D45FF99" w14:textId="77777777" w:rsidR="0013535F" w:rsidRPr="0013535F" w:rsidRDefault="0013535F" w:rsidP="0013535F">
      <w:pPr>
        <w:spacing w:line="360" w:lineRule="auto"/>
        <w:jc w:val="both"/>
        <w:rPr>
          <w:rFonts w:ascii="Arial" w:hAnsi="Arial" w:cs="Arial"/>
        </w:rPr>
      </w:pPr>
      <w:r w:rsidRPr="0013535F">
        <w:rPr>
          <w:rFonts w:ascii="Arial" w:hAnsi="Arial" w:cs="Arial"/>
        </w:rPr>
        <w:t>Records should be factual, accurate, dated and timely, and should not be judgemental. For instance, instead of writing ‘Mrs Thompson is careless’, staff should note that at 7.30am Mrs Thompson was found outside wearing her night clothes in cold weather. Clear documentation can facilitate ongoing care and help pinpoint trends of decline. McCarthy et al. (2019) state that effective electronic documentation can enhance patient safety and quality of care, and Sawan et al. (2021) highlight the need for medication support in the transition from hospital to home.</w:t>
      </w:r>
    </w:p>
    <w:p w14:paraId="116B7C7B" w14:textId="77777777" w:rsidR="0013535F" w:rsidRPr="0013535F" w:rsidRDefault="0013535F" w:rsidP="0013535F">
      <w:pPr>
        <w:spacing w:line="360" w:lineRule="auto"/>
        <w:jc w:val="both"/>
        <w:rPr>
          <w:rFonts w:ascii="Arial" w:hAnsi="Arial" w:cs="Arial"/>
        </w:rPr>
      </w:pPr>
      <w:r w:rsidRPr="0013535F">
        <w:rPr>
          <w:rFonts w:ascii="Arial" w:hAnsi="Arial" w:cs="Arial"/>
        </w:rPr>
        <w:t>Mrs Thompson’s information should be handled in accordance with the Data Protection Act 2018 and UK GDPR. Her health records contain sensitive personal information and must be processed lawfully, fairly and securely. The key principles are those of data minimisation, accuracy, confidentiality and accountability. Staff should only document relevant information, correct inaccurate information in a timely manner, restrict access to authorised individuals and utilise secure systems.</w:t>
      </w:r>
    </w:p>
    <w:p w14:paraId="639343BD" w14:textId="77777777" w:rsidR="0013535F" w:rsidRPr="0013535F" w:rsidRDefault="0013535F" w:rsidP="0013535F">
      <w:pPr>
        <w:spacing w:line="360" w:lineRule="auto"/>
        <w:jc w:val="both"/>
        <w:rPr>
          <w:rFonts w:ascii="Arial" w:hAnsi="Arial" w:cs="Arial"/>
        </w:rPr>
      </w:pPr>
      <w:r w:rsidRPr="0013535F">
        <w:rPr>
          <w:rFonts w:ascii="Arial" w:hAnsi="Arial" w:cs="Arial"/>
        </w:rPr>
        <w:t>Necessary information sharing should not be hindered by confidentiality. The GP should have information regarding the missed medication and confusion, and the local authority may need information regarding the outdoor incident itself for safeguarding purposes. Proportionate information-sharing is enabled where necessary to protect an adult at risk, as provided for in the Care Act 2014. The Health and Social Care Act 2008 (Regulated Activities) Regulations 2014 also stipulates the need for accurate and up-to-date records as part of Regulation 17.</w:t>
      </w:r>
    </w:p>
    <w:p w14:paraId="283B9D7D" w14:textId="4C1DEC76" w:rsidR="0013535F" w:rsidRPr="00C40121" w:rsidRDefault="0013535F" w:rsidP="002A7BD6">
      <w:pPr>
        <w:spacing w:line="360" w:lineRule="auto"/>
        <w:jc w:val="both"/>
        <w:rPr>
          <w:rFonts w:ascii="Arial" w:hAnsi="Arial" w:cs="Arial"/>
        </w:rPr>
      </w:pPr>
      <w:r w:rsidRPr="0013535F">
        <w:rPr>
          <w:rFonts w:ascii="Arial" w:hAnsi="Arial" w:cs="Arial"/>
        </w:rPr>
        <w:t>Good administration, on the whole, should be followed by action. The hospital discharge, missed medication, further confusion and safeguarding incident indicate that Mrs Thompson's care plan should be reviewed, which should include medication support, increased visits, home-safety measures and contingency planning.</w:t>
      </w:r>
    </w:p>
    <w:p w14:paraId="04B62FAF" w14:textId="2A2539CE" w:rsidR="00751331" w:rsidRPr="002A7BD6" w:rsidRDefault="00751331" w:rsidP="002A7BD6">
      <w:pPr>
        <w:pStyle w:val="Heading1"/>
        <w:numPr>
          <w:ilvl w:val="0"/>
          <w:numId w:val="2"/>
        </w:numPr>
      </w:pPr>
      <w:bookmarkStart w:id="4" w:name="_Toc237163493"/>
      <w:r w:rsidRPr="002A7BD6">
        <w:lastRenderedPageBreak/>
        <w:t>Collaborative Working</w:t>
      </w:r>
      <w:bookmarkEnd w:id="4"/>
    </w:p>
    <w:p w14:paraId="2D2B44C9" w14:textId="77777777" w:rsidR="0013535F" w:rsidRPr="0013535F" w:rsidRDefault="0013535F" w:rsidP="0013535F">
      <w:pPr>
        <w:spacing w:line="360" w:lineRule="auto"/>
        <w:jc w:val="both"/>
        <w:rPr>
          <w:rFonts w:ascii="Arial" w:hAnsi="Arial" w:cs="Arial"/>
        </w:rPr>
      </w:pPr>
      <w:r w:rsidRPr="0013535F">
        <w:rPr>
          <w:rFonts w:ascii="Arial" w:hAnsi="Arial" w:cs="Arial"/>
        </w:rPr>
        <w:t>Many professionals are involved in providing for Mrs Thompson's needs, and good coordination is essential to ensure that they are working together. The GP can review her medicines and look for possible causes of increased confusion. A community nurse can monitor her recovery from pneumonia and overall health needs, and domiciliary care workers can monitor her behaviour, use of medication and day-to-day functioning. There is also potential for a pharmacist to help reduce the complexity of her medication regime, and the local authority has duties in relation to safeguarding and reviewing her care needs.</w:t>
      </w:r>
    </w:p>
    <w:p w14:paraId="6FFA9B66" w14:textId="77777777" w:rsidR="0013535F" w:rsidRPr="0013535F" w:rsidRDefault="0013535F" w:rsidP="0013535F">
      <w:pPr>
        <w:spacing w:line="360" w:lineRule="auto"/>
        <w:jc w:val="both"/>
        <w:rPr>
          <w:rFonts w:ascii="Arial" w:hAnsi="Arial" w:cs="Arial"/>
        </w:rPr>
      </w:pPr>
      <w:r w:rsidRPr="0013535F">
        <w:rPr>
          <w:rFonts w:ascii="Arial" w:hAnsi="Arial" w:cs="Arial"/>
        </w:rPr>
        <w:t>Clear responsibilities, shared objectives, communication and agreed escalation procedures are the foundations for good teamwork. It has been reported that interprofessional working can enhance care processes for older people living in their community (Trivedi et al., 2013) and that structured interprofessional collaboration can enhance professional practice and care outcomes (Reeves et al., 2017). Having a named care coordinator, multidisciplinary reviews and shared records might help to ensure that key information is not lost.</w:t>
      </w:r>
    </w:p>
    <w:p w14:paraId="7C2883B9" w14:textId="77777777" w:rsidR="0013535F" w:rsidRPr="0013535F" w:rsidRDefault="0013535F" w:rsidP="0013535F">
      <w:pPr>
        <w:spacing w:line="360" w:lineRule="auto"/>
        <w:jc w:val="both"/>
        <w:rPr>
          <w:rFonts w:ascii="Arial" w:hAnsi="Arial" w:cs="Arial"/>
        </w:rPr>
      </w:pPr>
      <w:r w:rsidRPr="0013535F">
        <w:rPr>
          <w:rFonts w:ascii="Arial" w:hAnsi="Arial" w:cs="Arial"/>
        </w:rPr>
        <w:t>Difficulties with multi-agency working can also include issues related to professional boundaries, communication, unclear roles, incompatible record systems and confidentiality. The level of risk or assistance needed might also be subject to disagreement among professionals. These problems can be addressed through organised handovers, well-defined referral procedures, agreed protocols for information sharing and regular case reviews.</w:t>
      </w:r>
    </w:p>
    <w:p w14:paraId="662FA10C" w14:textId="6952F1C7" w:rsidR="00C40121" w:rsidRPr="00C40121" w:rsidRDefault="0013535F" w:rsidP="002A7BD6">
      <w:pPr>
        <w:spacing w:line="360" w:lineRule="auto"/>
        <w:jc w:val="both"/>
        <w:rPr>
          <w:rFonts w:ascii="Arial" w:hAnsi="Arial" w:cs="Arial"/>
        </w:rPr>
      </w:pPr>
      <w:r w:rsidRPr="0013535F">
        <w:rPr>
          <w:rFonts w:ascii="Arial" w:hAnsi="Arial" w:cs="Arial"/>
        </w:rPr>
        <w:t xml:space="preserve">Mrs Thompson should continue to be at the heart of decision-making. Her wishes, independence and preferences should be discussed alongside issues of medication and safety. If appropriate, information from family members can also be beneficial. Through effective collaboration, one coordinated plan of care that balances safety, autonomy, dignity and quality of life should be </w:t>
      </w:r>
      <w:r w:rsidR="00A265A8" w:rsidRPr="0013535F">
        <w:rPr>
          <w:rFonts w:ascii="Arial" w:hAnsi="Arial" w:cs="Arial"/>
        </w:rPr>
        <w:t>developed.</w:t>
      </w:r>
    </w:p>
    <w:p w14:paraId="7F182E6E" w14:textId="77777777" w:rsidR="00751331" w:rsidRPr="002A7BD6" w:rsidRDefault="00751331" w:rsidP="002A7BD6">
      <w:pPr>
        <w:pStyle w:val="Heading1"/>
      </w:pPr>
      <w:bookmarkStart w:id="5" w:name="_Toc237163494"/>
      <w:r w:rsidRPr="002A7BD6">
        <w:t>Conclusion</w:t>
      </w:r>
      <w:bookmarkEnd w:id="5"/>
    </w:p>
    <w:p w14:paraId="2A4A64BA" w14:textId="515A5F38" w:rsidR="00C40121" w:rsidRPr="00961774" w:rsidRDefault="00C40121" w:rsidP="00C40121">
      <w:pPr>
        <w:spacing w:line="360" w:lineRule="auto"/>
        <w:jc w:val="both"/>
        <w:rPr>
          <w:rFonts w:ascii="Arial" w:hAnsi="Arial" w:cs="Arial"/>
        </w:rPr>
      </w:pPr>
      <w:r w:rsidRPr="00961774">
        <w:rPr>
          <w:rFonts w:ascii="Arial" w:hAnsi="Arial" w:cs="Arial"/>
        </w:rPr>
        <w:t xml:space="preserve">As shown in Mrs Thompson's case, communication, administration and working together go hand in hand. Dementia needs accessible communication and reasonable adjustments, while retaining her right to participate in decisions. </w:t>
      </w:r>
      <w:r w:rsidR="00CC0114" w:rsidRPr="00CC0114">
        <w:rPr>
          <w:rFonts w:ascii="Arial" w:hAnsi="Arial" w:cs="Arial"/>
        </w:rPr>
        <w:t>Accurate medication, incident and safeguarding records are fundamental to providing safe care</w:t>
      </w:r>
      <w:r w:rsidRPr="00961774">
        <w:rPr>
          <w:rFonts w:ascii="Arial" w:hAnsi="Arial" w:cs="Arial"/>
        </w:rPr>
        <w:t xml:space="preserve"> in providing safe care and must be managed in accordance with the Data Protection Act 2018. Working together between the GP, community nurse, domiciliary carers, pharmacist and local authority is essential to avoid disjointed responses. Most importantly, the recent incidents should cause a person-centred review of Mrs Thompson's care plan. Any changes to the plan should </w:t>
      </w:r>
      <w:r w:rsidR="00CC0114" w:rsidRPr="00CC0114">
        <w:rPr>
          <w:rFonts w:ascii="Arial" w:hAnsi="Arial" w:cs="Arial"/>
        </w:rPr>
        <w:t xml:space="preserve">consider medication </w:t>
      </w:r>
      <w:r w:rsidR="00CC0114" w:rsidRPr="00CC0114">
        <w:rPr>
          <w:rFonts w:ascii="Arial" w:hAnsi="Arial" w:cs="Arial"/>
        </w:rPr>
        <w:lastRenderedPageBreak/>
        <w:t>support, safety risks and monitoring requirements, while respecting, as far as possible, her dignity, independence and personal choice</w:t>
      </w:r>
      <w:r w:rsidRPr="00961774">
        <w:rPr>
          <w:rFonts w:ascii="Arial" w:hAnsi="Arial" w:cs="Arial"/>
        </w:rPr>
        <w:t>.</w:t>
      </w:r>
    </w:p>
    <w:p w14:paraId="4D2E6F77" w14:textId="77777777" w:rsidR="00751331" w:rsidRPr="002A7BD6" w:rsidRDefault="00751331" w:rsidP="002A7BD6">
      <w:pPr>
        <w:pStyle w:val="Heading1"/>
      </w:pPr>
      <w:bookmarkStart w:id="6" w:name="_Toc237163495"/>
      <w:r w:rsidRPr="002A7BD6">
        <w:t>References</w:t>
      </w:r>
      <w:bookmarkEnd w:id="6"/>
    </w:p>
    <w:p w14:paraId="0E063126" w14:textId="77777777" w:rsidR="009D5B24" w:rsidRPr="009D5B24" w:rsidRDefault="009D5B24" w:rsidP="009D5B24">
      <w:pPr>
        <w:spacing w:line="360" w:lineRule="auto"/>
        <w:jc w:val="both"/>
        <w:rPr>
          <w:rFonts w:ascii="Arial" w:hAnsi="Arial" w:cs="Arial"/>
          <w:szCs w:val="22"/>
        </w:rPr>
      </w:pPr>
      <w:proofErr w:type="spellStart"/>
      <w:r w:rsidRPr="009D5B24">
        <w:rPr>
          <w:rFonts w:ascii="Arial" w:hAnsi="Arial" w:cs="Arial"/>
          <w:szCs w:val="22"/>
        </w:rPr>
        <w:t>Alsawy</w:t>
      </w:r>
      <w:proofErr w:type="spellEnd"/>
      <w:r w:rsidRPr="009D5B24">
        <w:rPr>
          <w:rFonts w:ascii="Arial" w:hAnsi="Arial" w:cs="Arial"/>
          <w:szCs w:val="22"/>
        </w:rPr>
        <w:t>, S. </w:t>
      </w:r>
      <w:r w:rsidRPr="009D5B24">
        <w:rPr>
          <w:rFonts w:ascii="Arial" w:hAnsi="Arial" w:cs="Arial"/>
          <w:i/>
          <w:iCs/>
          <w:szCs w:val="22"/>
        </w:rPr>
        <w:t>et al.</w:t>
      </w:r>
      <w:r w:rsidRPr="009D5B24">
        <w:rPr>
          <w:rFonts w:ascii="Arial" w:hAnsi="Arial" w:cs="Arial"/>
          <w:szCs w:val="22"/>
        </w:rPr>
        <w:t> (2017) “What is good communication for people living with dementia? A mixed-methods systematic review,” </w:t>
      </w:r>
      <w:r w:rsidRPr="009D5B24">
        <w:rPr>
          <w:rFonts w:ascii="Arial" w:hAnsi="Arial" w:cs="Arial"/>
          <w:i/>
          <w:iCs/>
          <w:szCs w:val="22"/>
        </w:rPr>
        <w:t>International Psychogeriatrics</w:t>
      </w:r>
      <w:r w:rsidRPr="009D5B24">
        <w:rPr>
          <w:rFonts w:ascii="Arial" w:hAnsi="Arial" w:cs="Arial"/>
          <w:szCs w:val="22"/>
        </w:rPr>
        <w:t>, 29(11), pp. 1785–1800. Available at: https://doi.org/10.1017/S1041610217001429.</w:t>
      </w:r>
    </w:p>
    <w:p w14:paraId="1E982DDD"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Campbell, N.L. </w:t>
      </w:r>
      <w:r w:rsidRPr="009D5B24">
        <w:rPr>
          <w:rFonts w:ascii="Arial" w:hAnsi="Arial" w:cs="Arial"/>
          <w:i/>
          <w:iCs/>
          <w:szCs w:val="22"/>
        </w:rPr>
        <w:t>et al.</w:t>
      </w:r>
      <w:r w:rsidRPr="009D5B24">
        <w:rPr>
          <w:rFonts w:ascii="Arial" w:hAnsi="Arial" w:cs="Arial"/>
          <w:szCs w:val="22"/>
        </w:rPr>
        <w:t> (2012) “Medication adherence in older adults with cognitive impairment: a systematic evidence-based review,” </w:t>
      </w:r>
      <w:r w:rsidRPr="009D5B24">
        <w:rPr>
          <w:rFonts w:ascii="Arial" w:hAnsi="Arial" w:cs="Arial"/>
          <w:i/>
          <w:iCs/>
          <w:szCs w:val="22"/>
        </w:rPr>
        <w:t>The American Journal of Geriatric Pharmacotherapy</w:t>
      </w:r>
      <w:r w:rsidRPr="009D5B24">
        <w:rPr>
          <w:rFonts w:ascii="Arial" w:hAnsi="Arial" w:cs="Arial"/>
          <w:szCs w:val="22"/>
        </w:rPr>
        <w:t>, 10(3), pp. 165–177. Available at: https://doi.org/10.1016/j.amjopharm.2012.04.004.</w:t>
      </w:r>
    </w:p>
    <w:p w14:paraId="4F242D75" w14:textId="77777777" w:rsidR="009D5B24" w:rsidRPr="002A7BD6" w:rsidRDefault="009D5B24" w:rsidP="002A7BD6">
      <w:pPr>
        <w:spacing w:line="360" w:lineRule="auto"/>
        <w:jc w:val="both"/>
        <w:rPr>
          <w:rFonts w:ascii="Arial" w:hAnsi="Arial" w:cs="Arial"/>
          <w:szCs w:val="22"/>
        </w:rPr>
      </w:pPr>
      <w:r w:rsidRPr="002A7BD6">
        <w:rPr>
          <w:rFonts w:ascii="Arial" w:hAnsi="Arial" w:cs="Arial"/>
          <w:szCs w:val="22"/>
        </w:rPr>
        <w:t>Care Act 2014, c.23. London: The Stationery Office.</w:t>
      </w:r>
    </w:p>
    <w:p w14:paraId="39F0C7DB" w14:textId="77777777" w:rsidR="009D5B24" w:rsidRPr="002A7BD6" w:rsidRDefault="009D5B24" w:rsidP="002A7BD6">
      <w:pPr>
        <w:spacing w:line="360" w:lineRule="auto"/>
        <w:jc w:val="both"/>
        <w:rPr>
          <w:rFonts w:ascii="Arial" w:hAnsi="Arial" w:cs="Arial"/>
          <w:szCs w:val="22"/>
        </w:rPr>
      </w:pPr>
      <w:r w:rsidRPr="002A7BD6">
        <w:rPr>
          <w:rFonts w:ascii="Arial" w:hAnsi="Arial" w:cs="Arial"/>
          <w:szCs w:val="22"/>
        </w:rPr>
        <w:t>Data Protection Act 2018, c.12. London: The Stationery Office.</w:t>
      </w:r>
    </w:p>
    <w:p w14:paraId="652FFB0B"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Eggenberger, E., Heimerl, K. and Bennett, M.I. (2013) “Communication skills training in dementia care: a systematic review of effectiveness, training content, and didactic methods in different care settings,” </w:t>
      </w:r>
      <w:r w:rsidRPr="009D5B24">
        <w:rPr>
          <w:rFonts w:ascii="Arial" w:hAnsi="Arial" w:cs="Arial"/>
          <w:i/>
          <w:iCs/>
          <w:szCs w:val="22"/>
        </w:rPr>
        <w:t>International Psychogeriatrics</w:t>
      </w:r>
      <w:r w:rsidRPr="009D5B24">
        <w:rPr>
          <w:rFonts w:ascii="Arial" w:hAnsi="Arial" w:cs="Arial"/>
          <w:szCs w:val="22"/>
        </w:rPr>
        <w:t>, 25(3), pp. 345–358. Available at: https://doi.org/10.1017/S1041610212001664.</w:t>
      </w:r>
    </w:p>
    <w:p w14:paraId="7CBEB0B4"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El-Saifi, N. </w:t>
      </w:r>
      <w:r w:rsidRPr="009D5B24">
        <w:rPr>
          <w:rFonts w:ascii="Arial" w:hAnsi="Arial" w:cs="Arial"/>
          <w:i/>
          <w:iCs/>
          <w:szCs w:val="22"/>
        </w:rPr>
        <w:t>et al.</w:t>
      </w:r>
      <w:r w:rsidRPr="009D5B24">
        <w:rPr>
          <w:rFonts w:ascii="Arial" w:hAnsi="Arial" w:cs="Arial"/>
          <w:szCs w:val="22"/>
        </w:rPr>
        <w:t> (2018) “Medication adherence in older patients with dementia: A systematic literature review,” </w:t>
      </w:r>
      <w:r w:rsidRPr="009D5B24">
        <w:rPr>
          <w:rFonts w:ascii="Arial" w:hAnsi="Arial" w:cs="Arial"/>
          <w:i/>
          <w:iCs/>
          <w:szCs w:val="22"/>
        </w:rPr>
        <w:t>Journal of Pharmacy Practice</w:t>
      </w:r>
      <w:r w:rsidRPr="009D5B24">
        <w:rPr>
          <w:rFonts w:ascii="Arial" w:hAnsi="Arial" w:cs="Arial"/>
          <w:szCs w:val="22"/>
        </w:rPr>
        <w:t>, 31(3), pp. 322–334. Available at: https://doi.org/10.1177/0897190017710524.</w:t>
      </w:r>
    </w:p>
    <w:p w14:paraId="3A8DF62E" w14:textId="77777777" w:rsidR="009D5B24" w:rsidRPr="002A7BD6" w:rsidRDefault="009D5B24" w:rsidP="002A7BD6">
      <w:pPr>
        <w:spacing w:line="360" w:lineRule="auto"/>
        <w:jc w:val="both"/>
        <w:rPr>
          <w:rFonts w:ascii="Arial" w:hAnsi="Arial" w:cs="Arial"/>
          <w:szCs w:val="22"/>
        </w:rPr>
      </w:pPr>
      <w:r w:rsidRPr="002A7BD6">
        <w:rPr>
          <w:rFonts w:ascii="Arial" w:hAnsi="Arial" w:cs="Arial"/>
          <w:szCs w:val="22"/>
        </w:rPr>
        <w:t>Equality Act 2010, c.15. London: The Stationery Office.</w:t>
      </w:r>
    </w:p>
    <w:p w14:paraId="732A283C"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Lim, R.H. and Sharmeen, T. (2018) “Medicines management issues in dementia and coping strategies used by people living with dementia and family carers: A systematic review,” </w:t>
      </w:r>
      <w:r w:rsidRPr="009D5B24">
        <w:rPr>
          <w:rFonts w:ascii="Arial" w:hAnsi="Arial" w:cs="Arial"/>
          <w:i/>
          <w:iCs/>
          <w:szCs w:val="22"/>
        </w:rPr>
        <w:t>International Journal of Geriatric Psychiatry</w:t>
      </w:r>
      <w:r w:rsidRPr="009D5B24">
        <w:rPr>
          <w:rFonts w:ascii="Arial" w:hAnsi="Arial" w:cs="Arial"/>
          <w:szCs w:val="22"/>
        </w:rPr>
        <w:t>, 33(12), pp. 1562–1581. Available at: https://doi.org/10.1002/gps.4985.</w:t>
      </w:r>
    </w:p>
    <w:p w14:paraId="33568AB9"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McCarthy, B. </w:t>
      </w:r>
      <w:r w:rsidRPr="009D5B24">
        <w:rPr>
          <w:rFonts w:ascii="Arial" w:hAnsi="Arial" w:cs="Arial"/>
          <w:i/>
          <w:iCs/>
          <w:szCs w:val="22"/>
        </w:rPr>
        <w:t>et al.</w:t>
      </w:r>
      <w:r w:rsidRPr="009D5B24">
        <w:rPr>
          <w:rFonts w:ascii="Arial" w:hAnsi="Arial" w:cs="Arial"/>
          <w:szCs w:val="22"/>
        </w:rPr>
        <w:t> (2019) “Electronic nursing documentation interventions to promote or improve patient safety and quality care: A systematic review,” </w:t>
      </w:r>
      <w:r w:rsidRPr="009D5B24">
        <w:rPr>
          <w:rFonts w:ascii="Arial" w:hAnsi="Arial" w:cs="Arial"/>
          <w:i/>
          <w:iCs/>
          <w:szCs w:val="22"/>
        </w:rPr>
        <w:t>Journal of Nursing Management</w:t>
      </w:r>
      <w:r w:rsidRPr="009D5B24">
        <w:rPr>
          <w:rFonts w:ascii="Arial" w:hAnsi="Arial" w:cs="Arial"/>
          <w:szCs w:val="22"/>
        </w:rPr>
        <w:t>, 27(3), pp. 491–501. Available at: https://doi.org/10.1111/jonm.12727.</w:t>
      </w:r>
    </w:p>
    <w:p w14:paraId="1A1497AD" w14:textId="77777777" w:rsidR="009D5B24" w:rsidRDefault="009D5B24" w:rsidP="002A7BD6">
      <w:pPr>
        <w:spacing w:line="360" w:lineRule="auto"/>
        <w:jc w:val="both"/>
        <w:rPr>
          <w:rFonts w:ascii="Arial" w:hAnsi="Arial" w:cs="Arial"/>
          <w:szCs w:val="22"/>
        </w:rPr>
      </w:pPr>
      <w:r w:rsidRPr="002A7BD6">
        <w:rPr>
          <w:rFonts w:ascii="Arial" w:hAnsi="Arial" w:cs="Arial"/>
          <w:szCs w:val="22"/>
        </w:rPr>
        <w:t>Mental Capacity Act 2005, c.9. London: The Stationery Office.</w:t>
      </w:r>
    </w:p>
    <w:p w14:paraId="230B91BB"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Miller, L.M., Whitlatch, C.J. and Lyons, K.S. (2016) “Shared decision-making in dementia: A review of patient and family carer involvement,” </w:t>
      </w:r>
      <w:r w:rsidRPr="009D5B24">
        <w:rPr>
          <w:rFonts w:ascii="Arial" w:hAnsi="Arial" w:cs="Arial"/>
          <w:i/>
          <w:iCs/>
          <w:szCs w:val="22"/>
        </w:rPr>
        <w:t>Dementia (London, England)</w:t>
      </w:r>
      <w:r w:rsidRPr="009D5B24">
        <w:rPr>
          <w:rFonts w:ascii="Arial" w:hAnsi="Arial" w:cs="Arial"/>
          <w:szCs w:val="22"/>
        </w:rPr>
        <w:t>, 15(5), pp. 1141–1157. Available at: https://doi.org/10.1177/1471301214555542.</w:t>
      </w:r>
    </w:p>
    <w:p w14:paraId="0DE26A29"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lastRenderedPageBreak/>
        <w:t>NICE (2017) </w:t>
      </w:r>
      <w:r w:rsidRPr="009D5B24">
        <w:rPr>
          <w:rFonts w:ascii="Arial" w:hAnsi="Arial" w:cs="Arial"/>
          <w:i/>
          <w:iCs/>
          <w:szCs w:val="22"/>
        </w:rPr>
        <w:t>Managing medicines for adults receiving social care in the community</w:t>
      </w:r>
      <w:r w:rsidRPr="009D5B24">
        <w:rPr>
          <w:rFonts w:ascii="Arial" w:hAnsi="Arial" w:cs="Arial"/>
          <w:szCs w:val="22"/>
        </w:rPr>
        <w:t>, </w:t>
      </w:r>
      <w:r w:rsidRPr="009D5B24">
        <w:rPr>
          <w:rFonts w:ascii="Arial" w:hAnsi="Arial" w:cs="Arial"/>
          <w:i/>
          <w:iCs/>
          <w:szCs w:val="22"/>
        </w:rPr>
        <w:t>NICE</w:t>
      </w:r>
      <w:r w:rsidRPr="009D5B24">
        <w:rPr>
          <w:rFonts w:ascii="Arial" w:hAnsi="Arial" w:cs="Arial"/>
          <w:szCs w:val="22"/>
        </w:rPr>
        <w:t>. Available at: https://www.nice.org.uk/guidance/ng67 (Accessed: August 9, 2026).</w:t>
      </w:r>
    </w:p>
    <w:p w14:paraId="420F555A"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NICE (2018a) </w:t>
      </w:r>
      <w:r w:rsidRPr="009D5B24">
        <w:rPr>
          <w:rFonts w:ascii="Arial" w:hAnsi="Arial" w:cs="Arial"/>
          <w:i/>
          <w:iCs/>
          <w:szCs w:val="22"/>
        </w:rPr>
        <w:t xml:space="preserve">Dementia: assessment, management and support for people living with dementia and their </w:t>
      </w:r>
      <w:proofErr w:type="spellStart"/>
      <w:r w:rsidRPr="009D5B24">
        <w:rPr>
          <w:rFonts w:ascii="Arial" w:hAnsi="Arial" w:cs="Arial"/>
          <w:i/>
          <w:iCs/>
          <w:szCs w:val="22"/>
        </w:rPr>
        <w:t>carers</w:t>
      </w:r>
      <w:proofErr w:type="spellEnd"/>
      <w:r w:rsidRPr="009D5B24">
        <w:rPr>
          <w:rFonts w:ascii="Arial" w:hAnsi="Arial" w:cs="Arial"/>
          <w:szCs w:val="22"/>
        </w:rPr>
        <w:t>, </w:t>
      </w:r>
      <w:r w:rsidRPr="009D5B24">
        <w:rPr>
          <w:rFonts w:ascii="Arial" w:hAnsi="Arial" w:cs="Arial"/>
          <w:i/>
          <w:iCs/>
          <w:szCs w:val="22"/>
        </w:rPr>
        <w:t>NICE</w:t>
      </w:r>
      <w:r w:rsidRPr="009D5B24">
        <w:rPr>
          <w:rFonts w:ascii="Arial" w:hAnsi="Arial" w:cs="Arial"/>
          <w:szCs w:val="22"/>
        </w:rPr>
        <w:t>. Available at: https://www.nice.org.uk/guidance/ng97 (Accessed: August 9, 2026).</w:t>
      </w:r>
    </w:p>
    <w:p w14:paraId="614A28D9"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NICE (2018b) </w:t>
      </w:r>
      <w:r w:rsidRPr="009D5B24">
        <w:rPr>
          <w:rFonts w:ascii="Arial" w:hAnsi="Arial" w:cs="Arial"/>
          <w:i/>
          <w:iCs/>
          <w:szCs w:val="22"/>
        </w:rPr>
        <w:t xml:space="preserve">Dementia: assessment, management and support for people living with dementia and their </w:t>
      </w:r>
      <w:proofErr w:type="spellStart"/>
      <w:r w:rsidRPr="009D5B24">
        <w:rPr>
          <w:rFonts w:ascii="Arial" w:hAnsi="Arial" w:cs="Arial"/>
          <w:i/>
          <w:iCs/>
          <w:szCs w:val="22"/>
        </w:rPr>
        <w:t>carers</w:t>
      </w:r>
      <w:proofErr w:type="spellEnd"/>
      <w:r w:rsidRPr="009D5B24">
        <w:rPr>
          <w:rFonts w:ascii="Arial" w:hAnsi="Arial" w:cs="Arial"/>
          <w:szCs w:val="22"/>
        </w:rPr>
        <w:t>, </w:t>
      </w:r>
      <w:r w:rsidRPr="009D5B24">
        <w:rPr>
          <w:rFonts w:ascii="Arial" w:hAnsi="Arial" w:cs="Arial"/>
          <w:i/>
          <w:iCs/>
          <w:szCs w:val="22"/>
        </w:rPr>
        <w:t>NICE</w:t>
      </w:r>
      <w:r w:rsidRPr="009D5B24">
        <w:rPr>
          <w:rFonts w:ascii="Arial" w:hAnsi="Arial" w:cs="Arial"/>
          <w:szCs w:val="22"/>
        </w:rPr>
        <w:t>. Available at: https://www.nice.org.uk/guidance/ng97 (Accessed: August 9, 2026).</w:t>
      </w:r>
    </w:p>
    <w:p w14:paraId="750DEDC9"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Reeves, S. </w:t>
      </w:r>
      <w:r w:rsidRPr="009D5B24">
        <w:rPr>
          <w:rFonts w:ascii="Arial" w:hAnsi="Arial" w:cs="Arial"/>
          <w:i/>
          <w:iCs/>
          <w:szCs w:val="22"/>
        </w:rPr>
        <w:t>et al.</w:t>
      </w:r>
      <w:r w:rsidRPr="009D5B24">
        <w:rPr>
          <w:rFonts w:ascii="Arial" w:hAnsi="Arial" w:cs="Arial"/>
          <w:szCs w:val="22"/>
        </w:rPr>
        <w:t> (2017) “Interprofessional collaboration to improve professional practice and healthcare outcomes,” </w:t>
      </w:r>
      <w:r w:rsidRPr="009D5B24">
        <w:rPr>
          <w:rFonts w:ascii="Arial" w:hAnsi="Arial" w:cs="Arial"/>
          <w:i/>
          <w:iCs/>
          <w:szCs w:val="22"/>
        </w:rPr>
        <w:t>Cochrane Database of Systematic Reviews</w:t>
      </w:r>
      <w:r w:rsidRPr="009D5B24">
        <w:rPr>
          <w:rFonts w:ascii="Arial" w:hAnsi="Arial" w:cs="Arial"/>
          <w:szCs w:val="22"/>
        </w:rPr>
        <w:t>, 6(8), p. CD000072. Available at: https://doi.org/10.1002/14651858.CD000072.pub3.</w:t>
      </w:r>
    </w:p>
    <w:p w14:paraId="326839DF"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Sawan, M.J. </w:t>
      </w:r>
      <w:r w:rsidRPr="009D5B24">
        <w:rPr>
          <w:rFonts w:ascii="Arial" w:hAnsi="Arial" w:cs="Arial"/>
          <w:i/>
          <w:iCs/>
          <w:szCs w:val="22"/>
        </w:rPr>
        <w:t>et al.</w:t>
      </w:r>
      <w:r w:rsidRPr="009D5B24">
        <w:rPr>
          <w:rFonts w:ascii="Arial" w:hAnsi="Arial" w:cs="Arial"/>
          <w:szCs w:val="22"/>
        </w:rPr>
        <w:t> (2021) “Interventions at hospital discharge to guide caregivers in medication management for people living with dementia: A systematic review,” </w:t>
      </w:r>
      <w:r w:rsidRPr="009D5B24">
        <w:rPr>
          <w:rFonts w:ascii="Arial" w:hAnsi="Arial" w:cs="Arial"/>
          <w:i/>
          <w:iCs/>
          <w:szCs w:val="22"/>
        </w:rPr>
        <w:t>Journal of General Internal Medicine</w:t>
      </w:r>
      <w:r w:rsidRPr="009D5B24">
        <w:rPr>
          <w:rFonts w:ascii="Arial" w:hAnsi="Arial" w:cs="Arial"/>
          <w:szCs w:val="22"/>
        </w:rPr>
        <w:t>, 36(5), pp. 1371–1379. Available at: https://doi.org/10.1007/s11606-020-06442-5.</w:t>
      </w:r>
    </w:p>
    <w:p w14:paraId="6380F19B"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Shannon, C.E. and Weaver, W. (1949) </w:t>
      </w:r>
      <w:r w:rsidRPr="009D5B24">
        <w:rPr>
          <w:rFonts w:ascii="Arial" w:hAnsi="Arial" w:cs="Arial"/>
          <w:i/>
          <w:iCs/>
          <w:szCs w:val="22"/>
        </w:rPr>
        <w:t>The mathematical theory of communication</w:t>
      </w:r>
      <w:r w:rsidRPr="009D5B24">
        <w:rPr>
          <w:rFonts w:ascii="Arial" w:hAnsi="Arial" w:cs="Arial"/>
          <w:szCs w:val="22"/>
        </w:rPr>
        <w:t>. Baltimore, MD: University of Illinois Press.</w:t>
      </w:r>
    </w:p>
    <w:p w14:paraId="64C1C017" w14:textId="77777777" w:rsidR="009D5B24" w:rsidRPr="009D5B24" w:rsidRDefault="009D5B24" w:rsidP="009D5B24">
      <w:pPr>
        <w:spacing w:line="360" w:lineRule="auto"/>
        <w:jc w:val="both"/>
        <w:rPr>
          <w:rFonts w:ascii="Arial" w:hAnsi="Arial" w:cs="Arial"/>
          <w:szCs w:val="22"/>
        </w:rPr>
      </w:pPr>
      <w:proofErr w:type="spellStart"/>
      <w:r w:rsidRPr="009D5B24">
        <w:rPr>
          <w:rFonts w:ascii="Arial" w:hAnsi="Arial" w:cs="Arial"/>
          <w:szCs w:val="22"/>
        </w:rPr>
        <w:t>Smebye</w:t>
      </w:r>
      <w:proofErr w:type="spellEnd"/>
      <w:r w:rsidRPr="009D5B24">
        <w:rPr>
          <w:rFonts w:ascii="Arial" w:hAnsi="Arial" w:cs="Arial"/>
          <w:szCs w:val="22"/>
        </w:rPr>
        <w:t xml:space="preserve">, K.L., </w:t>
      </w:r>
      <w:proofErr w:type="spellStart"/>
      <w:r w:rsidRPr="009D5B24">
        <w:rPr>
          <w:rFonts w:ascii="Arial" w:hAnsi="Arial" w:cs="Arial"/>
          <w:szCs w:val="22"/>
        </w:rPr>
        <w:t>Kirkevold</w:t>
      </w:r>
      <w:proofErr w:type="spellEnd"/>
      <w:r w:rsidRPr="009D5B24">
        <w:rPr>
          <w:rFonts w:ascii="Arial" w:hAnsi="Arial" w:cs="Arial"/>
          <w:szCs w:val="22"/>
        </w:rPr>
        <w:t>, M. and Engedal, K. (2012) “How do persons with dementia participate in decision making related to health and daily care? a multi-case study,” </w:t>
      </w:r>
      <w:r w:rsidRPr="009D5B24">
        <w:rPr>
          <w:rFonts w:ascii="Arial" w:hAnsi="Arial" w:cs="Arial"/>
          <w:i/>
          <w:iCs/>
          <w:szCs w:val="22"/>
        </w:rPr>
        <w:t>BMC Health Services Research</w:t>
      </w:r>
      <w:r w:rsidRPr="009D5B24">
        <w:rPr>
          <w:rFonts w:ascii="Arial" w:hAnsi="Arial" w:cs="Arial"/>
          <w:szCs w:val="22"/>
        </w:rPr>
        <w:t>, 12(1), p. 241. Available at: https://doi.org/10.1186/1472-6963-12-241.</w:t>
      </w:r>
    </w:p>
    <w:p w14:paraId="77F32B10" w14:textId="77777777" w:rsidR="009D5B24" w:rsidRPr="009D5B24" w:rsidRDefault="009D5B24" w:rsidP="009D5B24">
      <w:pPr>
        <w:spacing w:line="360" w:lineRule="auto"/>
        <w:jc w:val="both"/>
        <w:rPr>
          <w:rFonts w:ascii="Arial" w:hAnsi="Arial" w:cs="Arial"/>
          <w:szCs w:val="22"/>
        </w:rPr>
      </w:pPr>
      <w:r w:rsidRPr="009D5B24">
        <w:rPr>
          <w:rFonts w:ascii="Arial" w:hAnsi="Arial" w:cs="Arial"/>
          <w:szCs w:val="22"/>
        </w:rPr>
        <w:t>Trivedi, D. </w:t>
      </w:r>
      <w:r w:rsidRPr="009D5B24">
        <w:rPr>
          <w:rFonts w:ascii="Arial" w:hAnsi="Arial" w:cs="Arial"/>
          <w:i/>
          <w:iCs/>
          <w:szCs w:val="22"/>
        </w:rPr>
        <w:t>et al.</w:t>
      </w:r>
      <w:r w:rsidRPr="009D5B24">
        <w:rPr>
          <w:rFonts w:ascii="Arial" w:hAnsi="Arial" w:cs="Arial"/>
          <w:szCs w:val="22"/>
        </w:rPr>
        <w:t> (2013) “The effectiveness of inter-professional working for older people living in the community: a systematic review: Effectiveness of inter-professional working,” </w:t>
      </w:r>
      <w:r w:rsidRPr="009D5B24">
        <w:rPr>
          <w:rFonts w:ascii="Arial" w:hAnsi="Arial" w:cs="Arial"/>
          <w:i/>
          <w:iCs/>
          <w:szCs w:val="22"/>
        </w:rPr>
        <w:t>Health &amp; Social Care in the Community</w:t>
      </w:r>
      <w:r w:rsidRPr="009D5B24">
        <w:rPr>
          <w:rFonts w:ascii="Arial" w:hAnsi="Arial" w:cs="Arial"/>
          <w:szCs w:val="22"/>
        </w:rPr>
        <w:t>, 21(2), pp. 113–128. Available at: https://doi.org/10.1111/j.1365-2524.2012.01067.x.</w:t>
      </w:r>
    </w:p>
    <w:p w14:paraId="05831D19" w14:textId="77777777" w:rsidR="009D5B24" w:rsidRPr="002A7BD6" w:rsidRDefault="009D5B24" w:rsidP="002A7BD6">
      <w:pPr>
        <w:spacing w:line="360" w:lineRule="auto"/>
        <w:jc w:val="both"/>
        <w:rPr>
          <w:rFonts w:ascii="Arial" w:hAnsi="Arial" w:cs="Arial"/>
          <w:szCs w:val="22"/>
        </w:rPr>
      </w:pPr>
    </w:p>
    <w:p w14:paraId="11D7DFAA" w14:textId="5CC83741" w:rsidR="002A7BD6" w:rsidRPr="002A7BD6" w:rsidRDefault="002A7BD6" w:rsidP="002A7BD6">
      <w:pPr>
        <w:spacing w:line="360" w:lineRule="auto"/>
        <w:jc w:val="both"/>
        <w:rPr>
          <w:rFonts w:ascii="Arial" w:hAnsi="Arial" w:cs="Arial"/>
          <w:szCs w:val="22"/>
        </w:rPr>
      </w:pPr>
    </w:p>
    <w:sectPr w:rsidR="002A7BD6" w:rsidRPr="002A7BD6" w:rsidSect="00575F2D">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0D915" w14:textId="77777777" w:rsidR="00965E2C" w:rsidRDefault="00965E2C" w:rsidP="00575F2D">
      <w:pPr>
        <w:spacing w:after="0" w:line="240" w:lineRule="auto"/>
      </w:pPr>
      <w:r>
        <w:separator/>
      </w:r>
    </w:p>
  </w:endnote>
  <w:endnote w:type="continuationSeparator" w:id="0">
    <w:p w14:paraId="211A4550" w14:textId="77777777" w:rsidR="00965E2C" w:rsidRDefault="00965E2C" w:rsidP="00575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977049"/>
      <w:docPartObj>
        <w:docPartGallery w:val="Page Numbers (Bottom of Page)"/>
        <w:docPartUnique/>
      </w:docPartObj>
    </w:sdtPr>
    <w:sdtEndPr>
      <w:rPr>
        <w:color w:val="7F7F7F" w:themeColor="background1" w:themeShade="7F"/>
        <w:spacing w:val="60"/>
      </w:rPr>
    </w:sdtEndPr>
    <w:sdtContent>
      <w:p w14:paraId="20152AD7" w14:textId="77777777" w:rsidR="00575F2D" w:rsidRDefault="00575F2D">
        <w:pPr>
          <w:pStyle w:val="Footer"/>
          <w:pBdr>
            <w:top w:val="single" w:sz="4" w:space="1" w:color="D9D9D9" w:themeColor="background1" w:themeShade="D9"/>
          </w:pBdr>
          <w:jc w:val="right"/>
        </w:pPr>
        <w:r>
          <w:fldChar w:fldCharType="begin"/>
        </w:r>
        <w:r>
          <w:instrText xml:space="preserve"> PAGE   \* MERGEFORMAT </w:instrText>
        </w:r>
        <w:r>
          <w:fldChar w:fldCharType="separate"/>
        </w:r>
        <w:r w:rsidR="005D7DAF">
          <w:rPr>
            <w:noProof/>
          </w:rPr>
          <w:t>6</w:t>
        </w:r>
        <w:r>
          <w:rPr>
            <w:noProof/>
          </w:rPr>
          <w:fldChar w:fldCharType="end"/>
        </w:r>
        <w:r>
          <w:t xml:space="preserve"> | </w:t>
        </w:r>
        <w:r>
          <w:rPr>
            <w:color w:val="7F7F7F" w:themeColor="background1" w:themeShade="7F"/>
            <w:spacing w:val="60"/>
          </w:rPr>
          <w:t>Page</w:t>
        </w:r>
      </w:p>
    </w:sdtContent>
  </w:sdt>
  <w:p w14:paraId="67194F86" w14:textId="77777777" w:rsidR="00575F2D" w:rsidRDefault="00575F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39EF4" w14:textId="77777777" w:rsidR="00965E2C" w:rsidRDefault="00965E2C" w:rsidP="00575F2D">
      <w:pPr>
        <w:spacing w:after="0" w:line="240" w:lineRule="auto"/>
      </w:pPr>
      <w:r>
        <w:separator/>
      </w:r>
    </w:p>
  </w:footnote>
  <w:footnote w:type="continuationSeparator" w:id="0">
    <w:p w14:paraId="15F4A7C9" w14:textId="77777777" w:rsidR="00965E2C" w:rsidRDefault="00965E2C" w:rsidP="00575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7702E9"/>
    <w:multiLevelType w:val="hybridMultilevel"/>
    <w:tmpl w:val="6D90BB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AD14480"/>
    <w:multiLevelType w:val="hybridMultilevel"/>
    <w:tmpl w:val="1292C3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2354E50"/>
    <w:multiLevelType w:val="hybridMultilevel"/>
    <w:tmpl w:val="2746F4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955"/>
    <w:rsid w:val="0005188B"/>
    <w:rsid w:val="00103D21"/>
    <w:rsid w:val="001060D0"/>
    <w:rsid w:val="00130FC4"/>
    <w:rsid w:val="0013535F"/>
    <w:rsid w:val="001E7153"/>
    <w:rsid w:val="00226B76"/>
    <w:rsid w:val="002A7BD6"/>
    <w:rsid w:val="00422444"/>
    <w:rsid w:val="004C4CF0"/>
    <w:rsid w:val="0052293F"/>
    <w:rsid w:val="00554ED8"/>
    <w:rsid w:val="00575F2D"/>
    <w:rsid w:val="00586000"/>
    <w:rsid w:val="005D1009"/>
    <w:rsid w:val="005D7DAF"/>
    <w:rsid w:val="005E604E"/>
    <w:rsid w:val="005E7955"/>
    <w:rsid w:val="00605A91"/>
    <w:rsid w:val="00605D4E"/>
    <w:rsid w:val="00634297"/>
    <w:rsid w:val="00634E7F"/>
    <w:rsid w:val="00641A4B"/>
    <w:rsid w:val="00656C83"/>
    <w:rsid w:val="00742227"/>
    <w:rsid w:val="00751331"/>
    <w:rsid w:val="008B0BEC"/>
    <w:rsid w:val="00965E2C"/>
    <w:rsid w:val="0097007C"/>
    <w:rsid w:val="009D5B24"/>
    <w:rsid w:val="00A031FA"/>
    <w:rsid w:val="00A265A8"/>
    <w:rsid w:val="00A86455"/>
    <w:rsid w:val="00AE2E22"/>
    <w:rsid w:val="00B127F0"/>
    <w:rsid w:val="00B21BB6"/>
    <w:rsid w:val="00BF2A54"/>
    <w:rsid w:val="00C07B03"/>
    <w:rsid w:val="00C12197"/>
    <w:rsid w:val="00C40121"/>
    <w:rsid w:val="00CC0114"/>
    <w:rsid w:val="00D374FB"/>
    <w:rsid w:val="00D74AE8"/>
    <w:rsid w:val="00D83D23"/>
    <w:rsid w:val="00DB5857"/>
    <w:rsid w:val="00DE7174"/>
    <w:rsid w:val="00E363A3"/>
    <w:rsid w:val="00E55A71"/>
    <w:rsid w:val="00EA7B14"/>
    <w:rsid w:val="00F118D6"/>
    <w:rsid w:val="00F12DAE"/>
    <w:rsid w:val="00F70E27"/>
    <w:rsid w:val="00FB5B3C"/>
    <w:rsid w:val="00FD5230"/>
  </w:rsids>
  <m:mathPr>
    <m:mathFont m:val="Cambria Math"/>
    <m:brkBin m:val="before"/>
    <m:brkBinSub m:val="--"/>
    <m:smallFrac m:val="0"/>
    <m:dispDef/>
    <m:lMargin m:val="0"/>
    <m:rMargin m:val="0"/>
    <m:defJc m:val="centerGroup"/>
    <m:wrapIndent m:val="1440"/>
    <m:intLim m:val="subSup"/>
    <m:naryLim m:val="undOvr"/>
  </m:mathPr>
  <w:themeFontLang w:val="en-AE"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DAD45"/>
  <w15:chartTrackingRefBased/>
  <w15:docId w15:val="{DD1D2368-2842-4B2F-8F5C-EFAC75F86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Vrinda"/>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04E"/>
  </w:style>
  <w:style w:type="paragraph" w:styleId="Heading1">
    <w:name w:val="heading 1"/>
    <w:basedOn w:val="Normal"/>
    <w:next w:val="Normal"/>
    <w:link w:val="Heading1Char"/>
    <w:uiPriority w:val="9"/>
    <w:qFormat/>
    <w:rsid w:val="002A7BD6"/>
    <w:pPr>
      <w:keepNext/>
      <w:keepLines/>
      <w:spacing w:before="360" w:after="80" w:line="360" w:lineRule="auto"/>
      <w:jc w:val="both"/>
      <w:outlineLvl w:val="0"/>
    </w:pPr>
    <w:rPr>
      <w:rFonts w:ascii="Arial" w:eastAsiaTheme="majorEastAsia" w:hAnsi="Arial" w:cstheme="majorBidi"/>
      <w:b/>
      <w:color w:val="000000" w:themeColor="text1"/>
      <w:sz w:val="32"/>
      <w:szCs w:val="50"/>
    </w:rPr>
  </w:style>
  <w:style w:type="paragraph" w:styleId="Heading2">
    <w:name w:val="heading 2"/>
    <w:basedOn w:val="Normal"/>
    <w:next w:val="Normal"/>
    <w:link w:val="Heading2Char"/>
    <w:uiPriority w:val="9"/>
    <w:semiHidden/>
    <w:unhideWhenUsed/>
    <w:qFormat/>
    <w:rsid w:val="002A7BD6"/>
    <w:pPr>
      <w:keepNext/>
      <w:keepLines/>
      <w:spacing w:before="160" w:after="80" w:line="360" w:lineRule="auto"/>
      <w:jc w:val="both"/>
      <w:outlineLvl w:val="1"/>
    </w:pPr>
    <w:rPr>
      <w:rFonts w:ascii="Arial" w:eastAsiaTheme="majorEastAsia" w:hAnsi="Arial" w:cstheme="majorBidi"/>
      <w:b/>
      <w:color w:val="000000" w:themeColor="text1"/>
      <w:sz w:val="28"/>
      <w:szCs w:val="40"/>
    </w:rPr>
  </w:style>
  <w:style w:type="paragraph" w:styleId="Heading3">
    <w:name w:val="heading 3"/>
    <w:basedOn w:val="Normal"/>
    <w:next w:val="Normal"/>
    <w:link w:val="Heading3Char"/>
    <w:uiPriority w:val="9"/>
    <w:semiHidden/>
    <w:unhideWhenUsed/>
    <w:qFormat/>
    <w:rsid w:val="005E7955"/>
    <w:pPr>
      <w:keepNext/>
      <w:keepLines/>
      <w:spacing w:before="160" w:after="80"/>
      <w:outlineLvl w:val="2"/>
    </w:pPr>
    <w:rPr>
      <w:rFonts w:eastAsiaTheme="majorEastAsia" w:cstheme="majorBidi"/>
      <w:color w:val="B76E0B" w:themeColor="accent1" w:themeShade="BF"/>
      <w:sz w:val="28"/>
      <w:szCs w:val="35"/>
    </w:rPr>
  </w:style>
  <w:style w:type="paragraph" w:styleId="Heading4">
    <w:name w:val="heading 4"/>
    <w:basedOn w:val="Normal"/>
    <w:next w:val="Normal"/>
    <w:link w:val="Heading4Char"/>
    <w:uiPriority w:val="9"/>
    <w:semiHidden/>
    <w:unhideWhenUsed/>
    <w:qFormat/>
    <w:rsid w:val="005E7955"/>
    <w:pPr>
      <w:keepNext/>
      <w:keepLines/>
      <w:spacing w:before="80" w:after="40"/>
      <w:outlineLvl w:val="3"/>
    </w:pPr>
    <w:rPr>
      <w:rFonts w:eastAsiaTheme="majorEastAsia" w:cstheme="majorBidi"/>
      <w:i/>
      <w:iCs/>
      <w:color w:val="B76E0B" w:themeColor="accent1" w:themeShade="BF"/>
    </w:rPr>
  </w:style>
  <w:style w:type="paragraph" w:styleId="Heading5">
    <w:name w:val="heading 5"/>
    <w:basedOn w:val="Normal"/>
    <w:next w:val="Normal"/>
    <w:link w:val="Heading5Char"/>
    <w:uiPriority w:val="9"/>
    <w:semiHidden/>
    <w:unhideWhenUsed/>
    <w:qFormat/>
    <w:rsid w:val="005E7955"/>
    <w:pPr>
      <w:keepNext/>
      <w:keepLines/>
      <w:spacing w:before="80" w:after="40"/>
      <w:outlineLvl w:val="4"/>
    </w:pPr>
    <w:rPr>
      <w:rFonts w:eastAsiaTheme="majorEastAsia" w:cstheme="majorBidi"/>
      <w:color w:val="B76E0B" w:themeColor="accent1" w:themeShade="BF"/>
    </w:rPr>
  </w:style>
  <w:style w:type="paragraph" w:styleId="Heading6">
    <w:name w:val="heading 6"/>
    <w:basedOn w:val="Normal"/>
    <w:next w:val="Normal"/>
    <w:link w:val="Heading6Char"/>
    <w:uiPriority w:val="9"/>
    <w:semiHidden/>
    <w:unhideWhenUsed/>
    <w:qFormat/>
    <w:rsid w:val="005E7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BD6"/>
    <w:rPr>
      <w:rFonts w:ascii="Arial" w:eastAsiaTheme="majorEastAsia" w:hAnsi="Arial" w:cstheme="majorBidi"/>
      <w:b/>
      <w:color w:val="000000" w:themeColor="text1"/>
      <w:sz w:val="32"/>
      <w:szCs w:val="50"/>
    </w:rPr>
  </w:style>
  <w:style w:type="character" w:customStyle="1" w:styleId="Heading2Char">
    <w:name w:val="Heading 2 Char"/>
    <w:basedOn w:val="DefaultParagraphFont"/>
    <w:link w:val="Heading2"/>
    <w:uiPriority w:val="9"/>
    <w:semiHidden/>
    <w:rsid w:val="002A7BD6"/>
    <w:rPr>
      <w:rFonts w:ascii="Arial" w:eastAsiaTheme="majorEastAsia" w:hAnsi="Arial" w:cstheme="majorBidi"/>
      <w:b/>
      <w:color w:val="000000" w:themeColor="text1"/>
      <w:sz w:val="28"/>
      <w:szCs w:val="40"/>
    </w:rPr>
  </w:style>
  <w:style w:type="character" w:customStyle="1" w:styleId="Heading3Char">
    <w:name w:val="Heading 3 Char"/>
    <w:basedOn w:val="DefaultParagraphFont"/>
    <w:link w:val="Heading3"/>
    <w:uiPriority w:val="9"/>
    <w:semiHidden/>
    <w:rsid w:val="005E7955"/>
    <w:rPr>
      <w:rFonts w:eastAsiaTheme="majorEastAsia" w:cstheme="majorBidi"/>
      <w:color w:val="B76E0B" w:themeColor="accent1" w:themeShade="BF"/>
      <w:sz w:val="28"/>
      <w:szCs w:val="35"/>
    </w:rPr>
  </w:style>
  <w:style w:type="character" w:customStyle="1" w:styleId="Heading4Char">
    <w:name w:val="Heading 4 Char"/>
    <w:basedOn w:val="DefaultParagraphFont"/>
    <w:link w:val="Heading4"/>
    <w:uiPriority w:val="9"/>
    <w:semiHidden/>
    <w:rsid w:val="005E7955"/>
    <w:rPr>
      <w:rFonts w:eastAsiaTheme="majorEastAsia" w:cstheme="majorBidi"/>
      <w:i/>
      <w:iCs/>
      <w:color w:val="B76E0B" w:themeColor="accent1" w:themeShade="BF"/>
    </w:rPr>
  </w:style>
  <w:style w:type="character" w:customStyle="1" w:styleId="Heading5Char">
    <w:name w:val="Heading 5 Char"/>
    <w:basedOn w:val="DefaultParagraphFont"/>
    <w:link w:val="Heading5"/>
    <w:uiPriority w:val="9"/>
    <w:semiHidden/>
    <w:rsid w:val="005E7955"/>
    <w:rPr>
      <w:rFonts w:eastAsiaTheme="majorEastAsia" w:cstheme="majorBidi"/>
      <w:color w:val="B76E0B" w:themeColor="accent1" w:themeShade="BF"/>
    </w:rPr>
  </w:style>
  <w:style w:type="character" w:customStyle="1" w:styleId="Heading6Char">
    <w:name w:val="Heading 6 Char"/>
    <w:basedOn w:val="DefaultParagraphFont"/>
    <w:link w:val="Heading6"/>
    <w:uiPriority w:val="9"/>
    <w:semiHidden/>
    <w:rsid w:val="005E7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955"/>
    <w:rPr>
      <w:rFonts w:eastAsiaTheme="majorEastAsia" w:cstheme="majorBidi"/>
      <w:color w:val="272727" w:themeColor="text1" w:themeTint="D8"/>
    </w:rPr>
  </w:style>
  <w:style w:type="paragraph" w:styleId="Title">
    <w:name w:val="Title"/>
    <w:basedOn w:val="Normal"/>
    <w:next w:val="Normal"/>
    <w:link w:val="TitleChar"/>
    <w:uiPriority w:val="10"/>
    <w:qFormat/>
    <w:rsid w:val="005E795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E795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5E7955"/>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E7955"/>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5E7955"/>
    <w:pPr>
      <w:spacing w:before="160"/>
      <w:jc w:val="center"/>
    </w:pPr>
    <w:rPr>
      <w:i/>
      <w:iCs/>
      <w:color w:val="404040" w:themeColor="text1" w:themeTint="BF"/>
    </w:rPr>
  </w:style>
  <w:style w:type="character" w:customStyle="1" w:styleId="QuoteChar">
    <w:name w:val="Quote Char"/>
    <w:basedOn w:val="DefaultParagraphFont"/>
    <w:link w:val="Quote"/>
    <w:uiPriority w:val="29"/>
    <w:rsid w:val="005E7955"/>
    <w:rPr>
      <w:i/>
      <w:iCs/>
      <w:color w:val="404040" w:themeColor="text1" w:themeTint="BF"/>
    </w:rPr>
  </w:style>
  <w:style w:type="paragraph" w:styleId="ListParagraph">
    <w:name w:val="List Paragraph"/>
    <w:basedOn w:val="Normal"/>
    <w:uiPriority w:val="34"/>
    <w:qFormat/>
    <w:rsid w:val="005E7955"/>
    <w:pPr>
      <w:ind w:left="720"/>
      <w:contextualSpacing/>
    </w:pPr>
  </w:style>
  <w:style w:type="character" w:styleId="IntenseEmphasis">
    <w:name w:val="Intense Emphasis"/>
    <w:basedOn w:val="DefaultParagraphFont"/>
    <w:uiPriority w:val="21"/>
    <w:qFormat/>
    <w:rsid w:val="005E7955"/>
    <w:rPr>
      <w:i/>
      <w:iCs/>
      <w:color w:val="B76E0B" w:themeColor="accent1" w:themeShade="BF"/>
    </w:rPr>
  </w:style>
  <w:style w:type="paragraph" w:styleId="IntenseQuote">
    <w:name w:val="Intense Quote"/>
    <w:basedOn w:val="Normal"/>
    <w:next w:val="Normal"/>
    <w:link w:val="IntenseQuoteChar"/>
    <w:uiPriority w:val="30"/>
    <w:qFormat/>
    <w:rsid w:val="005E7955"/>
    <w:pPr>
      <w:pBdr>
        <w:top w:val="single" w:sz="4" w:space="10" w:color="B76E0B" w:themeColor="accent1" w:themeShade="BF"/>
        <w:bottom w:val="single" w:sz="4" w:space="10" w:color="B76E0B" w:themeColor="accent1" w:themeShade="BF"/>
      </w:pBdr>
      <w:spacing w:before="360" w:after="360"/>
      <w:ind w:left="864" w:right="864"/>
      <w:jc w:val="center"/>
    </w:pPr>
    <w:rPr>
      <w:i/>
      <w:iCs/>
      <w:color w:val="B76E0B" w:themeColor="accent1" w:themeShade="BF"/>
    </w:rPr>
  </w:style>
  <w:style w:type="character" w:customStyle="1" w:styleId="IntenseQuoteChar">
    <w:name w:val="Intense Quote Char"/>
    <w:basedOn w:val="DefaultParagraphFont"/>
    <w:link w:val="IntenseQuote"/>
    <w:uiPriority w:val="30"/>
    <w:rsid w:val="005E7955"/>
    <w:rPr>
      <w:i/>
      <w:iCs/>
      <w:color w:val="B76E0B" w:themeColor="accent1" w:themeShade="BF"/>
    </w:rPr>
  </w:style>
  <w:style w:type="character" w:styleId="IntenseReference">
    <w:name w:val="Intense Reference"/>
    <w:basedOn w:val="DefaultParagraphFont"/>
    <w:uiPriority w:val="32"/>
    <w:qFormat/>
    <w:rsid w:val="005E7955"/>
    <w:rPr>
      <w:b/>
      <w:bCs/>
      <w:smallCaps/>
      <w:color w:val="B76E0B" w:themeColor="accent1" w:themeShade="BF"/>
      <w:spacing w:val="5"/>
    </w:rPr>
  </w:style>
  <w:style w:type="character" w:styleId="Hyperlink">
    <w:name w:val="Hyperlink"/>
    <w:basedOn w:val="DefaultParagraphFont"/>
    <w:uiPriority w:val="99"/>
    <w:unhideWhenUsed/>
    <w:rsid w:val="005E7955"/>
    <w:rPr>
      <w:color w:val="FFAE3E" w:themeColor="hyperlink"/>
      <w:u w:val="single"/>
    </w:rPr>
  </w:style>
  <w:style w:type="character" w:customStyle="1" w:styleId="UnresolvedMention">
    <w:name w:val="Unresolved Mention"/>
    <w:basedOn w:val="DefaultParagraphFont"/>
    <w:uiPriority w:val="99"/>
    <w:semiHidden/>
    <w:unhideWhenUsed/>
    <w:rsid w:val="005E7955"/>
    <w:rPr>
      <w:color w:val="605E5C"/>
      <w:shd w:val="clear" w:color="auto" w:fill="E1DFDD"/>
    </w:rPr>
  </w:style>
  <w:style w:type="paragraph" w:styleId="NormalWeb">
    <w:name w:val="Normal (Web)"/>
    <w:basedOn w:val="Normal"/>
    <w:uiPriority w:val="99"/>
    <w:semiHidden/>
    <w:unhideWhenUsed/>
    <w:rsid w:val="00586000"/>
    <w:rPr>
      <w:rFonts w:ascii="Times New Roman" w:hAnsi="Times New Roman" w:cs="Times New Roman"/>
      <w:sz w:val="24"/>
      <w:szCs w:val="30"/>
    </w:rPr>
  </w:style>
  <w:style w:type="paragraph" w:styleId="TOCHeading">
    <w:name w:val="TOC Heading"/>
    <w:basedOn w:val="Heading1"/>
    <w:next w:val="Normal"/>
    <w:uiPriority w:val="39"/>
    <w:unhideWhenUsed/>
    <w:qFormat/>
    <w:rsid w:val="00F70E27"/>
    <w:pPr>
      <w:spacing w:before="240" w:after="0" w:line="259" w:lineRule="auto"/>
      <w:jc w:val="left"/>
      <w:outlineLvl w:val="9"/>
    </w:pPr>
    <w:rPr>
      <w:rFonts w:asciiTheme="majorHAnsi" w:hAnsiTheme="majorHAnsi"/>
      <w:b w:val="0"/>
      <w:color w:val="B76E0B" w:themeColor="accent1" w:themeShade="BF"/>
      <w:szCs w:val="32"/>
      <w:lang w:val="en-US" w:bidi="ar-SA"/>
      <w14:ligatures w14:val="none"/>
    </w:rPr>
  </w:style>
  <w:style w:type="paragraph" w:styleId="TOC1">
    <w:name w:val="toc 1"/>
    <w:basedOn w:val="Normal"/>
    <w:next w:val="Normal"/>
    <w:autoRedefine/>
    <w:uiPriority w:val="39"/>
    <w:unhideWhenUsed/>
    <w:rsid w:val="00F70E27"/>
    <w:pPr>
      <w:spacing w:after="100"/>
    </w:pPr>
  </w:style>
  <w:style w:type="paragraph" w:styleId="Header">
    <w:name w:val="header"/>
    <w:basedOn w:val="Normal"/>
    <w:link w:val="HeaderChar"/>
    <w:uiPriority w:val="99"/>
    <w:unhideWhenUsed/>
    <w:rsid w:val="00575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F2D"/>
  </w:style>
  <w:style w:type="paragraph" w:styleId="Footer">
    <w:name w:val="footer"/>
    <w:basedOn w:val="Normal"/>
    <w:link w:val="FooterChar"/>
    <w:uiPriority w:val="99"/>
    <w:unhideWhenUsed/>
    <w:rsid w:val="00575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7AE23-B27E-4ED1-80C5-30CCEF603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8</Pages>
  <Words>2295</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hp</cp:lastModifiedBy>
  <cp:revision>92</cp:revision>
  <dcterms:created xsi:type="dcterms:W3CDTF">2026-08-08T18:30:00Z</dcterms:created>
  <dcterms:modified xsi:type="dcterms:W3CDTF">2026-08-17T22:34:00Z</dcterms:modified>
</cp:coreProperties>
</file>