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6F" w:rsidRPr="008B48A9" w:rsidRDefault="00E6656F" w:rsidP="00E6656F">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8B48A9">
        <w:rPr>
          <w:rFonts w:ascii="Arial" w:eastAsia="Times New Roman" w:hAnsi="Arial" w:cs="Arial"/>
          <w:b/>
          <w:color w:val="000000"/>
          <w:sz w:val="28"/>
          <w:szCs w:val="28"/>
          <w:lang w:eastAsia="en-GB"/>
        </w:rPr>
        <w:t>Task 4</w:t>
      </w:r>
    </w:p>
    <w:p w:rsidR="00E6656F" w:rsidRPr="008B48A9" w:rsidRDefault="00E6656F" w:rsidP="00E6656F">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E6656F" w:rsidRPr="008B48A9" w:rsidRDefault="00E6656F" w:rsidP="00E6656F">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8B48A9">
        <w:rPr>
          <w:rFonts w:ascii="Arial" w:eastAsia="Times New Roman" w:hAnsi="Arial" w:cs="Arial"/>
          <w:b/>
          <w:color w:val="000000"/>
          <w:sz w:val="28"/>
          <w:szCs w:val="28"/>
          <w:lang w:eastAsia="en-GB"/>
        </w:rPr>
        <w:t>Safeguarding in an area which is not your main area of work</w:t>
      </w:r>
    </w:p>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E6656F" w:rsidRPr="008B48A9" w:rsidRDefault="00E6656F" w:rsidP="00E6656F">
      <w:pPr>
        <w:overflowPunct w:val="0"/>
        <w:autoSpaceDE w:val="0"/>
        <w:autoSpaceDN w:val="0"/>
        <w:adjustRightInd w:val="0"/>
        <w:spacing w:after="0" w:line="240" w:lineRule="auto"/>
        <w:ind w:left="-90"/>
        <w:jc w:val="both"/>
        <w:textAlignment w:val="baseline"/>
        <w:rPr>
          <w:rFonts w:ascii="Arial" w:eastAsia="Times New Roman" w:hAnsi="Arial" w:cs="Arial"/>
          <w:b/>
          <w:i/>
          <w:color w:val="000000"/>
          <w:sz w:val="24"/>
          <w:szCs w:val="24"/>
          <w:lang w:eastAsia="en-GB"/>
        </w:rPr>
      </w:pPr>
      <w:r w:rsidRPr="008B48A9">
        <w:rPr>
          <w:rFonts w:ascii="Arial" w:eastAsia="Times New Roman" w:hAnsi="Arial" w:cs="Arial"/>
          <w:b/>
          <w:i/>
          <w:color w:val="000000"/>
          <w:sz w:val="24"/>
          <w:szCs w:val="24"/>
          <w:lang w:eastAsia="en-GB"/>
        </w:rPr>
        <w:t xml:space="preserve">Guidance: </w:t>
      </w:r>
    </w:p>
    <w:p w:rsidR="00E6656F" w:rsidRPr="008B48A9" w:rsidRDefault="00E6656F" w:rsidP="00E6656F">
      <w:pPr>
        <w:overflowPunct w:val="0"/>
        <w:autoSpaceDE w:val="0"/>
        <w:autoSpaceDN w:val="0"/>
        <w:adjustRightInd w:val="0"/>
        <w:spacing w:after="0" w:line="240" w:lineRule="auto"/>
        <w:ind w:left="-90"/>
        <w:jc w:val="both"/>
        <w:textAlignment w:val="baseline"/>
        <w:rPr>
          <w:rFonts w:ascii="Arial" w:eastAsia="Times New Roman" w:hAnsi="Arial" w:cs="Arial"/>
          <w:i/>
          <w:iCs/>
          <w:color w:val="000000"/>
          <w:sz w:val="24"/>
          <w:szCs w:val="24"/>
          <w:lang w:eastAsia="en-GB"/>
        </w:rPr>
      </w:pPr>
      <w:r w:rsidRPr="008B48A9">
        <w:rPr>
          <w:rFonts w:ascii="Arial" w:eastAsia="Times New Roman" w:hAnsi="Arial" w:cs="Arial"/>
          <w:i/>
          <w:iCs/>
          <w:color w:val="000000"/>
          <w:sz w:val="24"/>
          <w:szCs w:val="24"/>
          <w:lang w:eastAsia="en-GB"/>
        </w:rPr>
        <w:t xml:space="preserve">Social Care Wales require newly qualified social workers to provide evidence of their understanding of safeguarding work with adults and children. The assignment below will enable you to demonstrate this. </w:t>
      </w:r>
      <w:r w:rsidRPr="008B48A9">
        <w:rPr>
          <w:rFonts w:ascii="Arial" w:eastAsia="Times New Roman" w:hAnsi="Arial" w:cs="Arial"/>
          <w:b/>
          <w:bCs/>
          <w:i/>
          <w:iCs/>
          <w:color w:val="000000"/>
          <w:sz w:val="24"/>
          <w:szCs w:val="24"/>
          <w:lang w:eastAsia="en-GB"/>
        </w:rPr>
        <w:t>N.B</w:t>
      </w:r>
      <w:r w:rsidRPr="008B48A9">
        <w:rPr>
          <w:rFonts w:ascii="Arial" w:eastAsia="Times New Roman" w:hAnsi="Arial" w:cs="Arial"/>
          <w:i/>
          <w:iCs/>
          <w:color w:val="000000"/>
          <w:sz w:val="24"/>
          <w:szCs w:val="24"/>
          <w:lang w:eastAsia="en-GB"/>
        </w:rPr>
        <w:t>. if your usual area of work is with children please write about adult safeguarding. If you usually work with adults, then write about child safeguarding.  Ensure you meet the learning out comes for this task (see appendix 5 of the handbook).</w:t>
      </w:r>
    </w:p>
    <w:p w:rsidR="00E6656F" w:rsidRPr="008B48A9" w:rsidRDefault="00E6656F" w:rsidP="00E6656F">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656F" w:rsidRPr="008B48A9" w:rsidTr="005509FE">
        <w:tc>
          <w:tcPr>
            <w:tcW w:w="10188" w:type="dxa"/>
            <w:shd w:val="clear" w:color="auto" w:fill="auto"/>
          </w:tcPr>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8B48A9">
              <w:rPr>
                <w:rFonts w:ascii="Arial" w:eastAsia="Times New Roman" w:hAnsi="Arial" w:cs="Arial"/>
                <w:b/>
                <w:color w:val="000000"/>
                <w:sz w:val="24"/>
                <w:szCs w:val="24"/>
                <w:lang w:eastAsia="en-GB"/>
              </w:rPr>
              <w:t>Question a:</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In an area </w:t>
            </w:r>
            <w:r w:rsidRPr="008B48A9">
              <w:rPr>
                <w:rFonts w:ascii="Arial" w:eastAsia="Times New Roman" w:hAnsi="Arial" w:cs="Arial"/>
                <w:b/>
                <w:color w:val="000000"/>
                <w:sz w:val="24"/>
                <w:szCs w:val="24"/>
                <w:lang w:eastAsia="en-GB"/>
              </w:rPr>
              <w:t xml:space="preserve">that is not your main focus of work </w:t>
            </w:r>
            <w:r w:rsidRPr="008B48A9">
              <w:rPr>
                <w:rFonts w:ascii="Arial" w:eastAsia="Times New Roman" w:hAnsi="Arial" w:cs="Arial"/>
                <w:color w:val="000000"/>
                <w:sz w:val="24"/>
                <w:szCs w:val="24"/>
                <w:lang w:eastAsia="en-GB"/>
              </w:rPr>
              <w:t xml:space="preserve">(see guidance above), explain the relevant legislation, and the national, local and organisational policies and procedures for safeguarding. </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Section 130 of the Social Services and Wellbeing (Wales) Act 2014 (SSWBA, 14) remains a main piece of legislation in Wales underpinning children’s social care provision.  Section 130 of the Act defines ‘Child at Risk’ as a child who experiences or is at risk of abuse, neglect, or other kind of harm, and/or has needs for care and support. Section 130 places the ‘duty to report’ children at risk on every ‘relevant partner of local authority’. Similar to the term ‘Adult at risk’, the ‘child at risk’ means that the actual abuse or neglect does not need to be present, therefore a preventative function of safeguarding is highlighted (Gov.Uk. 2023). The exercise of safeguarding ‘Children and young people at risk of harm’ is further explored in Wales Safeguarding Procedures, where principles of safeguarding are explored and relevant terminology explained/ defined. </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Section 1 of the Safeguarding Procedures elaborates on the processes and methods to protect Children at risk. Once a referral under section 130 is received, social services must consider further steps to address the concerns and whether there are grounds to open an enquiry under section 47 of the Children’s Act 1989. If so, further process is regulated under Children’s Act 89 which places a duty to investigate the allegations of abuse or neglect on relevant agencies such as social services, police, education, and health, to build a full picture of the child or their family. The process must be overseen by social services. (Welsh Government, 2016). To promote and review multi-agency safeguarding, the Welsh Government </w:t>
            </w:r>
            <w:r w:rsidRPr="008B48A9">
              <w:rPr>
                <w:rFonts w:ascii="Arial" w:eastAsia="Times New Roman" w:hAnsi="Arial" w:cs="Arial"/>
                <w:color w:val="000000"/>
                <w:sz w:val="24"/>
                <w:szCs w:val="24"/>
                <w:lang w:eastAsia="en-GB"/>
              </w:rPr>
              <w:lastRenderedPageBreak/>
              <w:t xml:space="preserve">has introduced six regional Safeguarding Boards across Wales (Safeguarding Board Wales, 2022).  </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Following the section 47 investigation, due consideration needs to be given to whether a local authority can promote a child’s well-being under Part 3 of SSWBA or if a child is likely to suffer ‘significant harm’ and further actions to safeguard needs to be taken. If so, the Strategy Discussion involving all relevant agencies takes place to decide whether a child needs to be placed on the Child Protection Register under Children’s Act 89. The All Wales Protection Procedures provides clear procedures to guide agencies on how to carry out joint investigations, and particularly in what cases section 47 enquiries should lead to criminal investigations. The guidance on Part 7 of the SSWBA14 clarifies that ‘when the joint investigation takes place, the police have the lead for the criminal investigation and local authority has the lead for the section 47 enquiries and the child’s well-being.’ (Welsh Government, 2018) </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The principles of Part 7 of SSWBA 2014 reflect the United Nations Convention on the Rights of the Child (1990), meaning that a child’s best interest is always paramount and a child’s voice needs to be obtained. When possible, Children and young people should be supported to participate in the safeguarding process either in person or via independent advocacy, depending on age and ability. The child should always be seen and when possible speak to and listen. Professionals should also feedback to the child. The active offer should be utilised and the child’s first language and communication needs must be promoted (Ofsted, 2011; Gov. </w:t>
            </w:r>
            <w:proofErr w:type="spellStart"/>
            <w:r w:rsidRPr="008B48A9">
              <w:rPr>
                <w:rFonts w:ascii="Arial" w:eastAsia="Times New Roman" w:hAnsi="Arial" w:cs="Arial"/>
                <w:color w:val="000000"/>
                <w:sz w:val="24"/>
                <w:szCs w:val="24"/>
                <w:lang w:eastAsia="en-GB"/>
              </w:rPr>
              <w:t>Uk</w:t>
            </w:r>
            <w:proofErr w:type="spellEnd"/>
            <w:r w:rsidRPr="008B48A9">
              <w:rPr>
                <w:rFonts w:ascii="Arial" w:eastAsia="Times New Roman" w:hAnsi="Arial" w:cs="Arial"/>
                <w:color w:val="000000"/>
                <w:sz w:val="24"/>
                <w:szCs w:val="24"/>
                <w:lang w:eastAsia="en-GB"/>
              </w:rPr>
              <w:t xml:space="preserve">.) </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(Word Count – 521)</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i/>
                <w:color w:val="000000"/>
                <w:sz w:val="24"/>
                <w:szCs w:val="24"/>
                <w:lang w:eastAsia="en-GB"/>
              </w:rPr>
              <w:t>500 words</w:t>
            </w:r>
            <w:r w:rsidRPr="008B48A9">
              <w:rPr>
                <w:rFonts w:ascii="Arial" w:eastAsia="Times New Roman" w:hAnsi="Arial" w:cs="Arial"/>
                <w:color w:val="000000"/>
                <w:sz w:val="24"/>
                <w:szCs w:val="24"/>
                <w:lang w:eastAsia="en-GB"/>
              </w:rPr>
              <w:t xml:space="preserve"> (+/- 10%: include your actual word count at the end of each section).</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656F" w:rsidRPr="008B48A9" w:rsidTr="005509FE">
        <w:tc>
          <w:tcPr>
            <w:tcW w:w="10278" w:type="dxa"/>
            <w:shd w:val="clear" w:color="auto" w:fill="auto"/>
          </w:tcPr>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8B48A9">
              <w:rPr>
                <w:rFonts w:ascii="Arial" w:eastAsia="Times New Roman" w:hAnsi="Arial" w:cs="Arial"/>
                <w:b/>
                <w:color w:val="000000"/>
                <w:sz w:val="24"/>
                <w:szCs w:val="24"/>
                <w:lang w:eastAsia="en-GB"/>
              </w:rPr>
              <w:lastRenderedPageBreak/>
              <w:t>Question b:</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Reflect on the difference between safeguarding in adults’ and children’s work</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       </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Regardless several similarities between Adult and Children’s safeguarding resulting from the shared principles of the Social Services and Wellbeing (Wales) Act 2014, such as a person-centred approach, early intervention, or multiagency approach. There are also a number of differences, in adult and children’s work (Wales Safeguarding Procedures, 2019). Although SSWBA14 provides a legislative framework for both adults and children’s social care in Wales</w:t>
            </w:r>
            <w:proofErr w:type="gramStart"/>
            <w:r w:rsidRPr="008B48A9">
              <w:rPr>
                <w:rFonts w:ascii="Arial" w:eastAsia="Times New Roman" w:hAnsi="Arial" w:cs="Arial"/>
                <w:color w:val="000000"/>
                <w:sz w:val="24"/>
                <w:szCs w:val="24"/>
                <w:lang w:eastAsia="en-GB"/>
              </w:rPr>
              <w:t>,  and</w:t>
            </w:r>
            <w:proofErr w:type="gramEnd"/>
            <w:r w:rsidRPr="008B48A9">
              <w:rPr>
                <w:rFonts w:ascii="Arial" w:eastAsia="Times New Roman" w:hAnsi="Arial" w:cs="Arial"/>
                <w:color w:val="000000"/>
                <w:sz w:val="24"/>
                <w:szCs w:val="24"/>
                <w:lang w:eastAsia="en-GB"/>
              </w:rPr>
              <w:t xml:space="preserve"> Part 7 of the act describes the ways Local Authority and partner agencies should carry out their safeguarding functions, further processes are underpinned by a separate legislative framework (</w:t>
            </w:r>
            <w:proofErr w:type="spellStart"/>
            <w:r w:rsidRPr="008B48A9">
              <w:rPr>
                <w:rFonts w:ascii="Arial" w:eastAsia="Times New Roman" w:hAnsi="Arial" w:cs="Arial"/>
                <w:color w:val="000000"/>
                <w:sz w:val="24"/>
                <w:szCs w:val="24"/>
                <w:lang w:eastAsia="en-GB"/>
              </w:rPr>
              <w:t>Brammer</w:t>
            </w:r>
            <w:proofErr w:type="spellEnd"/>
            <w:r w:rsidRPr="008B48A9">
              <w:rPr>
                <w:rFonts w:ascii="Arial" w:eastAsia="Times New Roman" w:hAnsi="Arial" w:cs="Arial"/>
                <w:color w:val="000000"/>
                <w:sz w:val="24"/>
                <w:szCs w:val="24"/>
                <w:lang w:eastAsia="en-GB"/>
              </w:rPr>
              <w:t xml:space="preserve">,  2020). Part 7 of the Act and associated procedures inform Adult safeguarding, whilst children safeguarding continues to be guided by the Children’s Act 1987. </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As outlined by All Wales safeguarding procedures, a significant difference between adult’s and children’s work comes from a concept of mental capacity, which is further defined in the Mental Capacity Act 2005 and refers mainly to adults who have underlying conditions or circumstances that could affect their mental capacity. (Welsh Gov., 2019). The principle of MCA05 clarifies that an individual should always be assumed to have mental capacity until assessed otherwise, and if deemed lacking mental capacity, every decision should be made in their best interest. The capacity assessment is a decision-specific assessment and should be carried out each time a significant decision needs to be made. The MCA05 does apply to those over the age of 16 (MCA05).</w:t>
            </w: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In relation to an adult who has the mental capacity to decide for themselves, consent needs to be gained to carry out the investigation and MCA05 highlights their right to make unwise decisions. This is not the case in Children’s safeguarding. Although children should still be enabled to participate and express their views and wishes, consent does not need to be gained neither from a child nor from a parent to carry out an investigation or take further actions, as the child’s safety is seen as a main priority (WSP19; Welsh Government, 2018; CA89). Munroe, (2019) argues however, that consideration should be given to a child’s age and development and </w:t>
            </w:r>
            <w:r w:rsidRPr="008B48A9">
              <w:rPr>
                <w:rFonts w:ascii="Arial" w:eastAsia="Times New Roman" w:hAnsi="Arial" w:cs="Arial"/>
                <w:color w:val="000000"/>
                <w:sz w:val="24"/>
                <w:szCs w:val="24"/>
                <w:lang w:eastAsia="en-GB"/>
              </w:rPr>
              <w:lastRenderedPageBreak/>
              <w:t>a child’s competence to understand their situation may determine their right to decide for themselves or contribute to the decision being made for them, which is known as Gallick Competence (</w:t>
            </w:r>
            <w:proofErr w:type="spellStart"/>
            <w:r w:rsidRPr="008B48A9">
              <w:rPr>
                <w:rFonts w:ascii="Arial" w:eastAsia="Times New Roman" w:hAnsi="Arial" w:cs="Arial"/>
                <w:color w:val="000000"/>
                <w:sz w:val="24"/>
                <w:szCs w:val="24"/>
                <w:lang w:eastAsia="en-GB"/>
              </w:rPr>
              <w:t>Brammer</w:t>
            </w:r>
            <w:proofErr w:type="spellEnd"/>
            <w:r w:rsidRPr="008B48A9">
              <w:rPr>
                <w:rFonts w:ascii="Arial" w:eastAsia="Times New Roman" w:hAnsi="Arial" w:cs="Arial"/>
                <w:color w:val="000000"/>
                <w:sz w:val="24"/>
                <w:szCs w:val="24"/>
                <w:lang w:eastAsia="en-GB"/>
              </w:rPr>
              <w:t xml:space="preserve">, 2020). </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(word count: 378)</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8B48A9">
              <w:rPr>
                <w:rFonts w:ascii="Arial" w:eastAsia="Times New Roman" w:hAnsi="Arial" w:cs="Arial"/>
                <w:i/>
                <w:color w:val="000000"/>
                <w:sz w:val="24"/>
                <w:szCs w:val="24"/>
                <w:lang w:eastAsia="en-GB"/>
              </w:rPr>
              <w:t>400 words</w:t>
            </w:r>
            <w:r w:rsidRPr="008B48A9">
              <w:rPr>
                <w:rFonts w:ascii="Arial" w:eastAsia="Times New Roman" w:hAnsi="Arial" w:cs="Arial"/>
                <w:color w:val="000000"/>
                <w:sz w:val="24"/>
                <w:szCs w:val="24"/>
                <w:lang w:eastAsia="en-GB"/>
              </w:rPr>
              <w:t xml:space="preserve"> </w:t>
            </w:r>
            <w:r w:rsidRPr="008B48A9">
              <w:rPr>
                <w:rFonts w:ascii="Arial" w:eastAsia="Times New Roman" w:hAnsi="Arial" w:cs="Arial"/>
                <w:i/>
                <w:color w:val="000000"/>
                <w:sz w:val="24"/>
                <w:szCs w:val="24"/>
                <w:lang w:eastAsia="en-GB"/>
              </w:rPr>
              <w:t>(+/- 10%: include your actual word count at the end of each section).</w:t>
            </w:r>
          </w:p>
          <w:p w:rsidR="00E6656F" w:rsidRPr="008B48A9" w:rsidRDefault="00E6656F"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rsidR="00E6656F" w:rsidRPr="008B48A9" w:rsidRDefault="00E6656F" w:rsidP="00E6656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7A1A8A" w:rsidRDefault="007A1A8A">
      <w:bookmarkStart w:id="0" w:name="_GoBack"/>
      <w:bookmarkEnd w:id="0"/>
    </w:p>
    <w:sectPr w:rsidR="007A1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E5D"/>
    <w:rsid w:val="001B3E5D"/>
    <w:rsid w:val="007A1A8A"/>
    <w:rsid w:val="00E66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52E1D-45EC-4481-BFA3-2CF0221F3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5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1010</Words>
  <Characters>5758</Characters>
  <Application>Microsoft Office Word</Application>
  <DocSecurity>0</DocSecurity>
  <Lines>47</Lines>
  <Paragraphs>13</Paragraphs>
  <ScaleCrop>false</ScaleCrop>
  <Company>WCBC</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Jujka</dc:creator>
  <cp:keywords/>
  <dc:description/>
  <cp:lastModifiedBy>Dominika Jujka</cp:lastModifiedBy>
  <cp:revision>2</cp:revision>
  <dcterms:created xsi:type="dcterms:W3CDTF">2023-10-20T20:51:00Z</dcterms:created>
  <dcterms:modified xsi:type="dcterms:W3CDTF">2023-10-20T20:52:00Z</dcterms:modified>
</cp:coreProperties>
</file>