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A0622FE" w:rsidR="00986B43" w:rsidRPr="00E51039"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E51039">
              <w:rPr>
                <w:rFonts w:ascii="Times New Roman" w:hAnsi="Times New Roman" w:cs="Times New Roman"/>
                <w:b/>
                <w:color w:val="auto"/>
                <w:sz w:val="40"/>
                <w:szCs w:val="40"/>
              </w:rPr>
              <w:t>Learner’s name:</w:t>
            </w:r>
            <w:r w:rsidR="00247265" w:rsidRPr="00E51039">
              <w:rPr>
                <w:rFonts w:ascii="Times New Roman" w:hAnsi="Times New Roman" w:cs="Times New Roman"/>
                <w:b/>
                <w:color w:val="auto"/>
                <w:sz w:val="40"/>
                <w:szCs w:val="40"/>
              </w:rPr>
              <w:t xml:space="preserve"> </w:t>
            </w:r>
            <w:r w:rsidR="00E51039" w:rsidRPr="00E51039">
              <w:rPr>
                <w:rFonts w:ascii="Times New Roman" w:hAnsi="Times New Roman" w:cs="Times New Roman"/>
                <w:b/>
                <w:color w:val="auto"/>
                <w:sz w:val="40"/>
                <w:szCs w:val="40"/>
              </w:rPr>
              <w:t>Louise Davies</w:t>
            </w:r>
          </w:p>
          <w:p w14:paraId="0B6CD0DB" w14:textId="689515B5" w:rsidR="009C337F" w:rsidRPr="00E51039"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2C602B4E" w:rsidR="009C337F" w:rsidRPr="00E51039"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E51039">
              <w:rPr>
                <w:rFonts w:ascii="Times New Roman" w:hAnsi="Times New Roman" w:cs="Times New Roman"/>
                <w:b/>
                <w:color w:val="auto"/>
                <w:sz w:val="40"/>
                <w:szCs w:val="40"/>
              </w:rPr>
              <w:t xml:space="preserve">Email </w:t>
            </w:r>
            <w:proofErr w:type="gramStart"/>
            <w:r w:rsidRPr="00E51039">
              <w:rPr>
                <w:rFonts w:ascii="Times New Roman" w:hAnsi="Times New Roman" w:cs="Times New Roman"/>
                <w:b/>
                <w:color w:val="auto"/>
                <w:sz w:val="40"/>
                <w:szCs w:val="40"/>
              </w:rPr>
              <w:t>address:</w:t>
            </w:r>
            <w:r w:rsidR="00E51039" w:rsidRPr="00E51039">
              <w:rPr>
                <w:rFonts w:ascii="Times New Roman" w:hAnsi="Times New Roman" w:cs="Times New Roman"/>
                <w:b/>
                <w:color w:val="auto"/>
                <w:sz w:val="40"/>
                <w:szCs w:val="40"/>
              </w:rPr>
              <w:t>Louisedavies@carmarthenshire.gov.uk</w:t>
            </w:r>
            <w:proofErr w:type="gramEnd"/>
          </w:p>
          <w:p w14:paraId="22E38809" w14:textId="77777777" w:rsidR="00986B43" w:rsidRPr="00E51039"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53DD51C3" w:rsidR="00F927A1" w:rsidRPr="00E51039"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E51039">
              <w:rPr>
                <w:rFonts w:ascii="Times New Roman" w:hAnsi="Times New Roman" w:cs="Times New Roman"/>
                <w:b/>
                <w:color w:val="auto"/>
                <w:sz w:val="40"/>
                <w:szCs w:val="40"/>
              </w:rPr>
              <w:t>Learner’s University Registration</w:t>
            </w:r>
            <w:r w:rsidR="00F927A1" w:rsidRPr="00E51039">
              <w:rPr>
                <w:rFonts w:ascii="Times New Roman" w:hAnsi="Times New Roman" w:cs="Times New Roman"/>
                <w:b/>
                <w:color w:val="auto"/>
                <w:sz w:val="40"/>
                <w:szCs w:val="40"/>
              </w:rPr>
              <w:t xml:space="preserve"> Number:</w:t>
            </w:r>
            <w:r w:rsidR="00E51039" w:rsidRPr="00E51039">
              <w:rPr>
                <w:rFonts w:ascii="Times New Roman" w:hAnsi="Times New Roman" w:cs="Times New Roman"/>
                <w:b/>
                <w:color w:val="auto"/>
                <w:sz w:val="40"/>
                <w:szCs w:val="40"/>
              </w:rPr>
              <w:t xml:space="preserve"> 1303263</w:t>
            </w:r>
          </w:p>
          <w:p w14:paraId="622FD17A" w14:textId="77777777" w:rsidR="0085230E" w:rsidRPr="00E51039"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51039">
              <w:rPr>
                <w:rFonts w:ascii="Times New Roman" w:hAnsi="Times New Roman" w:cs="Times New Roman"/>
                <w:b/>
                <w:color w:val="auto"/>
                <w:sz w:val="40"/>
                <w:szCs w:val="40"/>
              </w:rPr>
              <w:t>Cohort: 1</w:t>
            </w:r>
            <w:r w:rsidR="000F1A97" w:rsidRPr="00E51039">
              <w:rPr>
                <w:rFonts w:ascii="Times New Roman" w:hAnsi="Times New Roman" w:cs="Times New Roman"/>
                <w:b/>
                <w:color w:val="auto"/>
                <w:sz w:val="40"/>
                <w:szCs w:val="40"/>
              </w:rPr>
              <w:t>8</w:t>
            </w:r>
            <w:r w:rsidR="00AE6231" w:rsidRPr="00E51039">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7B2A2B7" w14:textId="77777777" w:rsidR="00E51039" w:rsidRDefault="00E51039" w:rsidP="00E51039">
      <w:pP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Pr="00A62AD2" w:rsidRDefault="00BB7FD2" w:rsidP="00FF7EBB">
            <w:pPr>
              <w:jc w:val="both"/>
              <w:rPr>
                <w:b/>
                <w:bCs/>
                <w:sz w:val="24"/>
                <w:szCs w:val="24"/>
              </w:rPr>
            </w:pPr>
            <w:r w:rsidRPr="00A62AD2">
              <w:rPr>
                <w:b/>
                <w:bCs/>
                <w:sz w:val="24"/>
                <w:szCs w:val="24"/>
              </w:rPr>
              <w:t xml:space="preserve">In an area that is not your </w:t>
            </w:r>
            <w:proofErr w:type="gramStart"/>
            <w:r w:rsidRPr="00A62AD2">
              <w:rPr>
                <w:b/>
                <w:bCs/>
                <w:sz w:val="24"/>
                <w:szCs w:val="24"/>
              </w:rPr>
              <w:t>main focus</w:t>
            </w:r>
            <w:proofErr w:type="gramEnd"/>
            <w:r w:rsidRPr="00A62AD2">
              <w:rPr>
                <w:b/>
                <w:bCs/>
                <w:sz w:val="24"/>
                <w:szCs w:val="24"/>
              </w:rPr>
              <w:t xml:space="preserve"> of work (see guidance above), </w:t>
            </w:r>
            <w:r w:rsidR="0002440E" w:rsidRPr="00A62AD2">
              <w:rPr>
                <w:b/>
                <w:bCs/>
                <w:sz w:val="24"/>
                <w:szCs w:val="24"/>
              </w:rPr>
              <w:t>explain</w:t>
            </w:r>
            <w:r w:rsidR="008340BA" w:rsidRPr="00A62AD2">
              <w:rPr>
                <w:b/>
                <w:bCs/>
                <w:sz w:val="24"/>
                <w:szCs w:val="24"/>
              </w:rPr>
              <w:t xml:space="preserve"> </w:t>
            </w:r>
            <w:r w:rsidR="00DA22EC" w:rsidRPr="00A62AD2">
              <w:rPr>
                <w:b/>
                <w:bCs/>
                <w:sz w:val="24"/>
                <w:szCs w:val="24"/>
              </w:rPr>
              <w:t>the</w:t>
            </w:r>
            <w:r w:rsidR="005A545C" w:rsidRPr="00A62AD2">
              <w:rPr>
                <w:b/>
                <w:bCs/>
                <w:sz w:val="24"/>
                <w:szCs w:val="24"/>
              </w:rPr>
              <w:t xml:space="preserve"> relevant </w:t>
            </w:r>
            <w:r w:rsidRPr="00A62AD2">
              <w:rPr>
                <w:b/>
                <w:bCs/>
                <w:sz w:val="24"/>
                <w:szCs w:val="24"/>
              </w:rPr>
              <w:t xml:space="preserve">legislation, </w:t>
            </w:r>
            <w:r w:rsidR="0002440E" w:rsidRPr="00A62AD2">
              <w:rPr>
                <w:b/>
                <w:bCs/>
                <w:sz w:val="24"/>
                <w:szCs w:val="24"/>
              </w:rPr>
              <w:t>and</w:t>
            </w:r>
            <w:r w:rsidR="008340BA" w:rsidRPr="00A62AD2">
              <w:rPr>
                <w:b/>
                <w:bCs/>
                <w:sz w:val="24"/>
                <w:szCs w:val="24"/>
              </w:rPr>
              <w:t xml:space="preserve"> the </w:t>
            </w:r>
            <w:r w:rsidR="005A545C" w:rsidRPr="00A62AD2">
              <w:rPr>
                <w:b/>
                <w:bCs/>
                <w:sz w:val="24"/>
                <w:szCs w:val="24"/>
              </w:rPr>
              <w:t>national, local and organisational policies and procedures</w:t>
            </w:r>
            <w:r w:rsidRPr="00A62AD2">
              <w:rPr>
                <w:b/>
                <w:bCs/>
                <w:sz w:val="24"/>
                <w:szCs w:val="24"/>
              </w:rPr>
              <w:t xml:space="preserve"> for safeguarding. </w:t>
            </w:r>
          </w:p>
          <w:p w14:paraId="1FBBCFA0" w14:textId="77777777" w:rsidR="006108C9" w:rsidRDefault="006108C9" w:rsidP="00FF7EBB">
            <w:pPr>
              <w:jc w:val="both"/>
              <w:rPr>
                <w:sz w:val="24"/>
                <w:szCs w:val="24"/>
              </w:rPr>
            </w:pPr>
          </w:p>
          <w:p w14:paraId="40A07ABD" w14:textId="77777777" w:rsidR="00A62AD2" w:rsidRPr="00A62AD2" w:rsidRDefault="00A62AD2" w:rsidP="00A62AD2">
            <w:pPr>
              <w:pStyle w:val="NormalWeb"/>
              <w:spacing w:line="300" w:lineRule="atLeast"/>
              <w:rPr>
                <w:rFonts w:ascii="Arial" w:hAnsi="Arial" w:cs="Arial"/>
              </w:rPr>
            </w:pPr>
            <w:r w:rsidRPr="00A62AD2">
              <w:rPr>
                <w:rFonts w:ascii="Arial" w:hAnsi="Arial" w:cs="Arial"/>
              </w:rPr>
              <w:t>As a children's social worker, adult safeguarding sits outside my main area of practice. However, having a sound understanding of adult safeguarding in Wales is essential, as concerns about adults often arise when working with families and can have a significant impact on the safety and wellbeing of children.</w:t>
            </w:r>
          </w:p>
          <w:p w14:paraId="67916ADE"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The main legislation underpinning adult safeguarding in Wales is the Social Services and Well-being (Wales) Act 2014 (SSWBA 2014). The Act promotes the principles of wellbeing, prevention, early intervention, and ensuring individuals have voice and control over decisions affecting their lives. </w:t>
            </w:r>
            <w:r w:rsidRPr="00A62AD2">
              <w:rPr>
                <w:rStyle w:val="Strong"/>
                <w:rFonts w:ascii="Arial" w:hAnsi="Arial" w:cs="Arial"/>
                <w:b w:val="0"/>
                <w:bCs w:val="0"/>
              </w:rPr>
              <w:t>Part 7 of the Act places duties on local authorities, health boards and partner agencies to work together to safeguard adults at risk and promote their wellbeing.</w:t>
            </w:r>
            <w:r w:rsidRPr="00A62AD2">
              <w:rPr>
                <w:rFonts w:ascii="Arial" w:hAnsi="Arial" w:cs="Arial"/>
                <w:b/>
                <w:bCs/>
              </w:rPr>
              <w:t xml:space="preserve"> </w:t>
            </w:r>
            <w:r w:rsidRPr="00A62AD2">
              <w:rPr>
                <w:rFonts w:ascii="Arial" w:hAnsi="Arial" w:cs="Arial"/>
              </w:rPr>
              <w:t xml:space="preserve">An adult at risk is defined under </w:t>
            </w:r>
            <w:r w:rsidRPr="00A62AD2">
              <w:rPr>
                <w:rStyle w:val="Strong"/>
                <w:rFonts w:ascii="Arial" w:hAnsi="Arial" w:cs="Arial"/>
                <w:b w:val="0"/>
                <w:bCs w:val="0"/>
              </w:rPr>
              <w:t>Section 126</w:t>
            </w:r>
            <w:r w:rsidRPr="00A62AD2">
              <w:rPr>
                <w:rFonts w:ascii="Arial" w:hAnsi="Arial" w:cs="Arial"/>
              </w:rPr>
              <w:t xml:space="preserve"> as someone aged 18 or over who is experiencing, or is at risk of, abuse or neglect, has needs for care and support, and is unable to protect themselves because of those needs (SSWBA 2014, s.126). Section 126 also places a duty on local authorities to make enquiries where they suspect an adult may be at risk. Furthermore, </w:t>
            </w:r>
            <w:r w:rsidRPr="00A62AD2">
              <w:rPr>
                <w:rStyle w:val="Strong"/>
                <w:rFonts w:ascii="Arial" w:hAnsi="Arial" w:cs="Arial"/>
                <w:b w:val="0"/>
                <w:bCs w:val="0"/>
              </w:rPr>
              <w:t>Section 128 places a duty on relevant partners, including local authorities, health boards and police services, to report concerns where an adult may be at risk of abuse or neglect</w:t>
            </w:r>
            <w:r w:rsidRPr="00A62AD2">
              <w:rPr>
                <w:rFonts w:ascii="Arial" w:hAnsi="Arial" w:cs="Arial"/>
              </w:rPr>
              <w:t xml:space="preserve"> (SSWBA 2014).</w:t>
            </w:r>
          </w:p>
          <w:p w14:paraId="50BDA80E"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The Act is supported by the Wales Safeguarding Procedures, which provide a consistent national framework for responding to safeguarding concerns (Safeguarding Wales, 2019). These procedures help practitioners recognise, report and respond to abuse or neglect and emphasise that action can be taken before actual harm occurs (Safeguarding Wales, 2019). This reflects the preventative approach embedded within Welsh legislation and highlights the importance of identifying concerns at the earliest opportunity (SSWBA 2014). Abuse or </w:t>
            </w:r>
            <w:r w:rsidRPr="00A62AD2">
              <w:rPr>
                <w:rFonts w:ascii="Arial" w:hAnsi="Arial" w:cs="Arial"/>
              </w:rPr>
              <w:lastRenderedPageBreak/>
              <w:t>neglect may occur as a single incident or develop over time, and practitioners must remain alert to both immediate risks and patterns of concern (Safeguarding Wales, 2019).</w:t>
            </w:r>
          </w:p>
          <w:p w14:paraId="16E50006" w14:textId="77777777" w:rsidR="00A62AD2" w:rsidRPr="00A62AD2" w:rsidRDefault="00A62AD2" w:rsidP="00A62AD2">
            <w:pPr>
              <w:pStyle w:val="NormalWeb"/>
              <w:spacing w:line="300" w:lineRule="atLeast"/>
              <w:rPr>
                <w:rFonts w:ascii="Arial" w:hAnsi="Arial" w:cs="Arial"/>
              </w:rPr>
            </w:pPr>
            <w:r w:rsidRPr="00A62AD2">
              <w:rPr>
                <w:rFonts w:ascii="Arial" w:hAnsi="Arial" w:cs="Arial"/>
              </w:rPr>
              <w:t>Safeguarding in Wales relies heavily on effective multi-agency working. Under Part 7 of the SSWBA 2014, agencies work together through Regional Safeguarding Boards, bringing together local authorities, health boards, police and third-sector organisations to coordinate safeguarding activity and improve outcomes for adults at risk (SSWBA 2014; Social Care Wales, 2025). These partnerships help ensure a consistent and joined-up response across services (Social Care Wales, 2025).</w:t>
            </w:r>
          </w:p>
          <w:p w14:paraId="6A3E9EF9"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Further guidance is provided through </w:t>
            </w:r>
            <w:r w:rsidRPr="00A62AD2">
              <w:rPr>
                <w:rStyle w:val="Emphasis"/>
                <w:rFonts w:ascii="Arial" w:hAnsi="Arial" w:cs="Arial"/>
              </w:rPr>
              <w:t>Working Together to Safeguard People: Code of Safeguarding Practice</w:t>
            </w:r>
            <w:r w:rsidRPr="00A62AD2">
              <w:rPr>
                <w:rFonts w:ascii="Arial" w:hAnsi="Arial" w:cs="Arial"/>
              </w:rPr>
              <w:t>, which outlines safeguarding responsibilities and expectations for agencies across Wales (Welsh Government, 2022). This guidance reinforces the importance of information sharing, professional curiosity and collaborative working to protect adults from abuse and neglect (Welsh Government, 2022).</w:t>
            </w:r>
          </w:p>
          <w:p w14:paraId="7F65AA84" w14:textId="77777777" w:rsidR="00A62AD2" w:rsidRPr="00A62AD2" w:rsidRDefault="00A62AD2" w:rsidP="00A62AD2">
            <w:pPr>
              <w:pStyle w:val="NormalWeb"/>
              <w:spacing w:line="300" w:lineRule="atLeast"/>
              <w:rPr>
                <w:rFonts w:ascii="Arial" w:hAnsi="Arial" w:cs="Arial"/>
              </w:rPr>
            </w:pPr>
            <w:r w:rsidRPr="00A62AD2">
              <w:rPr>
                <w:rFonts w:ascii="Arial" w:hAnsi="Arial" w:cs="Arial"/>
              </w:rPr>
              <w:t>Several other pieces of legislation support safeguarding practice. The Mental Capacity Act 2005 provides a legal framework for supporting adults who may lack capacity to make certain decisions and ensures decisions are made in their best interests (Mental Capacity Act 2005). The Human Rights Act 1998 reminds practitioners that safeguarding interventions must respect individual rights, dignity and autonomy (Human Rights Act 1998). The Equality Act 2010 protects individuals from discrimination and promotes equal access to services (Equality Act 2010). In Wales, the Well-being of Future Generations (Wales) Act 2015 further supports preventative and collaborative approaches that contribute to safer communities and improved wellbeing (Well-being of Future Generations (Wales) Act 2015).</w:t>
            </w:r>
          </w:p>
          <w:p w14:paraId="7A4B9804" w14:textId="77777777" w:rsidR="00A62AD2" w:rsidRPr="00A62AD2" w:rsidRDefault="00A62AD2" w:rsidP="00A62AD2">
            <w:pPr>
              <w:pStyle w:val="NormalWeb"/>
              <w:spacing w:line="300" w:lineRule="atLeast"/>
              <w:rPr>
                <w:rFonts w:ascii="Arial" w:hAnsi="Arial" w:cs="Arial"/>
              </w:rPr>
            </w:pPr>
            <w:r w:rsidRPr="00A62AD2">
              <w:rPr>
                <w:rFonts w:ascii="Arial" w:hAnsi="Arial" w:cs="Arial"/>
              </w:rPr>
              <w:t>At a local and organisational level, safeguarding responsibilities are reflected in policies and procedures that align with national legislation and guidance (Welsh Government, 2022; Safeguarding Wales, 2019). These policies outline staff responsibilities, referral pathways, information-sharing arrangements and recording expectations. They also include safer recruitment practices, whistleblowing procedures and safeguarding training to ensure staff are equipped to identify and respond appropriately to concerns (Welsh Government, 2022).</w:t>
            </w:r>
          </w:p>
          <w:p w14:paraId="4113BA47" w14:textId="77777777" w:rsidR="00A62AD2" w:rsidRPr="00A62AD2" w:rsidRDefault="00A62AD2" w:rsidP="00A62AD2">
            <w:pPr>
              <w:pStyle w:val="NormalWeb"/>
              <w:spacing w:line="300" w:lineRule="atLeast"/>
              <w:rPr>
                <w:rFonts w:ascii="Arial" w:hAnsi="Arial" w:cs="Arial"/>
              </w:rPr>
            </w:pPr>
            <w:r w:rsidRPr="00A62AD2">
              <w:rPr>
                <w:rFonts w:ascii="Arial" w:hAnsi="Arial" w:cs="Arial"/>
              </w:rPr>
              <w:t>Adults may be vulnerable to abuse or neglect for a variety of reasons, including mental ill-health, learning disabilities, cognitive impairment, substance misuse, social isolation or experiences of domestic abuse (Safeguarding Wales, 2019). Signs of abuse can include unexplained injuries, poor hygiene, sudden changes in behaviour, emotional distress, financial difficulties or evidence of neglect (Safeguarding Wales, 2019). Practitioners must remain attentive to these indicators and consider the wider context of an individual's circumstances.</w:t>
            </w:r>
          </w:p>
          <w:p w14:paraId="2CDE1421"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Although my primary role is within children's services, I regularly work alongside parents, carers and other adults who may require support and protection. Understanding the adult safeguarding framework in Wales enables me to recognise concerns, make appropriate referrals and work effectively with partner agencies (Safeguarding Wales, 2019; Welsh </w:t>
            </w:r>
            <w:r w:rsidRPr="00A62AD2">
              <w:rPr>
                <w:rFonts w:ascii="Arial" w:hAnsi="Arial" w:cs="Arial"/>
              </w:rPr>
              <w:lastRenderedPageBreak/>
              <w:t>Government, 2022). It also helps me take a holistic approach to safeguarding, recognising that the wellbeing of adults and children is often closely connected.</w:t>
            </w:r>
          </w:p>
          <w:p w14:paraId="5EB703C3" w14:textId="77777777" w:rsidR="00A62AD2" w:rsidRDefault="00A62AD2" w:rsidP="00A62AD2">
            <w:pPr>
              <w:pStyle w:val="NormalWeb"/>
              <w:spacing w:line="300" w:lineRule="atLeast"/>
              <w:rPr>
                <w:rFonts w:ascii="Segoe UI" w:hAnsi="Segoe UI" w:cs="Segoe UI"/>
                <w:sz w:val="21"/>
                <w:szCs w:val="21"/>
              </w:rPr>
            </w:pPr>
            <w:r>
              <w:rPr>
                <w:rStyle w:val="Strong"/>
                <w:rFonts w:ascii="Segoe UI" w:hAnsi="Segoe UI" w:cs="Segoe UI"/>
                <w:sz w:val="21"/>
                <w:szCs w:val="21"/>
              </w:rPr>
              <w:t>Word Count: approximately 640</w:t>
            </w:r>
          </w:p>
          <w:p w14:paraId="4431FDFB" w14:textId="428CC700" w:rsidR="00F24CD2" w:rsidRDefault="00F24CD2" w:rsidP="00F24CD2">
            <w:pPr>
              <w:overflowPunct/>
              <w:autoSpaceDE/>
              <w:autoSpaceDN/>
              <w:adjustRightInd/>
              <w:spacing w:before="100" w:beforeAutospacing="1" w:after="100" w:afterAutospacing="1" w:line="300" w:lineRule="atLeast"/>
              <w:textAlignment w:val="auto"/>
              <w:rPr>
                <w:b/>
                <w:bCs/>
                <w:color w:val="auto"/>
                <w:sz w:val="24"/>
                <w:szCs w:val="24"/>
              </w:rPr>
            </w:pPr>
          </w:p>
          <w:p w14:paraId="20E2CFCB"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16412662"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70D85EB6"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6A49EFD9"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132EECFA"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360E29E1"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5DE620BE"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1C7AA523"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219E1290"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18772B8B"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35FC0D28"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65BCBB20"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4E42E85F"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6AC8C010"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01207324"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465828BB"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333EA435" w14:textId="77777777" w:rsidR="00E51039" w:rsidRDefault="00E51039" w:rsidP="00E51039">
            <w:pPr>
              <w:overflowPunct/>
              <w:autoSpaceDE/>
              <w:autoSpaceDN/>
              <w:adjustRightInd/>
              <w:spacing w:before="100" w:beforeAutospacing="1" w:after="100" w:afterAutospacing="1" w:line="300" w:lineRule="atLeast"/>
              <w:textAlignment w:val="auto"/>
              <w:rPr>
                <w:b/>
                <w:bCs/>
                <w:color w:val="auto"/>
                <w:sz w:val="24"/>
                <w:szCs w:val="24"/>
              </w:rPr>
            </w:pPr>
          </w:p>
          <w:p w14:paraId="4944B885" w14:textId="3D8094E8" w:rsidR="00E51039" w:rsidRPr="00272FA7" w:rsidRDefault="00E51039" w:rsidP="00272FA7">
            <w:pPr>
              <w:overflowPunct/>
              <w:autoSpaceDE/>
              <w:autoSpaceDN/>
              <w:adjustRightInd/>
              <w:spacing w:before="100" w:beforeAutospacing="1" w:after="100" w:afterAutospacing="1" w:line="300" w:lineRule="atLeast"/>
              <w:textAlignment w:val="auto"/>
              <w:outlineLvl w:val="1"/>
              <w:rPr>
                <w:rFonts w:ascii="Segoe UI" w:hAnsi="Segoe UI" w:cs="Segoe UI"/>
                <w:b/>
                <w:bCs/>
                <w:color w:val="auto"/>
                <w:sz w:val="36"/>
                <w:szCs w:val="36"/>
              </w:rPr>
            </w:pPr>
          </w:p>
          <w:p w14:paraId="5E5571C1" w14:textId="77777777" w:rsidR="00E51039" w:rsidRPr="00A62AD2" w:rsidRDefault="00E51039" w:rsidP="00FF7EBB">
            <w:pPr>
              <w:jc w:val="both"/>
              <w:rPr>
                <w:sz w:val="24"/>
                <w:szCs w:val="24"/>
              </w:rPr>
            </w:pPr>
          </w:p>
          <w:p w14:paraId="22BC99B1" w14:textId="77777777" w:rsidR="00E51039" w:rsidRDefault="00E51039" w:rsidP="00FF7EBB">
            <w:pPr>
              <w:jc w:val="both"/>
              <w:rPr>
                <w:sz w:val="24"/>
                <w:szCs w:val="24"/>
              </w:rPr>
            </w:pPr>
          </w:p>
          <w:p w14:paraId="77E61790" w14:textId="77777777" w:rsidR="00E51039" w:rsidRDefault="00E51039"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Pr="00E51039" w:rsidRDefault="00FC0334" w:rsidP="00FC0334">
            <w:pPr>
              <w:jc w:val="both"/>
              <w:rPr>
                <w:b/>
                <w:bCs/>
                <w:sz w:val="24"/>
                <w:szCs w:val="24"/>
              </w:rPr>
            </w:pPr>
            <w:r w:rsidRPr="00E51039">
              <w:rPr>
                <w:b/>
                <w:bCs/>
                <w:sz w:val="24"/>
                <w:szCs w:val="24"/>
              </w:rPr>
              <w:t>Reflect on the difference between safeguarding in adult</w:t>
            </w:r>
            <w:r w:rsidR="00C63CAB" w:rsidRPr="00E51039">
              <w:rPr>
                <w:b/>
                <w:bCs/>
                <w:sz w:val="24"/>
                <w:szCs w:val="24"/>
              </w:rPr>
              <w:t>s’</w:t>
            </w:r>
            <w:r w:rsidRPr="00E51039">
              <w:rPr>
                <w:b/>
                <w:bCs/>
                <w:sz w:val="24"/>
                <w:szCs w:val="24"/>
              </w:rPr>
              <w:t xml:space="preserve"> and children</w:t>
            </w:r>
            <w:r w:rsidR="007A628F" w:rsidRPr="00E51039">
              <w:rPr>
                <w:b/>
                <w:bCs/>
                <w:sz w:val="24"/>
                <w:szCs w:val="24"/>
              </w:rPr>
              <w:t>’s</w:t>
            </w:r>
            <w:r w:rsidRPr="00E51039">
              <w:rPr>
                <w:b/>
                <w:bCs/>
                <w:sz w:val="24"/>
                <w:szCs w:val="24"/>
              </w:rPr>
              <w:t xml:space="preserve"> work</w:t>
            </w:r>
          </w:p>
          <w:p w14:paraId="30A64FC6" w14:textId="77777777" w:rsidR="00E51039" w:rsidRDefault="00E51039" w:rsidP="00E51039">
            <w:pPr>
              <w:overflowPunct/>
              <w:autoSpaceDE/>
              <w:autoSpaceDN/>
              <w:adjustRightInd/>
              <w:spacing w:before="100" w:beforeAutospacing="1" w:after="100" w:afterAutospacing="1" w:line="300" w:lineRule="atLeast"/>
              <w:textAlignment w:val="auto"/>
              <w:rPr>
                <w:sz w:val="24"/>
                <w:szCs w:val="24"/>
              </w:rPr>
            </w:pPr>
          </w:p>
          <w:p w14:paraId="3C51C8DB" w14:textId="77777777" w:rsidR="00A62AD2" w:rsidRPr="00A62AD2" w:rsidRDefault="00A62AD2" w:rsidP="00A62AD2">
            <w:pPr>
              <w:pStyle w:val="NormalWeb"/>
              <w:spacing w:line="300" w:lineRule="atLeast"/>
              <w:rPr>
                <w:rFonts w:ascii="Arial" w:hAnsi="Arial" w:cs="Arial"/>
              </w:rPr>
            </w:pPr>
            <w:r w:rsidRPr="00A62AD2">
              <w:rPr>
                <w:rFonts w:ascii="Arial" w:hAnsi="Arial" w:cs="Arial"/>
              </w:rPr>
              <w:t>As a children's social worker, reflecting on the differences between safeguarding children and adults has helped me develop a broader understanding of how safeguarding responsibilities are applied across different areas of practice. Although both aim to protect individuals from abuse, neglect and harm, there are significant differences in how decisions are made, the role of consent, and the balance between protection and individual rights.</w:t>
            </w:r>
          </w:p>
          <w:p w14:paraId="289350ED" w14:textId="77777777" w:rsidR="00A62AD2" w:rsidRPr="00A62AD2" w:rsidRDefault="00A62AD2" w:rsidP="00A62AD2">
            <w:pPr>
              <w:pStyle w:val="NormalWeb"/>
              <w:spacing w:line="300" w:lineRule="atLeast"/>
              <w:rPr>
                <w:rFonts w:ascii="Arial" w:hAnsi="Arial" w:cs="Arial"/>
              </w:rPr>
            </w:pPr>
            <w:r w:rsidRPr="00A62AD2">
              <w:rPr>
                <w:rFonts w:ascii="Arial" w:hAnsi="Arial" w:cs="Arial"/>
              </w:rPr>
              <w:t>One of the most significant differences is the legal and ethical approach to autonomy and capacity. In children's services, safeguarding is underpinned by the Children Act 1989, the Children Act 2004, the Social Services and Well-being (Wales) Act 2014 (SSWBA 2014) and the Wales Safeguarding Procedures (Safeguarding Wales, 2019). These frameworks are based on the principle that the child's welfare is paramount when decisions are made regarding their safety and wellbeing (Children Act 1989; SSWBA 2014). Children are recognised as inherently vulnerable due to their age and developmental stage, meaning professionals have a duty to intervene when there is a risk of significant harm, even if this is contrary to the wishes of the child or their parents.</w:t>
            </w:r>
          </w:p>
          <w:p w14:paraId="369465FF"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In contrast, adult safeguarding in Wales is primarily guided by </w:t>
            </w:r>
            <w:r w:rsidRPr="00A62AD2">
              <w:rPr>
                <w:rStyle w:val="Strong"/>
                <w:rFonts w:ascii="Arial" w:hAnsi="Arial" w:cs="Arial"/>
                <w:b w:val="0"/>
                <w:bCs w:val="0"/>
              </w:rPr>
              <w:t>Part 7 of the Social Services and Well-being (Wales) Act 2014</w:t>
            </w:r>
            <w:r w:rsidRPr="00A62AD2">
              <w:rPr>
                <w:rFonts w:ascii="Arial" w:hAnsi="Arial" w:cs="Arial"/>
              </w:rPr>
              <w:t>, the Mental Capacity Act 2005 (MCA 2005) and the Wales Safeguarding Procedures (Safeguarding Wales, 2019). Adults are presumed to have capacity unless proven otherwise and have the right to make decisions about their own lives, including decisions that others may consider unwise (Mental Capacity Act 2005). The MCA 2005 is founded on five key principles: assuming capacity, supporting decision-making, respecting unwise decisions, acting in a person's best interests where capacity is lacking, and using the least restrictive option possible. As a result, adult safeguarding is generally more collaborative and empowering than children's safeguarding.</w:t>
            </w:r>
          </w:p>
          <w:p w14:paraId="7619AF91" w14:textId="77777777" w:rsidR="00A62AD2" w:rsidRPr="00A62AD2" w:rsidRDefault="00A62AD2" w:rsidP="00A62AD2">
            <w:pPr>
              <w:pStyle w:val="NormalWeb"/>
              <w:spacing w:line="300" w:lineRule="atLeast"/>
              <w:rPr>
                <w:rFonts w:ascii="Arial" w:hAnsi="Arial" w:cs="Arial"/>
              </w:rPr>
            </w:pPr>
            <w:r w:rsidRPr="00A62AD2">
              <w:rPr>
                <w:rFonts w:ascii="Arial" w:hAnsi="Arial" w:cs="Arial"/>
              </w:rPr>
              <w:t>A further difference relates to consent. When significant safeguarding concerns exist for a child, local authorities have a legal duty to investigate under Section 47 of the Children Act 1989. These enquiries can proceed without parental consent if necessary to protect the child. As a children's social worker, I have experienced situations where protective action was required despite parental disagreement because the child's safety could not be compromised. In adult safeguarding, however, practitioners must usually seek and respect the adult's wishes. Adults with capacity can choose to refuse support or safeguarding intervention, even when professionals remain concerned. Intervention without consent is generally only justified where the adult lacks capacity, is subject to coercion or undue influence, or where others may be at risk (Mental Capacity Act 2005; Safeguarding Wales, 2019).</w:t>
            </w:r>
          </w:p>
          <w:p w14:paraId="527135E6" w14:textId="77777777" w:rsidR="00A62AD2" w:rsidRPr="00A62AD2" w:rsidRDefault="00A62AD2" w:rsidP="00A62AD2">
            <w:pPr>
              <w:pStyle w:val="NormalWeb"/>
              <w:spacing w:line="300" w:lineRule="atLeast"/>
              <w:rPr>
                <w:rFonts w:ascii="Arial" w:hAnsi="Arial" w:cs="Arial"/>
              </w:rPr>
            </w:pPr>
            <w:r w:rsidRPr="00A62AD2">
              <w:rPr>
                <w:rFonts w:ascii="Arial" w:hAnsi="Arial" w:cs="Arial"/>
              </w:rPr>
              <w:t xml:space="preserve">The way capacity is assessed also differs. Capacity assessments under the MCA 2005 apply to individuals aged 16 and over. For younger children, decision-making is guided by </w:t>
            </w:r>
            <w:r w:rsidRPr="00A62AD2">
              <w:rPr>
                <w:rFonts w:ascii="Arial" w:hAnsi="Arial" w:cs="Arial"/>
              </w:rPr>
              <w:lastRenderedPageBreak/>
              <w:t>Gillick competence and the Fraser Guidelines, which help determine whether a child possesses sufficient maturity and understanding to make specific decisions independently (NSPCC, 2022). However, even where a child is considered competent, safeguarding concerns may override their wishes if intervention is necessary to prevent harm.</w:t>
            </w:r>
          </w:p>
          <w:p w14:paraId="5C2DABDE" w14:textId="77777777" w:rsidR="00A62AD2" w:rsidRPr="00A62AD2" w:rsidRDefault="00A62AD2" w:rsidP="00A62AD2">
            <w:pPr>
              <w:pStyle w:val="NormalWeb"/>
              <w:spacing w:line="300" w:lineRule="atLeast"/>
              <w:rPr>
                <w:rFonts w:ascii="Arial" w:hAnsi="Arial" w:cs="Arial"/>
              </w:rPr>
            </w:pPr>
            <w:r w:rsidRPr="00A62AD2">
              <w:rPr>
                <w:rFonts w:ascii="Arial" w:hAnsi="Arial" w:cs="Arial"/>
              </w:rPr>
              <w:t>Overall, this reflection has highlighted that safeguarding children is generally more protective and directive, with professionals taking responsibility for ensuring safety. Adult safeguarding, whilst equally focused on preventing harm, places greater emphasis on choice, independence and empowerment. Understanding these differences has strengthened my ability to work across services and reinforced the importance of balancing protection with individual rights when making safeguarding decisions.</w:t>
            </w:r>
          </w:p>
          <w:p w14:paraId="619F763D" w14:textId="194C4C57" w:rsidR="00E51039" w:rsidRDefault="00A62AD2"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r>
              <w:rPr>
                <w:rFonts w:ascii="Segoe UI" w:hAnsi="Segoe UI" w:cs="Segoe UI"/>
                <w:b/>
                <w:bCs/>
                <w:color w:val="auto"/>
                <w:sz w:val="21"/>
                <w:szCs w:val="21"/>
              </w:rPr>
              <w:t>Word count 560</w:t>
            </w:r>
          </w:p>
          <w:p w14:paraId="211B11A6"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346DAA75"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6ED8EF4D"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17ADEB34"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5080C2FB"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7F368421"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36B2C3F7"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496658FB"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54FDE3B8"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05F9D224"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6F9CF172"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385F7B4A" w14:textId="77777777" w:rsid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0A5C6D4F" w14:textId="24A90BDA" w:rsidR="00E51039" w:rsidRPr="00E51039" w:rsidRDefault="00E51039" w:rsidP="00E51039">
            <w:pPr>
              <w:overflowPunct/>
              <w:autoSpaceDE/>
              <w:autoSpaceDN/>
              <w:adjustRightInd/>
              <w:spacing w:before="100" w:beforeAutospacing="1" w:after="100" w:afterAutospacing="1" w:line="300" w:lineRule="atLeast"/>
              <w:textAlignment w:val="auto"/>
              <w:rPr>
                <w:rFonts w:ascii="Segoe UI" w:hAnsi="Segoe UI" w:cs="Segoe UI"/>
                <w:b/>
                <w:bCs/>
                <w:color w:val="auto"/>
                <w:sz w:val="21"/>
                <w:szCs w:val="21"/>
              </w:rPr>
            </w:pPr>
          </w:p>
          <w:p w14:paraId="67E7ED72"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E51039">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25CB0" w14:textId="77777777" w:rsidR="000053A5" w:rsidRDefault="000053A5">
      <w:r>
        <w:separator/>
      </w:r>
    </w:p>
  </w:endnote>
  <w:endnote w:type="continuationSeparator" w:id="0">
    <w:p w14:paraId="5420D539" w14:textId="77777777" w:rsidR="000053A5" w:rsidRDefault="00005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169F2" w14:textId="77777777" w:rsidR="000053A5" w:rsidRDefault="000053A5">
      <w:r>
        <w:separator/>
      </w:r>
    </w:p>
  </w:footnote>
  <w:footnote w:type="continuationSeparator" w:id="0">
    <w:p w14:paraId="375A84FA" w14:textId="77777777" w:rsidR="000053A5" w:rsidRDefault="000053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3A5"/>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00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0AA3"/>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FA7"/>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5A5"/>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58FA"/>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043"/>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AD2"/>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47A2"/>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149"/>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039"/>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CD2"/>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949"/>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A62A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62AD2"/>
    <w:rPr>
      <w:b/>
      <w:bCs/>
    </w:rPr>
  </w:style>
  <w:style w:type="character" w:styleId="Emphasis">
    <w:name w:val="Emphasis"/>
    <w:basedOn w:val="DefaultParagraphFont"/>
    <w:uiPriority w:val="20"/>
    <w:qFormat/>
    <w:rsid w:val="00A62A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1487</Words>
  <Characters>8961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 Louise Davies</cp:lastModifiedBy>
  <cp:revision>2</cp:revision>
  <cp:lastPrinted>2020-02-11T19:20:00Z</cp:lastPrinted>
  <dcterms:created xsi:type="dcterms:W3CDTF">2026-10-06T17:31:00Z</dcterms:created>
  <dcterms:modified xsi:type="dcterms:W3CDTF">2026-10-06T17:31:00Z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