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8240"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7129F62E"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DF7135">
        <w:rPr>
          <w:rFonts w:ascii="Arial" w:hAnsi="Arial" w:cs="Arial"/>
          <w:sz w:val="28"/>
          <w:szCs w:val="28"/>
          <w:lang w:val="nl-NL"/>
        </w:rPr>
        <w:t xml:space="preserve"> Senica Camara</w:t>
      </w:r>
    </w:p>
    <w:p w14:paraId="3C83A8A7" w14:textId="45B943A8"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DF7135">
        <w:rPr>
          <w:rFonts w:ascii="Arial" w:hAnsi="Arial" w:cs="Arial"/>
          <w:sz w:val="28"/>
          <w:szCs w:val="28"/>
          <w:lang w:val="nl-NL"/>
        </w:rPr>
        <w:t xml:space="preserve"> 2417502</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2544378A"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580AA9">
        <w:rPr>
          <w:rFonts w:ascii="Arial" w:hAnsi="Arial" w:cs="Arial"/>
          <w:sz w:val="28"/>
          <w:szCs w:val="28"/>
          <w:lang w:val="nl-NL"/>
        </w:rPr>
        <w:t>I</w:t>
      </w:r>
      <w:r w:rsidR="002626DC">
        <w:rPr>
          <w:rFonts w:ascii="Arial" w:hAnsi="Arial" w:cs="Arial"/>
          <w:sz w:val="28"/>
          <w:szCs w:val="28"/>
          <w:lang w:val="nl-NL"/>
        </w:rPr>
        <w:t>ntrodu</w:t>
      </w:r>
      <w:r w:rsidR="004C3A4D">
        <w:rPr>
          <w:rFonts w:ascii="Arial" w:hAnsi="Arial" w:cs="Arial"/>
          <w:sz w:val="28"/>
          <w:szCs w:val="28"/>
          <w:lang w:val="nl-NL"/>
        </w:rPr>
        <w:t>ction To P</w:t>
      </w:r>
      <w:r w:rsidR="00842CAF">
        <w:rPr>
          <w:rFonts w:ascii="Arial" w:hAnsi="Arial" w:cs="Arial"/>
          <w:sz w:val="28"/>
          <w:szCs w:val="28"/>
          <w:lang w:val="nl-NL"/>
        </w:rPr>
        <w:t>hysiology</w:t>
      </w:r>
    </w:p>
    <w:p w14:paraId="4FD97C8C" w14:textId="1F936778"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842CAF">
        <w:rPr>
          <w:rFonts w:ascii="Arial" w:hAnsi="Arial" w:cs="Arial"/>
          <w:sz w:val="28"/>
          <w:szCs w:val="28"/>
        </w:rPr>
        <w:t xml:space="preserve"> </w:t>
      </w:r>
      <w:r w:rsidR="00427FA2">
        <w:rPr>
          <w:rFonts w:ascii="Arial" w:hAnsi="Arial" w:cs="Arial"/>
          <w:sz w:val="28"/>
          <w:szCs w:val="28"/>
        </w:rPr>
        <w:t>BMH</w:t>
      </w:r>
      <w:r w:rsidR="00C818BF">
        <w:rPr>
          <w:rFonts w:ascii="Arial" w:hAnsi="Arial" w:cs="Arial"/>
          <w:sz w:val="28"/>
          <w:szCs w:val="28"/>
        </w:rPr>
        <w:t>P</w:t>
      </w:r>
      <w:r w:rsidR="009B3BDF">
        <w:rPr>
          <w:rFonts w:ascii="Arial" w:hAnsi="Arial" w:cs="Arial"/>
          <w:sz w:val="28"/>
          <w:szCs w:val="28"/>
        </w:rPr>
        <w:t>5023</w:t>
      </w:r>
    </w:p>
    <w:p w14:paraId="658BE57E" w14:textId="5D76F0D6"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8E4D71">
        <w:rPr>
          <w:rFonts w:ascii="Arial" w:hAnsi="Arial" w:cs="Arial"/>
          <w:sz w:val="28"/>
          <w:szCs w:val="28"/>
        </w:rPr>
        <w:t xml:space="preserve"> </w:t>
      </w:r>
      <w:r w:rsidR="0009775B">
        <w:rPr>
          <w:rFonts w:ascii="Arial" w:hAnsi="Arial" w:cs="Arial"/>
          <w:sz w:val="28"/>
          <w:szCs w:val="28"/>
        </w:rPr>
        <w:t>Sob</w:t>
      </w:r>
      <w:r w:rsidR="00560AFC">
        <w:rPr>
          <w:rFonts w:ascii="Arial" w:hAnsi="Arial" w:cs="Arial"/>
          <w:sz w:val="28"/>
          <w:szCs w:val="28"/>
        </w:rPr>
        <w:t>an Sadiq</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62B09049" w:rsidR="001B7A40"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 xml:space="preserve">Assessment: </w:t>
      </w:r>
      <w:r w:rsidR="008B19F7">
        <w:rPr>
          <w:rFonts w:ascii="Arial" w:hAnsi="Arial" w:cs="Arial"/>
          <w:b/>
          <w:bCs/>
          <w:sz w:val="28"/>
          <w:szCs w:val="28"/>
        </w:rPr>
        <w:t>Wri</w:t>
      </w:r>
      <w:r w:rsidR="00613BAC">
        <w:rPr>
          <w:rFonts w:ascii="Arial" w:hAnsi="Arial" w:cs="Arial"/>
          <w:b/>
          <w:bCs/>
          <w:sz w:val="28"/>
          <w:szCs w:val="28"/>
        </w:rPr>
        <w:t xml:space="preserve">tten </w:t>
      </w:r>
      <w:r w:rsidR="00325A54">
        <w:rPr>
          <w:rFonts w:ascii="Arial" w:hAnsi="Arial" w:cs="Arial"/>
          <w:b/>
          <w:bCs/>
          <w:sz w:val="28"/>
          <w:szCs w:val="28"/>
        </w:rPr>
        <w:t>Assig</w:t>
      </w:r>
      <w:r w:rsidR="00310595">
        <w:rPr>
          <w:rFonts w:ascii="Arial" w:hAnsi="Arial" w:cs="Arial"/>
          <w:b/>
          <w:bCs/>
          <w:sz w:val="28"/>
          <w:szCs w:val="28"/>
        </w:rPr>
        <w:t xml:space="preserve">nment Case </w:t>
      </w:r>
      <w:r w:rsidR="00E61A4C">
        <w:rPr>
          <w:rFonts w:ascii="Arial" w:hAnsi="Arial" w:cs="Arial"/>
          <w:b/>
          <w:bCs/>
          <w:sz w:val="28"/>
          <w:szCs w:val="28"/>
        </w:rPr>
        <w:t>Report</w:t>
      </w:r>
      <w:r w:rsidR="00F82D3C">
        <w:rPr>
          <w:rFonts w:ascii="Arial" w:hAnsi="Arial" w:cs="Arial"/>
          <w:b/>
          <w:bCs/>
          <w:sz w:val="28"/>
          <w:szCs w:val="28"/>
        </w:rPr>
        <w:t>-</w:t>
      </w:r>
      <w:r w:rsidR="00F641BA">
        <w:rPr>
          <w:rFonts w:ascii="Arial" w:hAnsi="Arial" w:cs="Arial"/>
          <w:b/>
          <w:bCs/>
          <w:sz w:val="28"/>
          <w:szCs w:val="28"/>
        </w:rPr>
        <w:t xml:space="preserve"> Diabetes</w:t>
      </w:r>
    </w:p>
    <w:p w14:paraId="4692EE30" w14:textId="77777777" w:rsidR="00D34DE5" w:rsidRPr="00C03A91" w:rsidRDefault="00D34DE5" w:rsidP="00C03A91">
      <w:pPr>
        <w:tabs>
          <w:tab w:val="left" w:pos="6540"/>
        </w:tabs>
        <w:spacing w:line="360" w:lineRule="auto"/>
        <w:rPr>
          <w:rFonts w:ascii="Arial" w:hAnsi="Arial" w:cs="Arial"/>
          <w:b/>
          <w:bCs/>
          <w:sz w:val="28"/>
          <w:szCs w:val="28"/>
        </w:rPr>
      </w:pP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35B29F3A" w14:textId="2195395C" w:rsidR="007A7297" w:rsidRPr="00A65534" w:rsidRDefault="000C4EDA" w:rsidP="00A65534">
      <w:pPr>
        <w:pStyle w:val="Heading1"/>
        <w:spacing w:line="360" w:lineRule="auto"/>
        <w:rPr>
          <w:rFonts w:cs="Arial"/>
        </w:rPr>
      </w:pPr>
      <w:r w:rsidRPr="00C03A91">
        <w:rPr>
          <w:rFonts w:cs="Arial"/>
        </w:rPr>
        <w:lastRenderedPageBreak/>
        <w:t xml:space="preserve">1. </w:t>
      </w:r>
      <w:r w:rsidR="00A65534">
        <w:rPr>
          <w:rFonts w:cs="Arial"/>
        </w:rPr>
        <w:t xml:space="preserve">Introduction </w:t>
      </w:r>
    </w:p>
    <w:p w14:paraId="4A5B84CB" w14:textId="37600D22" w:rsidR="00E22BFD" w:rsidRDefault="00E22BFD" w:rsidP="00A166BE">
      <w:pPr>
        <w:pStyle w:val="p1"/>
      </w:pPr>
      <w:r>
        <w:rPr>
          <w:rStyle w:val="s1"/>
        </w:rPr>
        <w:t>Type 2 diabetes mellitus is a chronic metabolic disorder characterised by elevated blood glucose levels resulting from insulin resistance and impaired insulin secretion (World Health Organisation, 2023). It is one of the most prevalent long-term conditions worldwide and represents a major public health concern, particularly in the United Kingdom where prevalence continues to rise (NHS, 2024).</w:t>
      </w:r>
    </w:p>
    <w:p w14:paraId="55E64FF6" w14:textId="79E96DFD" w:rsidR="00E22BFD" w:rsidRDefault="00E22BFD" w:rsidP="00A166BE">
      <w:pPr>
        <w:pStyle w:val="p1"/>
      </w:pPr>
      <w:r>
        <w:rPr>
          <w:rStyle w:val="s1"/>
        </w:rPr>
        <w:t>Diabetes can be broadly classified into Type 1 diabetes, which is an autoimmune condition where the pancreas produces little or no insulin, and Type 2 diabetes, which is largely associated with lifestyle and environmental factors (Diabetes UK, 2023). Type 2 diabetes accounts for approximately 90% of all diabetes cases and is strongly linked to obesity, poor diet, lack of physical activity, and genetic predisposition (International Diabetes Federation, 2021).</w:t>
      </w:r>
    </w:p>
    <w:p w14:paraId="4C7D367F" w14:textId="3D59B67F" w:rsidR="00E22BFD" w:rsidRDefault="00E22BFD" w:rsidP="00A166BE">
      <w:pPr>
        <w:pStyle w:val="p1"/>
      </w:pPr>
      <w:r>
        <w:rPr>
          <w:rStyle w:val="s1"/>
        </w:rPr>
        <w:t>Risk</w:t>
      </w:r>
      <w:r w:rsidR="00D96353">
        <w:rPr>
          <w:rStyle w:val="s1"/>
        </w:rPr>
        <w:t xml:space="preserve"> factors </w:t>
      </w:r>
      <w:r>
        <w:rPr>
          <w:rStyle w:val="s1"/>
        </w:rPr>
        <w:t>for Type 2 diabetes include increasing age, sedentary lifestyle, high body mass index (BMI), unhealthy dietary patterns, and family history of the condition (NICE, 2022). These factors contribute to insulin resistance, where the body’s cells fail to respond effectively to insulin.</w:t>
      </w:r>
    </w:p>
    <w:p w14:paraId="12803C8E" w14:textId="77777777" w:rsidR="008D32AF" w:rsidRDefault="008D32AF">
      <w:pPr>
        <w:pStyle w:val="p1"/>
      </w:pPr>
      <w:r>
        <w:rPr>
          <w:rStyle w:val="s1"/>
        </w:rPr>
        <w:t>The condition is closely linked to the endocrine system, particularly the pancreas, which plays a crucial role in regulating blood glucose levels through the secretion of insulin and glucagon (Hall, 2021). When this regulatory system is impaired, it leads to chronic hyperglycaemia and associated complications.</w:t>
      </w:r>
    </w:p>
    <w:p w14:paraId="61D0C653" w14:textId="3FFF6C6C" w:rsidR="00E22BFD" w:rsidRDefault="008D32AF">
      <w:pPr>
        <w:pStyle w:val="p1"/>
      </w:pPr>
      <w:r>
        <w:rPr>
          <w:rStyle w:val="s1"/>
        </w:rPr>
        <w:t>This report will examine how blood glucose levels are regulated, explore the role of cellular metabolism in energy production, and analyse the importance of monitoring blood sugar levels. It will also provide evidence-based recommendations to improve health outcomes and support individuals in managing their condition effectively.</w:t>
      </w:r>
    </w:p>
    <w:p w14:paraId="29090949" w14:textId="112FDC14" w:rsidR="00580895" w:rsidRPr="00EE01FC" w:rsidRDefault="00580895">
      <w:pPr>
        <w:pStyle w:val="p1"/>
        <w:rPr>
          <w:b/>
          <w:bCs/>
        </w:rPr>
      </w:pPr>
      <w:r>
        <w:rPr>
          <w:noProof/>
        </w:rPr>
        <w:drawing>
          <wp:inline distT="0" distB="0" distL="0" distR="0" wp14:anchorId="0409769C" wp14:editId="7B5F0934">
            <wp:extent cx="2392218" cy="2865545"/>
            <wp:effectExtent l="0" t="0" r="8255" b="0"/>
            <wp:docPr id="1243884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92610" cy="2866015"/>
                    </a:xfrm>
                    <a:prstGeom prst="rect">
                      <a:avLst/>
                    </a:prstGeom>
                    <a:noFill/>
                  </pic:spPr>
                </pic:pic>
              </a:graphicData>
            </a:graphic>
          </wp:inline>
        </w:drawing>
      </w:r>
      <w:r>
        <w:t xml:space="preserve"> </w:t>
      </w:r>
      <w:r w:rsidR="00074DF2" w:rsidRPr="00EE01FC">
        <w:rPr>
          <w:b/>
          <w:bCs/>
        </w:rPr>
        <w:t>Type 2 Diabetes</w:t>
      </w:r>
    </w:p>
    <w:p w14:paraId="1912F0C8" w14:textId="77777777" w:rsidR="009958AB" w:rsidRPr="00C03A91" w:rsidRDefault="009958AB" w:rsidP="00C03A91">
      <w:pPr>
        <w:tabs>
          <w:tab w:val="left" w:pos="6540"/>
        </w:tabs>
        <w:spacing w:line="360" w:lineRule="auto"/>
        <w:rPr>
          <w:rFonts w:ascii="Arial" w:hAnsi="Arial" w:cs="Arial"/>
          <w:color w:val="8EAADB" w:themeColor="accent1" w:themeTint="99"/>
          <w:sz w:val="22"/>
        </w:rPr>
      </w:pPr>
    </w:p>
    <w:p w14:paraId="0C00C78D" w14:textId="38E70D2A" w:rsidR="00C81410" w:rsidRDefault="00C03A91" w:rsidP="00A32A53">
      <w:pPr>
        <w:pStyle w:val="Heading1"/>
        <w:spacing w:line="360" w:lineRule="auto"/>
      </w:pPr>
      <w:r w:rsidRPr="00C03A91">
        <w:rPr>
          <w:rFonts w:cs="Arial"/>
        </w:rPr>
        <w:lastRenderedPageBreak/>
        <w:t xml:space="preserve">2. </w:t>
      </w:r>
      <w:r w:rsidR="00FD7392">
        <w:rPr>
          <w:rFonts w:cs="Arial"/>
        </w:rPr>
        <w:t>Blood Sugar Regulation</w:t>
      </w:r>
    </w:p>
    <w:p w14:paraId="11A69AF1" w14:textId="0C7FD074" w:rsidR="00A32A53" w:rsidRDefault="00A32A53" w:rsidP="009958AB">
      <w:pPr>
        <w:pStyle w:val="p1"/>
      </w:pPr>
      <w:r>
        <w:rPr>
          <w:rStyle w:val="s1"/>
        </w:rPr>
        <w:t xml:space="preserve">Blood glucose regulation is a vital physiological process that ensures the body maintains a stable internal environment. This process is primarily controlled by the </w:t>
      </w:r>
      <w:r w:rsidR="00415BC9">
        <w:rPr>
          <w:rStyle w:val="s1"/>
        </w:rPr>
        <w:t>hormone’s</w:t>
      </w:r>
      <w:r>
        <w:rPr>
          <w:rStyle w:val="s1"/>
        </w:rPr>
        <w:t xml:space="preserve"> insulin and glucagon, which are produced by the pancreas (</w:t>
      </w:r>
      <w:r w:rsidR="004A5B44">
        <w:rPr>
          <w:rStyle w:val="s1"/>
        </w:rPr>
        <w:t>Tortora</w:t>
      </w:r>
      <w:r>
        <w:rPr>
          <w:rStyle w:val="s1"/>
        </w:rPr>
        <w:t xml:space="preserve"> and </w:t>
      </w:r>
      <w:r w:rsidR="002F7E0B">
        <w:rPr>
          <w:rStyle w:val="s1"/>
        </w:rPr>
        <w:t>Derrick-son</w:t>
      </w:r>
      <w:r>
        <w:rPr>
          <w:rStyle w:val="s1"/>
        </w:rPr>
        <w:t>, 2021).</w:t>
      </w:r>
    </w:p>
    <w:p w14:paraId="41D10956" w14:textId="7351738F" w:rsidR="00A32A53" w:rsidRDefault="00A32A53" w:rsidP="009958AB">
      <w:pPr>
        <w:pStyle w:val="p1"/>
        <w:rPr>
          <w:rStyle w:val="s1"/>
        </w:rPr>
      </w:pPr>
      <w:r>
        <w:rPr>
          <w:rStyle w:val="s1"/>
        </w:rPr>
        <w:t>After food intake, blood glucose levels rise, triggering the release of insulin from the beta cells of the pancreas. Insulin facilitates the uptake of glucose into body cells, particularly muscle and adipose tissue, where it is used for energy or stored as glycogen in the liver (Guyton and Hall, 2021). Conversely, when blood glucose levels fall, glucagon is released to stimulate the breakdown of glycogen into glucose, which is then released into the bloodstream.</w:t>
      </w:r>
    </w:p>
    <w:p w14:paraId="18F4299E" w14:textId="5923EA5D" w:rsidR="00FE7658" w:rsidRDefault="00FE7658" w:rsidP="009958AB">
      <w:pPr>
        <w:pStyle w:val="p1"/>
        <w:rPr>
          <w:rStyle w:val="s1"/>
        </w:rPr>
      </w:pPr>
      <w:r>
        <w:rPr>
          <w:rStyle w:val="s1"/>
        </w:rPr>
        <w:t>However, in individuals with Type 2 diabetes, this regulatory mechanism becomes impaired. Insulin resistance prevents glucose from entering cells effectively, resulting in elevated blood glucose levels. Over time, this can cause damage to blood vessels and organs, increasing the risk of complications such as cardiovascular disease, kidney failure, and nerve damage (Diabetes UK, 2023).</w:t>
      </w:r>
    </w:p>
    <w:p w14:paraId="6E1DD45A" w14:textId="61C40FE4" w:rsidR="00966C80" w:rsidRDefault="00966C80" w:rsidP="009958AB">
      <w:pPr>
        <w:pStyle w:val="p1"/>
      </w:pPr>
      <w:r>
        <w:rPr>
          <w:rStyle w:val="s1"/>
        </w:rPr>
        <w:t>Maintaining blood glucose within a safe range is therefore essential for preventing both short-term and long-term complications.</w:t>
      </w:r>
    </w:p>
    <w:p w14:paraId="0B601065" w14:textId="77777777" w:rsidR="00A32A53" w:rsidRDefault="00A32A53">
      <w:pPr>
        <w:pStyle w:val="p1"/>
        <w:rPr>
          <w:rStyle w:val="s1"/>
        </w:rPr>
      </w:pPr>
      <w:r>
        <w:rPr>
          <w:rStyle w:val="s1"/>
        </w:rPr>
        <w:t>The failure of normal glucose regulation highlights the importance of maintaining hormonal balance within the endocrine system. Disruption of this balance is central to the development and progression of diabetes (WHO, 2023).</w:t>
      </w:r>
    </w:p>
    <w:p w14:paraId="736B1A56" w14:textId="6B4F5664" w:rsidR="00ED43C8" w:rsidRDefault="009722DA">
      <w:pPr>
        <w:pStyle w:val="p1"/>
      </w:pPr>
      <w:r>
        <w:rPr>
          <w:noProof/>
        </w:rPr>
        <w:drawing>
          <wp:inline distT="0" distB="0" distL="0" distR="0" wp14:anchorId="145CE5A2" wp14:editId="1C11DC28">
            <wp:extent cx="4711961" cy="3533971"/>
            <wp:effectExtent l="0" t="0" r="0" b="9525"/>
            <wp:docPr id="18696150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25418" cy="3544064"/>
                    </a:xfrm>
                    <a:prstGeom prst="rect">
                      <a:avLst/>
                    </a:prstGeom>
                    <a:noFill/>
                  </pic:spPr>
                </pic:pic>
              </a:graphicData>
            </a:graphic>
          </wp:inline>
        </w:drawing>
      </w:r>
    </w:p>
    <w:p w14:paraId="50F0704F" w14:textId="1E4BAC2B" w:rsidR="009958AB" w:rsidRPr="008C76FD" w:rsidRDefault="00B9371F" w:rsidP="00C03A91">
      <w:pPr>
        <w:tabs>
          <w:tab w:val="left" w:pos="6540"/>
        </w:tabs>
        <w:spacing w:line="360" w:lineRule="auto"/>
        <w:rPr>
          <w:rFonts w:ascii="Arial" w:hAnsi="Arial" w:cs="Arial"/>
          <w:b/>
          <w:bCs/>
          <w:sz w:val="22"/>
        </w:rPr>
      </w:pPr>
      <w:r w:rsidRPr="008C76FD">
        <w:rPr>
          <w:rFonts w:cs="Arial"/>
          <w:b/>
          <w:bCs/>
        </w:rPr>
        <w:t>Blood Sugar Regulation</w:t>
      </w:r>
    </w:p>
    <w:p w14:paraId="381CCE5B" w14:textId="0417323A" w:rsidR="000C4EDA" w:rsidRPr="00C03A91" w:rsidRDefault="00076AC0" w:rsidP="00C03A91">
      <w:pPr>
        <w:pStyle w:val="Heading1"/>
        <w:spacing w:line="360" w:lineRule="auto"/>
        <w:rPr>
          <w:rFonts w:cs="Arial"/>
        </w:rPr>
      </w:pPr>
      <w:r>
        <w:rPr>
          <w:rFonts w:cs="Arial"/>
        </w:rPr>
        <w:lastRenderedPageBreak/>
        <w:t>3</w:t>
      </w:r>
      <w:r w:rsidR="000C4EDA" w:rsidRPr="00C03A91">
        <w:rPr>
          <w:rFonts w:cs="Arial"/>
        </w:rPr>
        <w:t xml:space="preserve">. </w:t>
      </w:r>
      <w:r w:rsidR="007A7297">
        <w:rPr>
          <w:rFonts w:cs="Arial"/>
        </w:rPr>
        <w:t>Cellular Metabolism</w:t>
      </w:r>
      <w:r w:rsidR="000C4EDA" w:rsidRPr="00C03A91">
        <w:rPr>
          <w:rFonts w:cs="Arial"/>
        </w:rPr>
        <w:t xml:space="preserve"> </w:t>
      </w:r>
    </w:p>
    <w:p w14:paraId="79A0E752" w14:textId="2C97C100" w:rsidR="0075468E" w:rsidRDefault="0075468E" w:rsidP="009958AB">
      <w:pPr>
        <w:pStyle w:val="p1"/>
      </w:pPr>
      <w:r>
        <w:rPr>
          <w:rStyle w:val="s1"/>
        </w:rPr>
        <w:t>Cellular metabolism refers to the chemical processes that occur within cells to maintain life, including the production of energy. Glucose and oxygen are essential components in this process, particularly in cellular respiration, where energy is produced in the form of adenosine triphosphate (ATP) (Saladin, 2020).</w:t>
      </w:r>
    </w:p>
    <w:p w14:paraId="41E0863E" w14:textId="610A0674" w:rsidR="00322AD0" w:rsidRDefault="0075468E" w:rsidP="009958AB">
      <w:pPr>
        <w:pStyle w:val="p1"/>
      </w:pPr>
      <w:r>
        <w:rPr>
          <w:rStyle w:val="s1"/>
        </w:rPr>
        <w:t>The process begins with glycolysis, where glucose is broken down into pyruvate in the cytoplasm. This is followed by the Krebs cycle and the electron transport chain in the mitochondria, where oxygen is used to generate ATP (Hall, 2021). This energy is essential for all bodily functions, including muscle contraction, nerve transmission, and cellular repair.</w:t>
      </w:r>
    </w:p>
    <w:p w14:paraId="32BF24DE" w14:textId="1EEC43D5" w:rsidR="0075468E" w:rsidRDefault="00322AD0" w:rsidP="009958AB">
      <w:pPr>
        <w:pStyle w:val="p1"/>
      </w:pPr>
      <w:r>
        <w:rPr>
          <w:rStyle w:val="s1"/>
        </w:rPr>
        <w:t xml:space="preserve">In </w:t>
      </w:r>
      <w:r w:rsidR="0075468E">
        <w:rPr>
          <w:rStyle w:val="s1"/>
        </w:rPr>
        <w:t>Type</w:t>
      </w:r>
      <w:r>
        <w:rPr>
          <w:rStyle w:val="s1"/>
        </w:rPr>
        <w:t xml:space="preserve"> 2 diabetes, </w:t>
      </w:r>
      <w:r w:rsidR="0075468E">
        <w:rPr>
          <w:rStyle w:val="s1"/>
        </w:rPr>
        <w:t xml:space="preserve">the inability of </w:t>
      </w:r>
      <w:r>
        <w:rPr>
          <w:rStyle w:val="s1"/>
        </w:rPr>
        <w:t xml:space="preserve">glucose </w:t>
      </w:r>
      <w:r w:rsidR="0075468E">
        <w:rPr>
          <w:rStyle w:val="s1"/>
        </w:rPr>
        <w:t xml:space="preserve">to </w:t>
      </w:r>
      <w:r>
        <w:rPr>
          <w:rStyle w:val="s1"/>
        </w:rPr>
        <w:t>enter cells due to insulin resistance</w:t>
      </w:r>
      <w:r w:rsidR="0075468E">
        <w:rPr>
          <w:rStyle w:val="s1"/>
        </w:rPr>
        <w:t xml:space="preserve"> disrupts normal cellular metabolism. Despite high levels of glucose in the bloodstream, cells are effectively “starved” of energy (</w:t>
      </w:r>
      <w:r w:rsidR="00415BC9">
        <w:rPr>
          <w:rStyle w:val="s1"/>
        </w:rPr>
        <w:t xml:space="preserve"> </w:t>
      </w:r>
      <w:r w:rsidR="00CA2A3F">
        <w:rPr>
          <w:rStyle w:val="s1"/>
        </w:rPr>
        <w:t>Tortona</w:t>
      </w:r>
      <w:r w:rsidR="0075468E">
        <w:rPr>
          <w:rStyle w:val="s1"/>
        </w:rPr>
        <w:t xml:space="preserve"> and </w:t>
      </w:r>
      <w:r w:rsidR="00CA2A3F">
        <w:rPr>
          <w:rStyle w:val="s1"/>
        </w:rPr>
        <w:t>Derrick-son</w:t>
      </w:r>
      <w:r w:rsidR="0075468E">
        <w:rPr>
          <w:rStyle w:val="s1"/>
        </w:rPr>
        <w:t xml:space="preserve">, 2021). </w:t>
      </w:r>
      <w:r>
        <w:rPr>
          <w:rStyle w:val="s1"/>
        </w:rPr>
        <w:t xml:space="preserve">This </w:t>
      </w:r>
      <w:r w:rsidR="0075468E">
        <w:rPr>
          <w:rStyle w:val="s1"/>
        </w:rPr>
        <w:t>leads</w:t>
      </w:r>
      <w:r>
        <w:rPr>
          <w:rStyle w:val="s1"/>
        </w:rPr>
        <w:t xml:space="preserve"> to fatigue and </w:t>
      </w:r>
      <w:r w:rsidR="0075468E">
        <w:rPr>
          <w:rStyle w:val="s1"/>
        </w:rPr>
        <w:t>reduced physiological function.</w:t>
      </w:r>
    </w:p>
    <w:p w14:paraId="2A4B8652" w14:textId="76A610D2" w:rsidR="00C843EF" w:rsidRDefault="0075468E">
      <w:pPr>
        <w:pStyle w:val="p1"/>
        <w:rPr>
          <w:rStyle w:val="s1"/>
        </w:rPr>
      </w:pPr>
      <w:r>
        <w:rPr>
          <w:rStyle w:val="s1"/>
        </w:rPr>
        <w:t>Additionally, prolonged hyperglycaemia can lead to metabolic</w:t>
      </w:r>
      <w:r w:rsidR="00322AD0">
        <w:rPr>
          <w:rStyle w:val="s1"/>
        </w:rPr>
        <w:t xml:space="preserve"> complications</w:t>
      </w:r>
      <w:r>
        <w:rPr>
          <w:rStyle w:val="s1"/>
        </w:rPr>
        <w:t>, including oxidative stress and inflammation, which further contribute to tissue</w:t>
      </w:r>
      <w:r w:rsidR="00322AD0">
        <w:rPr>
          <w:rStyle w:val="s1"/>
        </w:rPr>
        <w:t xml:space="preserve"> damage and disease</w:t>
      </w:r>
      <w:r>
        <w:rPr>
          <w:rStyle w:val="s1"/>
        </w:rPr>
        <w:t xml:space="preserve"> progression (International Diabetes Federation, 2021).</w:t>
      </w:r>
    </w:p>
    <w:p w14:paraId="6D60BA81" w14:textId="7EDA9D77" w:rsidR="00442072" w:rsidRDefault="00442072">
      <w:pPr>
        <w:pStyle w:val="p1"/>
      </w:pPr>
      <w:r>
        <w:rPr>
          <w:rStyle w:val="s1"/>
        </w:rPr>
        <w:t>In individuals with Type 2 diabetes, insulin resistance limits the ability of glucose to enter cells. As a result, despite high levels of glucose in the bloodstream, cells are unable to produce sufficient energy. This can lead to symptoms such as fatigue, weakness, and reduced physical performance.</w:t>
      </w:r>
    </w:p>
    <w:p w14:paraId="5D8ABDD5" w14:textId="79FDDD54" w:rsidR="00322AD0" w:rsidRDefault="00136790" w:rsidP="0075468E">
      <w:pPr>
        <w:pStyle w:val="p1"/>
      </w:pPr>
      <w:r>
        <w:rPr>
          <w:noProof/>
        </w:rPr>
        <w:drawing>
          <wp:inline distT="0" distB="0" distL="0" distR="0" wp14:anchorId="2584B817" wp14:editId="40712512">
            <wp:extent cx="4581235" cy="2576945"/>
            <wp:effectExtent l="0" t="0" r="0" b="0"/>
            <wp:docPr id="9098332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83144" cy="2578019"/>
                    </a:xfrm>
                    <a:prstGeom prst="rect">
                      <a:avLst/>
                    </a:prstGeom>
                    <a:noFill/>
                  </pic:spPr>
                </pic:pic>
              </a:graphicData>
            </a:graphic>
          </wp:inline>
        </w:drawing>
      </w:r>
    </w:p>
    <w:p w14:paraId="6B5D5CE3" w14:textId="715E7E8B" w:rsidR="00F44C8F" w:rsidRPr="00362CC6" w:rsidRDefault="00362CC6" w:rsidP="00322AD0">
      <w:pPr>
        <w:pStyle w:val="ListParagraph"/>
        <w:tabs>
          <w:tab w:val="left" w:pos="6540"/>
        </w:tabs>
        <w:spacing w:line="360" w:lineRule="auto"/>
        <w:rPr>
          <w:rFonts w:ascii="Arial" w:hAnsi="Arial" w:cs="Arial"/>
          <w:b/>
          <w:bCs/>
          <w:sz w:val="22"/>
        </w:rPr>
      </w:pPr>
      <w:r w:rsidRPr="00362CC6">
        <w:rPr>
          <w:rFonts w:ascii="Arial" w:hAnsi="Arial" w:cs="Arial"/>
          <w:b/>
          <w:bCs/>
          <w:sz w:val="22"/>
        </w:rPr>
        <w:t>Cellular metabolism</w:t>
      </w:r>
    </w:p>
    <w:p w14:paraId="3F8483EE" w14:textId="77777777" w:rsidR="00F44C8F" w:rsidRDefault="00F44C8F" w:rsidP="00F44C8F">
      <w:pPr>
        <w:tabs>
          <w:tab w:val="left" w:pos="6540"/>
        </w:tabs>
        <w:spacing w:line="360" w:lineRule="auto"/>
        <w:rPr>
          <w:rFonts w:ascii="Arial" w:hAnsi="Arial" w:cs="Arial"/>
          <w:color w:val="8EAADB" w:themeColor="accent1" w:themeTint="99"/>
          <w:sz w:val="22"/>
        </w:rPr>
      </w:pPr>
    </w:p>
    <w:p w14:paraId="0C95D80D" w14:textId="77777777" w:rsidR="009958AB" w:rsidRPr="00F44C8F" w:rsidRDefault="009958AB" w:rsidP="00F44C8F">
      <w:pPr>
        <w:tabs>
          <w:tab w:val="left" w:pos="6540"/>
        </w:tabs>
        <w:spacing w:line="360" w:lineRule="auto"/>
        <w:rPr>
          <w:rFonts w:ascii="Arial" w:hAnsi="Arial" w:cs="Arial"/>
          <w:color w:val="8EAADB" w:themeColor="accent1" w:themeTint="99"/>
          <w:sz w:val="22"/>
        </w:rPr>
      </w:pPr>
    </w:p>
    <w:p w14:paraId="00AEA37C" w14:textId="422160CC" w:rsidR="000C4EDA" w:rsidRPr="00C03A91" w:rsidRDefault="00076AC0" w:rsidP="00C03A91">
      <w:pPr>
        <w:pStyle w:val="Heading1"/>
        <w:spacing w:line="360" w:lineRule="auto"/>
        <w:rPr>
          <w:rFonts w:cs="Arial"/>
        </w:rPr>
      </w:pPr>
      <w:r>
        <w:rPr>
          <w:rFonts w:cs="Arial"/>
        </w:rPr>
        <w:lastRenderedPageBreak/>
        <w:t>4</w:t>
      </w:r>
      <w:r w:rsidR="000C4EDA" w:rsidRPr="00C03A91">
        <w:rPr>
          <w:rFonts w:cs="Arial"/>
        </w:rPr>
        <w:t xml:space="preserve">. </w:t>
      </w:r>
      <w:r w:rsidR="007A7297">
        <w:rPr>
          <w:rFonts w:cs="Arial"/>
        </w:rPr>
        <w:t>Recording and tracking blood sugar levels for type 2 diabetes</w:t>
      </w:r>
    </w:p>
    <w:p w14:paraId="019A8F3E" w14:textId="3DF796C9" w:rsidR="008729D3" w:rsidRDefault="008729D3" w:rsidP="009958AB">
      <w:pPr>
        <w:pStyle w:val="p1"/>
      </w:pPr>
      <w:r>
        <w:rPr>
          <w:rStyle w:val="s1"/>
        </w:rPr>
        <w:t>Monitoring and recording blood glucose levels is a fundamental aspect of managing Type 2 diabetes. Regular tracking allows individuals to understand how their lifestyle, diet, and medication influence their blood sugar levels (NICE, 2022).</w:t>
      </w:r>
    </w:p>
    <w:p w14:paraId="4180C325" w14:textId="42E376A8" w:rsidR="008729D3" w:rsidRDefault="008729D3" w:rsidP="009958AB">
      <w:pPr>
        <w:pStyle w:val="p1"/>
      </w:pPr>
      <w:r>
        <w:rPr>
          <w:rStyle w:val="s1"/>
        </w:rPr>
        <w:t>Self-monitoring can be carried out using blood glucose meters or continuous glucose monitoring systems. These tools provide real-time data that enables patients to make informed decisions about their health (NHS, 2024).</w:t>
      </w:r>
    </w:p>
    <w:p w14:paraId="246BD39C" w14:textId="5C449D26" w:rsidR="008729D3" w:rsidRDefault="008729D3" w:rsidP="009958AB">
      <w:pPr>
        <w:pStyle w:val="p1"/>
      </w:pPr>
      <w:r>
        <w:rPr>
          <w:rStyle w:val="s1"/>
        </w:rPr>
        <w:t>The importance of tracking lies in its ability to prevent both hyperglycaemia (high blood sugar) and hypoglycaemia (low blood sugar). Without regular monitoring, individuals may be unaware of dangerous fluctuations, which can lead to serious complications such as diabetic ketoacidosis, cardiovascular disease, and nerve damage (Diabetes UK, 2023).</w:t>
      </w:r>
    </w:p>
    <w:p w14:paraId="57A1BFCB" w14:textId="77777777" w:rsidR="008729D3" w:rsidRDefault="008729D3">
      <w:pPr>
        <w:pStyle w:val="p1"/>
        <w:rPr>
          <w:rStyle w:val="s1"/>
        </w:rPr>
      </w:pPr>
      <w:r>
        <w:rPr>
          <w:rStyle w:val="s1"/>
        </w:rPr>
        <w:t>Furthermore, recorded data</w:t>
      </w:r>
      <w:r w:rsidR="00DE1185">
        <w:rPr>
          <w:rStyle w:val="s1"/>
        </w:rPr>
        <w:t xml:space="preserve"> supports healthcare professionals in adjusting treatment plans and </w:t>
      </w:r>
      <w:r>
        <w:rPr>
          <w:rStyle w:val="s1"/>
        </w:rPr>
        <w:t>ensuring that interventions are effective. It also encourages</w:t>
      </w:r>
      <w:r w:rsidR="00DE1185">
        <w:rPr>
          <w:rStyle w:val="s1"/>
        </w:rPr>
        <w:t xml:space="preserve"> patient </w:t>
      </w:r>
      <w:r>
        <w:rPr>
          <w:rStyle w:val="s1"/>
        </w:rPr>
        <w:t>engagement and self-management, which are key components of long-term diabetes care</w:t>
      </w:r>
      <w:r w:rsidR="00DE1185">
        <w:rPr>
          <w:rStyle w:val="s1"/>
        </w:rPr>
        <w:t xml:space="preserve"> (WHO, 2023).</w:t>
      </w:r>
    </w:p>
    <w:p w14:paraId="644F3B7A" w14:textId="60761F00" w:rsidR="00FF7BBF" w:rsidRDefault="00513CA2">
      <w:pPr>
        <w:pStyle w:val="p1"/>
        <w:rPr>
          <w:rStyle w:val="s1"/>
        </w:rPr>
      </w:pPr>
      <w:r>
        <w:rPr>
          <w:rStyle w:val="s1"/>
        </w:rPr>
        <w:t xml:space="preserve">Additionally, recording blood glucose levels encourages self-management and promotes greater awareness of the condition. This empowers individuals to take control of their health and make necessary changes to improve </w:t>
      </w:r>
      <w:r w:rsidR="00CF47AF">
        <w:rPr>
          <w:rStyle w:val="s1"/>
        </w:rPr>
        <w:t>outcomes HealthCare</w:t>
      </w:r>
      <w:r>
        <w:rPr>
          <w:rStyle w:val="s1"/>
        </w:rPr>
        <w:t xml:space="preserve"> professionals can also use this</w:t>
      </w:r>
      <w:r w:rsidR="006D7758">
        <w:rPr>
          <w:rStyle w:val="s1"/>
        </w:rPr>
        <w:t xml:space="preserve"> </w:t>
      </w:r>
      <w:r>
        <w:rPr>
          <w:rStyle w:val="s1"/>
        </w:rPr>
        <w:t xml:space="preserve">data to evaluate the effectiveness of treatment plans and make necessary </w:t>
      </w:r>
      <w:r w:rsidR="00024459">
        <w:rPr>
          <w:rStyle w:val="s1"/>
        </w:rPr>
        <w:t xml:space="preserve">adjustments,  </w:t>
      </w:r>
      <w:r w:rsidR="00A95C56">
        <w:rPr>
          <w:rStyle w:val="s1"/>
        </w:rPr>
        <w:t>ensu</w:t>
      </w:r>
      <w:r w:rsidR="00A440F1">
        <w:rPr>
          <w:rStyle w:val="s1"/>
        </w:rPr>
        <w:t>ring</w:t>
      </w:r>
      <w:r w:rsidR="0084099C">
        <w:rPr>
          <w:rStyle w:val="s1"/>
        </w:rPr>
        <w:t xml:space="preserve"> optimal care</w:t>
      </w:r>
      <w:r w:rsidR="00357E95">
        <w:rPr>
          <w:rStyle w:val="s1"/>
        </w:rPr>
        <w:t>.</w:t>
      </w:r>
    </w:p>
    <w:p w14:paraId="1BE728AF" w14:textId="2C7A3AA5" w:rsidR="009958AB" w:rsidRPr="0079793E" w:rsidRDefault="00CE2379" w:rsidP="0079793E">
      <w:pPr>
        <w:pStyle w:val="p1"/>
        <w:rPr>
          <w:b/>
          <w:bCs/>
        </w:rPr>
      </w:pPr>
      <w:r w:rsidRPr="00CE2379">
        <w:rPr>
          <w:noProof/>
        </w:rPr>
        <w:t xml:space="preserve"> </w:t>
      </w:r>
      <w:r w:rsidRPr="00CE2379">
        <w:rPr>
          <w:rStyle w:val="s1"/>
          <w:noProof/>
        </w:rPr>
        <w:drawing>
          <wp:inline distT="0" distB="0" distL="0" distR="0" wp14:anchorId="704AE4EE" wp14:editId="09503BE9">
            <wp:extent cx="2623744" cy="3888509"/>
            <wp:effectExtent l="0" t="0" r="5715" b="0"/>
            <wp:docPr id="1601679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679127" name=""/>
                    <pic:cNvPicPr/>
                  </pic:nvPicPr>
                  <pic:blipFill>
                    <a:blip r:embed="rId15"/>
                    <a:stretch>
                      <a:fillRect/>
                    </a:stretch>
                  </pic:blipFill>
                  <pic:spPr>
                    <a:xfrm>
                      <a:off x="0" y="0"/>
                      <a:ext cx="2657098" cy="3937942"/>
                    </a:xfrm>
                    <a:prstGeom prst="rect">
                      <a:avLst/>
                    </a:prstGeom>
                  </pic:spPr>
                </pic:pic>
              </a:graphicData>
            </a:graphic>
          </wp:inline>
        </w:drawing>
      </w:r>
      <w:r w:rsidR="00707110">
        <w:rPr>
          <w:noProof/>
        </w:rPr>
        <w:t xml:space="preserve"> </w:t>
      </w:r>
      <w:r w:rsidR="00024459">
        <w:rPr>
          <w:b/>
          <w:bCs/>
          <w:noProof/>
        </w:rPr>
        <w:t>B</w:t>
      </w:r>
      <w:r w:rsidR="00707110" w:rsidRPr="0079793E">
        <w:rPr>
          <w:b/>
          <w:bCs/>
          <w:noProof/>
        </w:rPr>
        <w:t>lood sug</w:t>
      </w:r>
      <w:r w:rsidR="00D65AF0" w:rsidRPr="0079793E">
        <w:rPr>
          <w:b/>
          <w:bCs/>
          <w:noProof/>
        </w:rPr>
        <w:t>ar le</w:t>
      </w:r>
      <w:r w:rsidR="00D376BB" w:rsidRPr="0079793E">
        <w:rPr>
          <w:b/>
          <w:bCs/>
          <w:noProof/>
        </w:rPr>
        <w:t xml:space="preserve">vels </w:t>
      </w:r>
      <w:r w:rsidR="007F4363" w:rsidRPr="0079793E">
        <w:rPr>
          <w:b/>
          <w:bCs/>
          <w:noProof/>
        </w:rPr>
        <w:t>di</w:t>
      </w:r>
      <w:r w:rsidR="006855B3" w:rsidRPr="0079793E">
        <w:rPr>
          <w:b/>
          <w:bCs/>
          <w:noProof/>
        </w:rPr>
        <w:t xml:space="preserve">abetes </w:t>
      </w:r>
    </w:p>
    <w:p w14:paraId="54FBB05C" w14:textId="75ED6438" w:rsidR="007A7297" w:rsidRDefault="001B7A40" w:rsidP="006D2D0B">
      <w:pPr>
        <w:pStyle w:val="Heading1"/>
        <w:spacing w:line="360" w:lineRule="auto"/>
        <w:rPr>
          <w:rFonts w:cs="Arial"/>
        </w:rPr>
      </w:pPr>
      <w:r w:rsidRPr="00C03A91">
        <w:rPr>
          <w:rFonts w:cs="Arial"/>
        </w:rPr>
        <w:lastRenderedPageBreak/>
        <w:t>5. Recommend</w:t>
      </w:r>
      <w:r w:rsidR="007A7297">
        <w:rPr>
          <w:rFonts w:cs="Arial"/>
        </w:rPr>
        <w:t>ations</w:t>
      </w:r>
    </w:p>
    <w:p w14:paraId="429BF101" w14:textId="7FF4411C" w:rsidR="00057018" w:rsidRDefault="00057018" w:rsidP="009958AB">
      <w:pPr>
        <w:pStyle w:val="p1"/>
      </w:pPr>
      <w:r>
        <w:rPr>
          <w:rStyle w:val="s1"/>
        </w:rPr>
        <w:t>Effective management of Type 2 diabetes requires a holistic approach that includes lifestyle modifications, medical treatment, and ongoing support.</w:t>
      </w:r>
    </w:p>
    <w:p w14:paraId="19EE4CC5" w14:textId="1E438EBD" w:rsidR="00057018" w:rsidRDefault="00057018" w:rsidP="009958AB">
      <w:pPr>
        <w:pStyle w:val="p1"/>
      </w:pPr>
      <w:r>
        <w:rPr>
          <w:rStyle w:val="s1"/>
        </w:rPr>
        <w:t>Firstly, adopting a balanced and nutritious diet is essential. Reducing the intake of refined sugars and saturated fats while increasing consumption of whole grains, fruits, and vegetables can help regulate blood glucose levels (NHS, 2024).</w:t>
      </w:r>
    </w:p>
    <w:p w14:paraId="3FFEEB67" w14:textId="71043F71" w:rsidR="00057018" w:rsidRDefault="00057018" w:rsidP="009958AB">
      <w:pPr>
        <w:pStyle w:val="p1"/>
      </w:pPr>
      <w:r>
        <w:rPr>
          <w:rStyle w:val="s1"/>
        </w:rPr>
        <w:t xml:space="preserve">Physical activity is also crucial, as regular exercise improves insulin sensitivity and supports weight management. Guidelines recommend at least 150 minutes of moderate-intensity exercise per </w:t>
      </w:r>
      <w:r w:rsidR="0079793E">
        <w:rPr>
          <w:rStyle w:val="s1"/>
        </w:rPr>
        <w:t>week is</w:t>
      </w:r>
      <w:r w:rsidR="002B3800">
        <w:rPr>
          <w:rStyle w:val="s1"/>
        </w:rPr>
        <w:t xml:space="preserve"> recommended for individuals with Type 2 diabetes</w:t>
      </w:r>
      <w:r w:rsidR="002B3800">
        <w:rPr>
          <w:rStyle w:val="apple-converted-space"/>
        </w:rPr>
        <w:t> </w:t>
      </w:r>
      <w:r w:rsidR="001020BF">
        <w:rPr>
          <w:rStyle w:val="s1"/>
        </w:rPr>
        <w:t>(</w:t>
      </w:r>
      <w:r>
        <w:rPr>
          <w:rStyle w:val="s1"/>
        </w:rPr>
        <w:t>Colberg et al., 2016).</w:t>
      </w:r>
    </w:p>
    <w:p w14:paraId="7117A3C8" w14:textId="28C3D9E5" w:rsidR="00057018" w:rsidRDefault="00057018" w:rsidP="009958AB">
      <w:pPr>
        <w:pStyle w:val="p1"/>
      </w:pPr>
      <w:r>
        <w:rPr>
          <w:rStyle w:val="s1"/>
        </w:rPr>
        <w:t>Weight reduction in overweight individuals significantly reduces the risk of complications and may even lead to remission in some cases (NICE, 2022).</w:t>
      </w:r>
    </w:p>
    <w:p w14:paraId="33A5BD85" w14:textId="76D34F6A" w:rsidR="00057018" w:rsidRDefault="00057018" w:rsidP="009958AB">
      <w:pPr>
        <w:pStyle w:val="p1"/>
      </w:pPr>
      <w:r>
        <w:rPr>
          <w:rStyle w:val="s1"/>
        </w:rPr>
        <w:t xml:space="preserve">Medical interventions, including the use of medications such as metformin, may be necessary to improve glucose control. In some cases, insulin therapy may also be </w:t>
      </w:r>
      <w:r w:rsidR="0094541F">
        <w:rPr>
          <w:rStyle w:val="s1"/>
        </w:rPr>
        <w:t>required Metformin</w:t>
      </w:r>
      <w:r w:rsidR="00413B45">
        <w:rPr>
          <w:rStyle w:val="s1"/>
        </w:rPr>
        <w:t xml:space="preserve"> is commonly prescribed as a first-line treatment to improve insulin sensitivity and reduce glucose production in the </w:t>
      </w:r>
      <w:r w:rsidR="0079793E">
        <w:rPr>
          <w:rStyle w:val="s1"/>
        </w:rPr>
        <w:t>liver</w:t>
      </w:r>
      <w:r w:rsidR="0079793E">
        <w:rPr>
          <w:rStyle w:val="apple-converted-space"/>
        </w:rPr>
        <w:t xml:space="preserve"> (</w:t>
      </w:r>
      <w:r>
        <w:rPr>
          <w:rStyle w:val="s1"/>
        </w:rPr>
        <w:t>Diabetes UK, 2023).</w:t>
      </w:r>
    </w:p>
    <w:p w14:paraId="5C710168" w14:textId="54ABBFC1" w:rsidR="003A41EB" w:rsidRDefault="00057018">
      <w:pPr>
        <w:pStyle w:val="p1"/>
      </w:pPr>
      <w:r>
        <w:rPr>
          <w:rStyle w:val="s1"/>
        </w:rPr>
        <w:t>Health promotion and education are vital in supporting individuals to make informed lifestyle choices. Providing access to support services and regular check-ups ensures ongoing management and early detection of complications.</w:t>
      </w:r>
      <w:r w:rsidR="004F6CE7">
        <w:t xml:space="preserve"> </w:t>
      </w:r>
      <w:r w:rsidR="003A41EB">
        <w:rPr>
          <w:rStyle w:val="s1"/>
        </w:rPr>
        <w:t>Providing individuals with the knowledge and skills to manage their condition can lead to improved adherence to treatment and better health outcomes.</w:t>
      </w:r>
    </w:p>
    <w:p w14:paraId="772951D0" w14:textId="40F8E5C2" w:rsidR="009C2D88" w:rsidRPr="002343CA" w:rsidRDefault="009C2D88" w:rsidP="002343CA">
      <w:pPr>
        <w:spacing w:before="100" w:beforeAutospacing="1" w:after="100" w:afterAutospacing="1" w:line="240" w:lineRule="auto"/>
        <w:outlineLvl w:val="1"/>
        <w:rPr>
          <w:rFonts w:eastAsia="Times New Roman" w:cs="Times New Roman"/>
          <w:b/>
          <w:bCs/>
          <w:sz w:val="36"/>
          <w:szCs w:val="36"/>
          <w:lang w:eastAsia="en-GB"/>
        </w:rPr>
      </w:pPr>
      <w:r w:rsidRPr="009C2D88">
        <w:rPr>
          <w:rFonts w:eastAsia="Times New Roman" w:cs="Times New Roman"/>
          <w:b/>
          <w:bCs/>
          <w:sz w:val="36"/>
          <w:szCs w:val="36"/>
          <w:lang w:eastAsia="en-GB"/>
        </w:rPr>
        <w:t>Further Discussion on Long-Term Complications</w:t>
      </w:r>
    </w:p>
    <w:p w14:paraId="07D28902" w14:textId="0717F23E" w:rsidR="009C2D88" w:rsidRPr="009C2D88" w:rsidRDefault="009C2D88" w:rsidP="009C2D88">
      <w:pPr>
        <w:spacing w:before="100" w:beforeAutospacing="1" w:after="100" w:afterAutospacing="1" w:line="240" w:lineRule="auto"/>
        <w:rPr>
          <w:rFonts w:eastAsiaTheme="minorEastAsia" w:cs="Times New Roman"/>
          <w:szCs w:val="24"/>
          <w:lang w:eastAsia="en-GB"/>
        </w:rPr>
      </w:pPr>
      <w:r w:rsidRPr="009C2D88">
        <w:rPr>
          <w:rFonts w:eastAsiaTheme="minorEastAsia" w:cs="Times New Roman"/>
          <w:szCs w:val="24"/>
          <w:lang w:eastAsia="en-GB"/>
        </w:rPr>
        <w:t>In addition to the immediate effects of elevated blood glucose levels, Type 2 diabetes is associated with a wide range of long-term complications that can significantly impact an individual’s quality of life. Prolonged hyperglycaemia can damage both small and large blood vessels, leading to microvascular and macrovascular complications.</w:t>
      </w:r>
    </w:p>
    <w:p w14:paraId="27CD073A" w14:textId="26E87AA9" w:rsidR="009C2D88" w:rsidRPr="009C2D88" w:rsidRDefault="009C2D88" w:rsidP="009C2D88">
      <w:pPr>
        <w:spacing w:before="100" w:beforeAutospacing="1" w:after="100" w:afterAutospacing="1" w:line="240" w:lineRule="auto"/>
        <w:rPr>
          <w:rFonts w:eastAsiaTheme="minorEastAsia" w:cs="Times New Roman"/>
          <w:szCs w:val="24"/>
          <w:lang w:eastAsia="en-GB"/>
        </w:rPr>
      </w:pPr>
      <w:r w:rsidRPr="009C2D88">
        <w:rPr>
          <w:rFonts w:eastAsiaTheme="minorEastAsia" w:cs="Times New Roman"/>
          <w:szCs w:val="24"/>
          <w:lang w:eastAsia="en-GB"/>
        </w:rPr>
        <w:t>Microvascular complications include diabetic retinopathy, nephropathy, and neuropathy. Diabetic retinopathy affects the eyes and can lead to vision impairment or blindness if not properly managed. Nephropathy refers to kidney damage, which may eventually result in chronic kidney disease or the need for dialysis. Neuropathy involves nerve damage, often causing pain, numbness, or loss of sensation, particularly in the lower extremities.</w:t>
      </w:r>
    </w:p>
    <w:p w14:paraId="7F9B0B57" w14:textId="77777777" w:rsidR="009C2D88" w:rsidRPr="009C2D88" w:rsidRDefault="009C2D88" w:rsidP="009C2D88">
      <w:pPr>
        <w:spacing w:before="100" w:beforeAutospacing="1" w:after="100" w:afterAutospacing="1" w:line="240" w:lineRule="auto"/>
        <w:rPr>
          <w:rFonts w:eastAsiaTheme="minorEastAsia" w:cs="Times New Roman"/>
          <w:szCs w:val="24"/>
          <w:lang w:eastAsia="en-GB"/>
        </w:rPr>
      </w:pPr>
      <w:r w:rsidRPr="009C2D88">
        <w:rPr>
          <w:rFonts w:eastAsiaTheme="minorEastAsia" w:cs="Times New Roman"/>
          <w:szCs w:val="24"/>
          <w:lang w:eastAsia="en-GB"/>
        </w:rPr>
        <w:t>Macrovascular complications include cardiovascular diseases such as coronary heart disease, stroke, and peripheral arterial disease. Individuals with Type 2 diabetes are at significantly higher risk of developing these conditions due to the combined effects of high blood glucose, hypertension, and dyslipidaemia.</w:t>
      </w:r>
    </w:p>
    <w:p w14:paraId="7A0F0F8C" w14:textId="77777777" w:rsidR="009C2D88" w:rsidRPr="009C2D88" w:rsidRDefault="009C2D88" w:rsidP="009C2D88">
      <w:pPr>
        <w:spacing w:before="100" w:beforeAutospacing="1" w:after="100" w:afterAutospacing="1" w:line="240" w:lineRule="auto"/>
        <w:rPr>
          <w:rFonts w:eastAsiaTheme="minorEastAsia" w:cs="Times New Roman"/>
          <w:szCs w:val="24"/>
          <w:lang w:eastAsia="en-GB"/>
        </w:rPr>
      </w:pPr>
    </w:p>
    <w:p w14:paraId="2ED4734F" w14:textId="77777777" w:rsidR="009C2D88" w:rsidRPr="009C2D88" w:rsidRDefault="009C2D88" w:rsidP="009C2D88">
      <w:pPr>
        <w:spacing w:before="100" w:beforeAutospacing="1" w:after="100" w:afterAutospacing="1" w:line="240" w:lineRule="auto"/>
        <w:rPr>
          <w:rFonts w:eastAsiaTheme="minorEastAsia" w:cs="Times New Roman"/>
          <w:szCs w:val="24"/>
          <w:lang w:eastAsia="en-GB"/>
        </w:rPr>
      </w:pPr>
      <w:r w:rsidRPr="009C2D88">
        <w:rPr>
          <w:rFonts w:eastAsiaTheme="minorEastAsia" w:cs="Times New Roman"/>
          <w:szCs w:val="24"/>
          <w:lang w:eastAsia="en-GB"/>
        </w:rPr>
        <w:lastRenderedPageBreak/>
        <w:t>Understanding these complications highlights the importance of early intervention and effective management strategies. It reinforces the need for continuous monitoring, lifestyle changes, and adherence to treatment in order to prevent or delay the progression of these conditions.</w:t>
      </w:r>
    </w:p>
    <w:p w14:paraId="3B53E5F2" w14:textId="5F24B6D7" w:rsidR="00A038AF" w:rsidRPr="002343CA" w:rsidRDefault="00A038AF" w:rsidP="002343CA">
      <w:pPr>
        <w:spacing w:before="100" w:beforeAutospacing="1" w:after="100" w:afterAutospacing="1" w:line="240" w:lineRule="auto"/>
        <w:outlineLvl w:val="1"/>
        <w:rPr>
          <w:rFonts w:eastAsia="Times New Roman" w:cs="Times New Roman"/>
          <w:b/>
          <w:bCs/>
          <w:sz w:val="36"/>
          <w:szCs w:val="36"/>
          <w:lang w:eastAsia="en-GB"/>
        </w:rPr>
      </w:pPr>
      <w:r w:rsidRPr="00A038AF">
        <w:rPr>
          <w:rFonts w:eastAsia="Times New Roman" w:cs="Times New Roman"/>
          <w:b/>
          <w:bCs/>
          <w:sz w:val="36"/>
          <w:szCs w:val="36"/>
          <w:lang w:eastAsia="en-GB"/>
        </w:rPr>
        <w:t>The Role of Health Promotion and Patient Education</w:t>
      </w:r>
    </w:p>
    <w:p w14:paraId="24F482A9" w14:textId="46BD5E24" w:rsidR="00A038AF" w:rsidRPr="00A038AF" w:rsidRDefault="00A038AF" w:rsidP="00A038AF">
      <w:pPr>
        <w:spacing w:before="100" w:beforeAutospacing="1" w:after="100" w:afterAutospacing="1" w:line="240" w:lineRule="auto"/>
        <w:rPr>
          <w:rFonts w:eastAsiaTheme="minorEastAsia" w:cs="Times New Roman"/>
          <w:szCs w:val="24"/>
          <w:lang w:eastAsia="en-GB"/>
        </w:rPr>
      </w:pPr>
      <w:r w:rsidRPr="00A038AF">
        <w:rPr>
          <w:rFonts w:eastAsiaTheme="minorEastAsia" w:cs="Times New Roman"/>
          <w:szCs w:val="24"/>
          <w:lang w:eastAsia="en-GB"/>
        </w:rPr>
        <w:t>Health promotion plays a critical role in the prevention and management of Type 2 diabetes. Educating individuals about their condition empowers them to take control of their health and make informed decisions regarding their lifestyle and treatment.</w:t>
      </w:r>
    </w:p>
    <w:p w14:paraId="24CD860E" w14:textId="5CDC2698" w:rsidR="00A038AF" w:rsidRPr="00A038AF" w:rsidRDefault="00A038AF" w:rsidP="00A038AF">
      <w:pPr>
        <w:spacing w:before="100" w:beforeAutospacing="1" w:after="100" w:afterAutospacing="1" w:line="240" w:lineRule="auto"/>
        <w:rPr>
          <w:rFonts w:eastAsiaTheme="minorEastAsia" w:cs="Times New Roman"/>
          <w:szCs w:val="24"/>
          <w:lang w:eastAsia="en-GB"/>
        </w:rPr>
      </w:pPr>
      <w:r w:rsidRPr="00A038AF">
        <w:rPr>
          <w:rFonts w:eastAsiaTheme="minorEastAsia" w:cs="Times New Roman"/>
          <w:szCs w:val="24"/>
          <w:lang w:eastAsia="en-GB"/>
        </w:rPr>
        <w:t>Patient education should focus on increasing awareness of risk factors, symptoms, and the importance of maintaining healthy blood glucose levels. This includes guidance on nutrition, physical activity, medication adherence, and self-monitoring techniques.</w:t>
      </w:r>
    </w:p>
    <w:p w14:paraId="3E2D8B71" w14:textId="0D5A44A2" w:rsidR="00A038AF" w:rsidRPr="00A038AF" w:rsidRDefault="00A038AF" w:rsidP="00A038AF">
      <w:pPr>
        <w:spacing w:before="100" w:beforeAutospacing="1" w:after="100" w:afterAutospacing="1" w:line="240" w:lineRule="auto"/>
        <w:rPr>
          <w:rFonts w:eastAsiaTheme="minorEastAsia" w:cs="Times New Roman"/>
          <w:szCs w:val="24"/>
          <w:lang w:eastAsia="en-GB"/>
        </w:rPr>
      </w:pPr>
      <w:r w:rsidRPr="00A038AF">
        <w:rPr>
          <w:rFonts w:eastAsiaTheme="minorEastAsia" w:cs="Times New Roman"/>
          <w:szCs w:val="24"/>
          <w:lang w:eastAsia="en-GB"/>
        </w:rPr>
        <w:t>Healthcare professionals have a responsibility to provide clear, accessible, and culturally appropriate information. This ensures that patients understand their condition and are able to engage effectively with their care plans.</w:t>
      </w:r>
    </w:p>
    <w:p w14:paraId="2FF17673" w14:textId="6C42FD9F" w:rsidR="001312B2" w:rsidRDefault="00A038AF" w:rsidP="00A038AF">
      <w:pPr>
        <w:spacing w:before="100" w:beforeAutospacing="1" w:after="100" w:afterAutospacing="1" w:line="240" w:lineRule="auto"/>
        <w:rPr>
          <w:rFonts w:eastAsiaTheme="minorEastAsia" w:cs="Times New Roman"/>
          <w:szCs w:val="24"/>
          <w:lang w:eastAsia="en-GB"/>
        </w:rPr>
      </w:pPr>
      <w:r w:rsidRPr="00A038AF">
        <w:rPr>
          <w:rFonts w:eastAsiaTheme="minorEastAsia" w:cs="Times New Roman"/>
          <w:szCs w:val="24"/>
          <w:lang w:eastAsia="en-GB"/>
        </w:rPr>
        <w:t>Structured education programmes, such as diabetes self-management education (DSME), have been shown to improve health outcomes and reduce complications. These programmes encourage behavioural changes and support long-term disease management.</w:t>
      </w:r>
    </w:p>
    <w:p w14:paraId="4071B85D" w14:textId="34FDC89D" w:rsidR="001312B2" w:rsidRPr="002343CA" w:rsidRDefault="001312B2" w:rsidP="002343CA">
      <w:pPr>
        <w:spacing w:before="100" w:beforeAutospacing="1" w:after="100" w:afterAutospacing="1" w:line="240" w:lineRule="auto"/>
        <w:outlineLvl w:val="1"/>
        <w:rPr>
          <w:rFonts w:eastAsia="Times New Roman" w:cs="Times New Roman"/>
          <w:b/>
          <w:bCs/>
          <w:sz w:val="36"/>
          <w:szCs w:val="36"/>
          <w:lang w:eastAsia="en-GB"/>
        </w:rPr>
      </w:pPr>
      <w:r w:rsidRPr="001312B2">
        <w:rPr>
          <w:rFonts w:eastAsia="Times New Roman" w:cs="Times New Roman"/>
          <w:b/>
          <w:bCs/>
          <w:sz w:val="36"/>
          <w:szCs w:val="36"/>
          <w:lang w:eastAsia="en-GB"/>
        </w:rPr>
        <w:t>Psychological and Social Impact of Type 2 Diabetes</w:t>
      </w:r>
    </w:p>
    <w:p w14:paraId="417BA3F5" w14:textId="02C8FE67" w:rsidR="001312B2" w:rsidRPr="001312B2" w:rsidRDefault="001312B2" w:rsidP="001312B2">
      <w:pPr>
        <w:spacing w:before="100" w:beforeAutospacing="1" w:after="100" w:afterAutospacing="1" w:line="240" w:lineRule="auto"/>
        <w:rPr>
          <w:rFonts w:eastAsiaTheme="minorEastAsia" w:cs="Times New Roman"/>
          <w:szCs w:val="24"/>
          <w:lang w:eastAsia="en-GB"/>
        </w:rPr>
      </w:pPr>
      <w:r w:rsidRPr="001312B2">
        <w:rPr>
          <w:rFonts w:eastAsiaTheme="minorEastAsia" w:cs="Times New Roman"/>
          <w:szCs w:val="24"/>
          <w:lang w:eastAsia="en-GB"/>
        </w:rPr>
        <w:t>Living with Type 2 diabetes can have a significant psychological and social impact on individuals. Managing a chronic condition often requires major lifestyle adjustments, which can lead to stress, anxiety, and emotional distress.</w:t>
      </w:r>
    </w:p>
    <w:p w14:paraId="235D9925" w14:textId="359F03E9" w:rsidR="001312B2" w:rsidRPr="001312B2" w:rsidRDefault="001312B2" w:rsidP="001312B2">
      <w:pPr>
        <w:spacing w:before="100" w:beforeAutospacing="1" w:after="100" w:afterAutospacing="1" w:line="240" w:lineRule="auto"/>
        <w:rPr>
          <w:rFonts w:eastAsiaTheme="minorEastAsia" w:cs="Times New Roman"/>
          <w:szCs w:val="24"/>
          <w:lang w:eastAsia="en-GB"/>
        </w:rPr>
      </w:pPr>
      <w:r w:rsidRPr="001312B2">
        <w:rPr>
          <w:rFonts w:eastAsiaTheme="minorEastAsia" w:cs="Times New Roman"/>
          <w:szCs w:val="24"/>
          <w:lang w:eastAsia="en-GB"/>
        </w:rPr>
        <w:t>Some individuals may experience feelings of frustration or guilt related to their condition, particularly if it is associated with lifestyle factors. Others may struggle with motivation to maintain dietary changes or regular physical activity.</w:t>
      </w:r>
    </w:p>
    <w:p w14:paraId="30B233C7" w14:textId="42DDCB94" w:rsidR="001312B2" w:rsidRPr="001312B2" w:rsidRDefault="001312B2" w:rsidP="001312B2">
      <w:pPr>
        <w:spacing w:before="100" w:beforeAutospacing="1" w:after="100" w:afterAutospacing="1" w:line="240" w:lineRule="auto"/>
        <w:rPr>
          <w:rFonts w:eastAsiaTheme="minorEastAsia" w:cs="Times New Roman"/>
          <w:szCs w:val="24"/>
          <w:lang w:eastAsia="en-GB"/>
        </w:rPr>
      </w:pPr>
      <w:r w:rsidRPr="001312B2">
        <w:rPr>
          <w:rFonts w:eastAsiaTheme="minorEastAsia" w:cs="Times New Roman"/>
          <w:szCs w:val="24"/>
          <w:lang w:eastAsia="en-GB"/>
        </w:rPr>
        <w:t>Social factors, including work environment, financial situation, and access to healthcare services, can also influence an individual’s ability to manage their condition effectively. For example, limited access to healthy food options or safe spaces for exercise may act as barriers to lifestyle modification.</w:t>
      </w:r>
    </w:p>
    <w:p w14:paraId="3F79306F" w14:textId="77777777" w:rsidR="001312B2" w:rsidRPr="001312B2" w:rsidRDefault="001312B2" w:rsidP="001312B2">
      <w:pPr>
        <w:spacing w:before="100" w:beforeAutospacing="1" w:after="100" w:afterAutospacing="1" w:line="240" w:lineRule="auto"/>
        <w:rPr>
          <w:rFonts w:eastAsiaTheme="minorEastAsia" w:cs="Times New Roman"/>
          <w:szCs w:val="24"/>
          <w:lang w:eastAsia="en-GB"/>
        </w:rPr>
      </w:pPr>
      <w:r w:rsidRPr="001312B2">
        <w:rPr>
          <w:rFonts w:eastAsiaTheme="minorEastAsia" w:cs="Times New Roman"/>
          <w:szCs w:val="24"/>
          <w:lang w:eastAsia="en-GB"/>
        </w:rPr>
        <w:t>Healthcare professionals should adopt a holistic approach that considers both the physical and emotional needs of the individual. Providing psychological support and encouraging open communication can improve adherence to treatment and overall wellbeing.</w:t>
      </w:r>
    </w:p>
    <w:p w14:paraId="5DCA12BE" w14:textId="77777777" w:rsidR="001312B2" w:rsidRPr="00A038AF" w:rsidRDefault="001312B2" w:rsidP="00A038AF">
      <w:pPr>
        <w:spacing w:before="100" w:beforeAutospacing="1" w:after="100" w:afterAutospacing="1" w:line="240" w:lineRule="auto"/>
        <w:rPr>
          <w:rFonts w:eastAsiaTheme="minorEastAsia" w:cs="Times New Roman"/>
          <w:szCs w:val="24"/>
          <w:lang w:eastAsia="en-GB"/>
        </w:rPr>
      </w:pPr>
    </w:p>
    <w:p w14:paraId="38BD648E" w14:textId="277015E9" w:rsidR="00B81F81" w:rsidRDefault="00B81F81">
      <w:pPr>
        <w:pStyle w:val="p1"/>
      </w:pPr>
    </w:p>
    <w:p w14:paraId="15E25A01" w14:textId="77777777" w:rsidR="006D2D0B" w:rsidRPr="006D2D0B" w:rsidRDefault="006D2D0B" w:rsidP="006D2D0B"/>
    <w:p w14:paraId="6770B4C0" w14:textId="54683221" w:rsidR="007212CA" w:rsidRPr="000B5DFC" w:rsidRDefault="007212CA" w:rsidP="000B5DFC">
      <w:pPr>
        <w:spacing w:before="100" w:beforeAutospacing="1" w:after="100" w:afterAutospacing="1" w:line="240" w:lineRule="auto"/>
        <w:outlineLvl w:val="1"/>
        <w:rPr>
          <w:rFonts w:eastAsia="Times New Roman" w:cs="Times New Roman"/>
          <w:b/>
          <w:bCs/>
          <w:sz w:val="36"/>
          <w:szCs w:val="36"/>
          <w:lang w:eastAsia="en-GB"/>
        </w:rPr>
      </w:pPr>
      <w:r w:rsidRPr="007212CA">
        <w:rPr>
          <w:rFonts w:eastAsia="Times New Roman" w:cs="Times New Roman"/>
          <w:b/>
          <w:bCs/>
          <w:sz w:val="36"/>
          <w:szCs w:val="36"/>
          <w:lang w:eastAsia="en-GB"/>
        </w:rPr>
        <w:lastRenderedPageBreak/>
        <w:t>The Importance of Early Diagnosis and Prevention</w:t>
      </w:r>
    </w:p>
    <w:p w14:paraId="6481ACDF" w14:textId="460D36AA" w:rsidR="007212CA" w:rsidRPr="007212CA" w:rsidRDefault="007212CA" w:rsidP="007212CA">
      <w:pPr>
        <w:spacing w:before="100" w:beforeAutospacing="1" w:after="100" w:afterAutospacing="1" w:line="240" w:lineRule="auto"/>
        <w:rPr>
          <w:rFonts w:eastAsiaTheme="minorEastAsia" w:cs="Times New Roman"/>
          <w:szCs w:val="24"/>
          <w:lang w:eastAsia="en-GB"/>
        </w:rPr>
      </w:pPr>
      <w:r w:rsidRPr="007212CA">
        <w:rPr>
          <w:rFonts w:eastAsiaTheme="minorEastAsia" w:cs="Times New Roman"/>
          <w:szCs w:val="24"/>
          <w:lang w:eastAsia="en-GB"/>
        </w:rPr>
        <w:t>Early diagnosis of Type 2 diabetes is essential in preventing complications and improving long-term outcomes. Many individuals remain undiagnosed for several years, during which time damage to the body may already be occurring.</w:t>
      </w:r>
    </w:p>
    <w:p w14:paraId="565E34A5" w14:textId="75D3DA9E" w:rsidR="007212CA" w:rsidRPr="007212CA" w:rsidRDefault="007212CA" w:rsidP="007212CA">
      <w:pPr>
        <w:spacing w:before="100" w:beforeAutospacing="1" w:after="100" w:afterAutospacing="1" w:line="240" w:lineRule="auto"/>
        <w:rPr>
          <w:rFonts w:eastAsiaTheme="minorEastAsia" w:cs="Times New Roman"/>
          <w:szCs w:val="24"/>
          <w:lang w:eastAsia="en-GB"/>
        </w:rPr>
      </w:pPr>
      <w:r w:rsidRPr="007212CA">
        <w:rPr>
          <w:rFonts w:eastAsiaTheme="minorEastAsia" w:cs="Times New Roman"/>
          <w:szCs w:val="24"/>
          <w:lang w:eastAsia="en-GB"/>
        </w:rPr>
        <w:t>Screening programmes and routine health checks play an important role in identifying individuals at risk. Early detection allows for timely intervention, including lifestyle changes and medical treatment.</w:t>
      </w:r>
    </w:p>
    <w:p w14:paraId="3753BEEB" w14:textId="5B1B87DB" w:rsidR="007212CA" w:rsidRPr="007212CA" w:rsidRDefault="007212CA" w:rsidP="007212CA">
      <w:pPr>
        <w:spacing w:before="100" w:beforeAutospacing="1" w:after="100" w:afterAutospacing="1" w:line="240" w:lineRule="auto"/>
        <w:rPr>
          <w:rFonts w:eastAsiaTheme="minorEastAsia" w:cs="Times New Roman"/>
          <w:szCs w:val="24"/>
          <w:lang w:eastAsia="en-GB"/>
        </w:rPr>
      </w:pPr>
      <w:r w:rsidRPr="007212CA">
        <w:rPr>
          <w:rFonts w:eastAsiaTheme="minorEastAsia" w:cs="Times New Roman"/>
          <w:szCs w:val="24"/>
          <w:lang w:eastAsia="en-GB"/>
        </w:rPr>
        <w:t>Prevention strategies are equally important, particularly for individuals with prediabetes or those at high risk. These strategies include maintaining a healthy weight, engaging in regular physical activity, and adopting a balanced diet.</w:t>
      </w:r>
    </w:p>
    <w:p w14:paraId="22D01A82" w14:textId="77777777" w:rsidR="007212CA" w:rsidRPr="007212CA" w:rsidRDefault="007212CA" w:rsidP="007212CA">
      <w:pPr>
        <w:spacing w:before="100" w:beforeAutospacing="1" w:after="100" w:afterAutospacing="1" w:line="240" w:lineRule="auto"/>
        <w:rPr>
          <w:rFonts w:eastAsiaTheme="minorEastAsia" w:cs="Times New Roman"/>
          <w:szCs w:val="24"/>
          <w:lang w:eastAsia="en-GB"/>
        </w:rPr>
      </w:pPr>
      <w:r w:rsidRPr="007212CA">
        <w:rPr>
          <w:rFonts w:eastAsiaTheme="minorEastAsia" w:cs="Times New Roman"/>
          <w:szCs w:val="24"/>
          <w:lang w:eastAsia="en-GB"/>
        </w:rPr>
        <w:t>Public health initiatives aimed at reducing obesity and promoting healthy lifestyles are essential in addressing the growing prevalence of Type 2 diabetes. These initiatives not only benefit individuals but also reduce the overall burden on healthcare systems.</w:t>
      </w:r>
    </w:p>
    <w:p w14:paraId="6DBA6107" w14:textId="77777777" w:rsidR="00C03A91" w:rsidRDefault="00C03A91" w:rsidP="00C03A91">
      <w:pPr>
        <w:spacing w:line="360" w:lineRule="auto"/>
        <w:rPr>
          <w:rFonts w:ascii="Arial" w:hAnsi="Arial" w:cs="Arial"/>
        </w:rPr>
      </w:pPr>
    </w:p>
    <w:p w14:paraId="72A73D08" w14:textId="627D36EA" w:rsidR="008540D2" w:rsidRPr="008540D2" w:rsidRDefault="008540D2" w:rsidP="008540D2">
      <w:pPr>
        <w:spacing w:before="100" w:beforeAutospacing="1" w:after="100" w:afterAutospacing="1" w:line="240" w:lineRule="auto"/>
        <w:outlineLvl w:val="2"/>
        <w:rPr>
          <w:rFonts w:eastAsia="Times New Roman" w:cs="Times New Roman"/>
          <w:b/>
          <w:bCs/>
          <w:sz w:val="27"/>
          <w:szCs w:val="27"/>
          <w:lang w:eastAsia="en-GB"/>
        </w:rPr>
      </w:pPr>
      <w:r w:rsidRPr="008540D2">
        <w:rPr>
          <w:rFonts w:eastAsia="Times New Roman" w:cs="Times New Roman"/>
          <w:b/>
          <w:bCs/>
          <w:sz w:val="27"/>
          <w:szCs w:val="27"/>
          <w:lang w:eastAsia="en-GB"/>
        </w:rPr>
        <w:t>The Role of Multidisciplinary Care in Diabetes Management</w:t>
      </w:r>
    </w:p>
    <w:p w14:paraId="07C236C6" w14:textId="782C7EDF" w:rsidR="008540D2" w:rsidRPr="008540D2" w:rsidRDefault="008540D2" w:rsidP="008540D2">
      <w:pPr>
        <w:spacing w:before="100" w:beforeAutospacing="1" w:after="100" w:afterAutospacing="1" w:line="240" w:lineRule="auto"/>
        <w:rPr>
          <w:rFonts w:eastAsiaTheme="minorEastAsia" w:cs="Times New Roman"/>
          <w:szCs w:val="24"/>
          <w:lang w:eastAsia="en-GB"/>
        </w:rPr>
      </w:pPr>
      <w:r w:rsidRPr="008540D2">
        <w:rPr>
          <w:rFonts w:eastAsiaTheme="minorEastAsia" w:cs="Times New Roman"/>
          <w:szCs w:val="24"/>
          <w:lang w:eastAsia="en-GB"/>
        </w:rPr>
        <w:t xml:space="preserve">Effective management of Type 2 diabetes requires a multidisciplinary approach involving collaboration between healthcare professionals such as general practitioners, nurses, </w:t>
      </w:r>
      <w:r w:rsidR="00C46137" w:rsidRPr="008540D2">
        <w:rPr>
          <w:rFonts w:eastAsiaTheme="minorEastAsia" w:cs="Times New Roman"/>
          <w:szCs w:val="24"/>
          <w:lang w:eastAsia="en-GB"/>
        </w:rPr>
        <w:t>dietitian’s</w:t>
      </w:r>
      <w:r w:rsidRPr="008540D2">
        <w:rPr>
          <w:rFonts w:eastAsiaTheme="minorEastAsia" w:cs="Times New Roman"/>
          <w:szCs w:val="24"/>
          <w:lang w:eastAsia="en-GB"/>
        </w:rPr>
        <w:t xml:space="preserve">, endocrinologists, and pharmacists. This integrated model ensures that patients receive comprehensive and person-centred care tailored to their individual needs. Each professional contributes specialised knowledge, promoting optimal </w:t>
      </w:r>
      <w:r w:rsidR="00427FF7" w:rsidRPr="008540D2">
        <w:rPr>
          <w:rFonts w:eastAsiaTheme="minorEastAsia" w:cs="Times New Roman"/>
          <w:szCs w:val="24"/>
          <w:lang w:eastAsia="en-GB"/>
        </w:rPr>
        <w:t>glycemic</w:t>
      </w:r>
      <w:r w:rsidRPr="008540D2">
        <w:rPr>
          <w:rFonts w:eastAsiaTheme="minorEastAsia" w:cs="Times New Roman"/>
          <w:szCs w:val="24"/>
          <w:lang w:eastAsia="en-GB"/>
        </w:rPr>
        <w:t xml:space="preserve"> control and reducing the risk of complications (NICE, 2022).</w:t>
      </w:r>
    </w:p>
    <w:p w14:paraId="08CF9B1E" w14:textId="15DE2521" w:rsidR="008540D2" w:rsidRPr="008540D2" w:rsidRDefault="008540D2" w:rsidP="008540D2">
      <w:pPr>
        <w:spacing w:before="100" w:beforeAutospacing="1" w:after="100" w:afterAutospacing="1" w:line="240" w:lineRule="auto"/>
        <w:rPr>
          <w:rFonts w:eastAsiaTheme="minorEastAsia" w:cs="Times New Roman"/>
          <w:szCs w:val="24"/>
          <w:lang w:eastAsia="en-GB"/>
        </w:rPr>
      </w:pPr>
      <w:r w:rsidRPr="008540D2">
        <w:rPr>
          <w:rFonts w:eastAsiaTheme="minorEastAsia" w:cs="Times New Roman"/>
          <w:szCs w:val="24"/>
          <w:lang w:eastAsia="en-GB"/>
        </w:rPr>
        <w:t xml:space="preserve">Diabetes specialist nurses play a crucial role in educating patients on self-management techniques, including blood glucose monitoring, medication adherence, and lifestyle modifications. </w:t>
      </w:r>
      <w:r w:rsidR="00240769" w:rsidRPr="008540D2">
        <w:rPr>
          <w:rFonts w:eastAsiaTheme="minorEastAsia" w:cs="Times New Roman"/>
          <w:szCs w:val="24"/>
          <w:lang w:eastAsia="en-GB"/>
        </w:rPr>
        <w:t>Dietitian’s</w:t>
      </w:r>
      <w:r w:rsidRPr="008540D2">
        <w:rPr>
          <w:rFonts w:eastAsiaTheme="minorEastAsia" w:cs="Times New Roman"/>
          <w:szCs w:val="24"/>
          <w:lang w:eastAsia="en-GB"/>
        </w:rPr>
        <w:t xml:space="preserve"> provide personalised nutritional guidance to support weight management and improve metabolic outcomes. Furthermore, pharmacists assist in medication optimisation and patient counselling, ensuring safe and effective treatment (Diabetes UK, 2023).</w:t>
      </w:r>
    </w:p>
    <w:p w14:paraId="1F7E8B7E" w14:textId="33B1D3BC" w:rsidR="008540D2" w:rsidRPr="008540D2" w:rsidRDefault="008540D2" w:rsidP="008540D2">
      <w:pPr>
        <w:spacing w:before="100" w:beforeAutospacing="1" w:after="100" w:afterAutospacing="1" w:line="240" w:lineRule="auto"/>
        <w:rPr>
          <w:rFonts w:eastAsiaTheme="minorEastAsia" w:cs="Times New Roman"/>
          <w:szCs w:val="24"/>
          <w:lang w:eastAsia="en-GB"/>
        </w:rPr>
      </w:pPr>
      <w:r w:rsidRPr="008540D2">
        <w:rPr>
          <w:rFonts w:eastAsiaTheme="minorEastAsia" w:cs="Times New Roman"/>
          <w:szCs w:val="24"/>
          <w:lang w:eastAsia="en-GB"/>
        </w:rPr>
        <w:t>Collaborative care also enhances communication between professionals and patients, leading to improved adherence to treatment plans and better health outcomes. Evidence suggests that multidisciplinary interventions significantly reduce hospital admissions and improve quality of life among individuals with Type 2 diabetes</w:t>
      </w:r>
      <w:r w:rsidR="00535BCE">
        <w:rPr>
          <w:rFonts w:eastAsiaTheme="minorEastAsia" w:cs="Times New Roman"/>
          <w:szCs w:val="24"/>
          <w:lang w:eastAsia="en-GB"/>
        </w:rPr>
        <w:t xml:space="preserve">. </w:t>
      </w:r>
      <w:r w:rsidRPr="008540D2">
        <w:rPr>
          <w:rFonts w:eastAsiaTheme="minorEastAsia" w:cs="Times New Roman"/>
          <w:szCs w:val="24"/>
          <w:lang w:eastAsia="en-GB"/>
        </w:rPr>
        <w:t>Therefore, an integrated healthcare approach is essential for effective long-term diabetes management.</w:t>
      </w:r>
      <w:r w:rsidR="000F05F9">
        <w:rPr>
          <w:rFonts w:eastAsiaTheme="minorEastAsia" w:cs="Times New Roman"/>
          <w:szCs w:val="24"/>
          <w:lang w:eastAsia="en-GB"/>
        </w:rPr>
        <w:t xml:space="preserve"> </w:t>
      </w:r>
      <w:r w:rsidR="00A46471">
        <w:rPr>
          <w:rFonts w:eastAsiaTheme="minorEastAsia" w:cs="Times New Roman"/>
          <w:szCs w:val="24"/>
          <w:lang w:eastAsia="en-GB"/>
        </w:rPr>
        <w:t xml:space="preserve">(World Health </w:t>
      </w:r>
      <w:r w:rsidR="00466882">
        <w:rPr>
          <w:rFonts w:eastAsiaTheme="minorEastAsia" w:cs="Times New Roman"/>
          <w:szCs w:val="24"/>
          <w:lang w:eastAsia="en-GB"/>
        </w:rPr>
        <w:t>Organisation 2023)</w:t>
      </w:r>
      <w:r w:rsidR="00083FB3">
        <w:rPr>
          <w:rFonts w:eastAsiaTheme="minorEastAsia" w:cs="Times New Roman"/>
          <w:szCs w:val="24"/>
          <w:lang w:eastAsia="en-GB"/>
        </w:rPr>
        <w:t>.</w:t>
      </w:r>
    </w:p>
    <w:p w14:paraId="3BF3713D" w14:textId="77777777" w:rsidR="008B1C4B" w:rsidRDefault="008B1C4B" w:rsidP="00C03A91">
      <w:pPr>
        <w:spacing w:line="360" w:lineRule="auto"/>
        <w:rPr>
          <w:rFonts w:ascii="Arial" w:hAnsi="Arial" w:cs="Arial"/>
        </w:rPr>
      </w:pPr>
    </w:p>
    <w:p w14:paraId="4E74B185" w14:textId="77777777" w:rsidR="008B1C4B" w:rsidRDefault="008B1C4B" w:rsidP="00C03A91">
      <w:pPr>
        <w:spacing w:line="360" w:lineRule="auto"/>
        <w:rPr>
          <w:rFonts w:ascii="Arial" w:hAnsi="Arial" w:cs="Arial"/>
        </w:rPr>
      </w:pPr>
    </w:p>
    <w:p w14:paraId="78CAFEE2" w14:textId="77777777" w:rsidR="009958AB" w:rsidRPr="00C03A91" w:rsidRDefault="009958AB" w:rsidP="00C03A91">
      <w:pPr>
        <w:spacing w:line="360" w:lineRule="auto"/>
        <w:rPr>
          <w:rFonts w:ascii="Arial" w:hAnsi="Arial" w:cs="Arial"/>
        </w:rPr>
      </w:pPr>
    </w:p>
    <w:p w14:paraId="656EE80C" w14:textId="0DFC4149" w:rsidR="00CC4B55" w:rsidRDefault="001B7A40" w:rsidP="00057018">
      <w:pPr>
        <w:pStyle w:val="Heading1"/>
        <w:spacing w:line="360" w:lineRule="auto"/>
      </w:pPr>
      <w:r w:rsidRPr="00C03A91">
        <w:rPr>
          <w:rFonts w:cs="Arial"/>
        </w:rPr>
        <w:lastRenderedPageBreak/>
        <w:t>6. Conclusion</w:t>
      </w:r>
    </w:p>
    <w:p w14:paraId="7F0952FA" w14:textId="61085E06" w:rsidR="00B65DD1" w:rsidRDefault="00B65DD1" w:rsidP="00A166BE">
      <w:pPr>
        <w:pStyle w:val="p1"/>
      </w:pPr>
      <w:r>
        <w:rPr>
          <w:rStyle w:val="s1"/>
        </w:rPr>
        <w:t>In conclusion, Type 2 diabetes is a complex condition that affects the body’s ability to regulate blood glucose effectively. Understanding the physiological mechanisms involved, including blood sugar regulation and cellular metabolism, is essential for effective management.</w:t>
      </w:r>
    </w:p>
    <w:p w14:paraId="127BE792" w14:textId="77777777" w:rsidR="00A166BE" w:rsidRDefault="00B65DD1" w:rsidP="00706DFB">
      <w:pPr>
        <w:pStyle w:val="p1"/>
        <w:rPr>
          <w:rStyle w:val="s1"/>
        </w:rPr>
      </w:pPr>
      <w:r>
        <w:rPr>
          <w:rStyle w:val="s1"/>
        </w:rPr>
        <w:t>Regular monitoring of blood glucose levels plays a critical role in preventing complications and improving health outcomes. Combined with lifestyle changes and appropriate medical interventions, individuals can successfully manage their condition and maintain a good quality of life.</w:t>
      </w:r>
    </w:p>
    <w:p w14:paraId="7CE80CEB" w14:textId="77777777" w:rsidR="00A166BE" w:rsidRDefault="00A166BE" w:rsidP="00706DFB">
      <w:pPr>
        <w:pStyle w:val="p1"/>
        <w:rPr>
          <w:b/>
          <w:bCs/>
        </w:rPr>
      </w:pPr>
    </w:p>
    <w:p w14:paraId="24993180" w14:textId="77777777" w:rsidR="009958AB" w:rsidRDefault="009958AB" w:rsidP="00706DFB">
      <w:pPr>
        <w:pStyle w:val="p1"/>
        <w:rPr>
          <w:b/>
          <w:bCs/>
        </w:rPr>
      </w:pPr>
    </w:p>
    <w:p w14:paraId="1B0DE008" w14:textId="77777777" w:rsidR="009958AB" w:rsidRDefault="009958AB" w:rsidP="00706DFB">
      <w:pPr>
        <w:pStyle w:val="p1"/>
        <w:rPr>
          <w:b/>
          <w:bCs/>
        </w:rPr>
      </w:pPr>
    </w:p>
    <w:p w14:paraId="1C29486C" w14:textId="77777777" w:rsidR="009958AB" w:rsidRDefault="009958AB" w:rsidP="00706DFB">
      <w:pPr>
        <w:pStyle w:val="p1"/>
        <w:rPr>
          <w:b/>
          <w:bCs/>
        </w:rPr>
      </w:pPr>
    </w:p>
    <w:p w14:paraId="0E78A623" w14:textId="77777777" w:rsidR="009958AB" w:rsidRDefault="009958AB" w:rsidP="00706DFB">
      <w:pPr>
        <w:pStyle w:val="p1"/>
        <w:rPr>
          <w:b/>
          <w:bCs/>
        </w:rPr>
      </w:pPr>
    </w:p>
    <w:p w14:paraId="61DEFFB7" w14:textId="77777777" w:rsidR="009958AB" w:rsidRDefault="009958AB" w:rsidP="00706DFB">
      <w:pPr>
        <w:pStyle w:val="p1"/>
        <w:rPr>
          <w:b/>
          <w:bCs/>
        </w:rPr>
      </w:pPr>
    </w:p>
    <w:p w14:paraId="3123E1AF" w14:textId="77777777" w:rsidR="009958AB" w:rsidRDefault="009958AB" w:rsidP="00706DFB">
      <w:pPr>
        <w:pStyle w:val="p1"/>
        <w:rPr>
          <w:b/>
          <w:bCs/>
        </w:rPr>
      </w:pPr>
    </w:p>
    <w:p w14:paraId="33166A76" w14:textId="77777777" w:rsidR="009958AB" w:rsidRDefault="009958AB" w:rsidP="00706DFB">
      <w:pPr>
        <w:pStyle w:val="p1"/>
        <w:rPr>
          <w:b/>
          <w:bCs/>
        </w:rPr>
      </w:pPr>
    </w:p>
    <w:p w14:paraId="3B0E61A7" w14:textId="77777777" w:rsidR="009958AB" w:rsidRDefault="009958AB" w:rsidP="00706DFB">
      <w:pPr>
        <w:pStyle w:val="p1"/>
        <w:rPr>
          <w:b/>
          <w:bCs/>
        </w:rPr>
      </w:pPr>
    </w:p>
    <w:p w14:paraId="70EA62D4" w14:textId="77777777" w:rsidR="009958AB" w:rsidRDefault="009958AB" w:rsidP="00706DFB">
      <w:pPr>
        <w:pStyle w:val="p1"/>
        <w:rPr>
          <w:b/>
          <w:bCs/>
        </w:rPr>
      </w:pPr>
    </w:p>
    <w:p w14:paraId="6E6B0AEF" w14:textId="77777777" w:rsidR="009958AB" w:rsidRDefault="009958AB" w:rsidP="00706DFB">
      <w:pPr>
        <w:pStyle w:val="p1"/>
        <w:rPr>
          <w:b/>
          <w:bCs/>
        </w:rPr>
      </w:pPr>
    </w:p>
    <w:p w14:paraId="6936E58C" w14:textId="77777777" w:rsidR="009958AB" w:rsidRDefault="009958AB" w:rsidP="00706DFB">
      <w:pPr>
        <w:pStyle w:val="p1"/>
        <w:rPr>
          <w:b/>
          <w:bCs/>
        </w:rPr>
      </w:pPr>
    </w:p>
    <w:p w14:paraId="7C4ABC38" w14:textId="77777777" w:rsidR="009958AB" w:rsidRDefault="009958AB" w:rsidP="00706DFB">
      <w:pPr>
        <w:pStyle w:val="p1"/>
        <w:rPr>
          <w:b/>
          <w:bCs/>
        </w:rPr>
      </w:pPr>
    </w:p>
    <w:p w14:paraId="253BC7FD" w14:textId="77777777" w:rsidR="009958AB" w:rsidRDefault="009958AB" w:rsidP="00706DFB">
      <w:pPr>
        <w:pStyle w:val="p1"/>
        <w:rPr>
          <w:b/>
          <w:bCs/>
        </w:rPr>
      </w:pPr>
    </w:p>
    <w:p w14:paraId="5A3BE661" w14:textId="77777777" w:rsidR="009958AB" w:rsidRDefault="009958AB" w:rsidP="00706DFB">
      <w:pPr>
        <w:pStyle w:val="p1"/>
        <w:rPr>
          <w:b/>
          <w:bCs/>
        </w:rPr>
      </w:pPr>
    </w:p>
    <w:p w14:paraId="34AF19AE" w14:textId="77777777" w:rsidR="009958AB" w:rsidRDefault="009958AB" w:rsidP="00706DFB">
      <w:pPr>
        <w:pStyle w:val="p1"/>
        <w:rPr>
          <w:b/>
          <w:bCs/>
        </w:rPr>
      </w:pPr>
    </w:p>
    <w:p w14:paraId="0A1F7516" w14:textId="77777777" w:rsidR="009958AB" w:rsidRDefault="009958AB" w:rsidP="00706DFB">
      <w:pPr>
        <w:pStyle w:val="p1"/>
        <w:rPr>
          <w:b/>
          <w:bCs/>
        </w:rPr>
      </w:pPr>
    </w:p>
    <w:p w14:paraId="4851FC74" w14:textId="77777777" w:rsidR="009958AB" w:rsidRDefault="009958AB" w:rsidP="00706DFB">
      <w:pPr>
        <w:pStyle w:val="p1"/>
        <w:rPr>
          <w:b/>
          <w:bCs/>
        </w:rPr>
      </w:pPr>
    </w:p>
    <w:p w14:paraId="457D384E" w14:textId="77777777" w:rsidR="009958AB" w:rsidRDefault="009958AB" w:rsidP="00706DFB">
      <w:pPr>
        <w:pStyle w:val="p1"/>
        <w:rPr>
          <w:b/>
          <w:bCs/>
        </w:rPr>
      </w:pPr>
    </w:p>
    <w:p w14:paraId="251B3492" w14:textId="190C0352" w:rsidR="001B7A40" w:rsidRPr="000475E9" w:rsidRDefault="001B7A40" w:rsidP="00706DFB">
      <w:pPr>
        <w:pStyle w:val="p1"/>
        <w:rPr>
          <w:b/>
          <w:bCs/>
          <w:sz w:val="36"/>
          <w:szCs w:val="36"/>
        </w:rPr>
      </w:pPr>
      <w:r w:rsidRPr="000475E9">
        <w:rPr>
          <w:b/>
          <w:bCs/>
          <w:sz w:val="36"/>
          <w:szCs w:val="36"/>
        </w:rPr>
        <w:lastRenderedPageBreak/>
        <w:t>References</w:t>
      </w:r>
    </w:p>
    <w:p w14:paraId="26AD7371" w14:textId="450C3B58" w:rsidR="001E2890" w:rsidRDefault="00934822" w:rsidP="00C55F82">
      <w:pPr>
        <w:pStyle w:val="p1"/>
      </w:pPr>
      <w:r>
        <w:rPr>
          <w:rStyle w:val="s1"/>
        </w:rPr>
        <w:t xml:space="preserve"> </w:t>
      </w:r>
      <w:r w:rsidR="001E2890">
        <w:rPr>
          <w:rStyle w:val="s1"/>
        </w:rPr>
        <w:t xml:space="preserve">Colberg, S.R., Sigal, R.J., Yardley, J.E., Riddell, M.C., Dunstan, D.W., Dempsey, P.C., Horton, E.S., Castorino, K. and Tate, D.F. (2016) ‘Physical activity/exercise and diabetes: A position statement of the American Diabetes Association’, </w:t>
      </w:r>
      <w:r w:rsidR="001E2890">
        <w:rPr>
          <w:rStyle w:val="s2"/>
        </w:rPr>
        <w:t>Diabetes Care</w:t>
      </w:r>
      <w:r w:rsidR="001E2890">
        <w:rPr>
          <w:rStyle w:val="s1"/>
        </w:rPr>
        <w:t>, 39(11), pp. 2065–2079.</w:t>
      </w:r>
    </w:p>
    <w:p w14:paraId="1762AB0D" w14:textId="2D3F4F51" w:rsidR="001E2890" w:rsidRDefault="001E2890" w:rsidP="00C55F82">
      <w:pPr>
        <w:pStyle w:val="p1"/>
      </w:pPr>
      <w:r>
        <w:rPr>
          <w:rStyle w:val="s1"/>
        </w:rPr>
        <w:t xml:space="preserve">Diabetes UK (2023) </w:t>
      </w:r>
      <w:r>
        <w:rPr>
          <w:rStyle w:val="s2"/>
        </w:rPr>
        <w:t>Type 2 diabetes</w:t>
      </w:r>
      <w:r>
        <w:rPr>
          <w:rStyle w:val="s1"/>
        </w:rPr>
        <w:t>. Available at: https://www.diabetes.org.uk (Accessed: 28 March 2026).</w:t>
      </w:r>
    </w:p>
    <w:p w14:paraId="65016FDD" w14:textId="48D75FE9" w:rsidR="001E2890" w:rsidRDefault="001E2890" w:rsidP="00C55F82">
      <w:pPr>
        <w:pStyle w:val="p1"/>
      </w:pPr>
      <w:r>
        <w:rPr>
          <w:rStyle w:val="s1"/>
        </w:rPr>
        <w:t xml:space="preserve">Guyton, A.C. and Hall, J.E. (2021) </w:t>
      </w:r>
      <w:r>
        <w:rPr>
          <w:rStyle w:val="s2"/>
        </w:rPr>
        <w:t>Textbook of Medical Physiology</w:t>
      </w:r>
      <w:r>
        <w:rPr>
          <w:rStyle w:val="s1"/>
        </w:rPr>
        <w:t>. 14th edn. Philadelphia: Elsevier.</w:t>
      </w:r>
    </w:p>
    <w:p w14:paraId="7CB8F002" w14:textId="78683CBE" w:rsidR="001E2890" w:rsidRDefault="001E2890" w:rsidP="00C55F82">
      <w:pPr>
        <w:pStyle w:val="p1"/>
      </w:pPr>
      <w:r>
        <w:rPr>
          <w:rStyle w:val="s1"/>
        </w:rPr>
        <w:t xml:space="preserve">Hall, J.E. (2021) </w:t>
      </w:r>
      <w:r>
        <w:rPr>
          <w:rStyle w:val="s2"/>
        </w:rPr>
        <w:t>Guyton and Hall Physiology Review</w:t>
      </w:r>
      <w:r>
        <w:rPr>
          <w:rStyle w:val="s1"/>
        </w:rPr>
        <w:t>. 4th edn. Philadelphia: Elsevier.</w:t>
      </w:r>
    </w:p>
    <w:p w14:paraId="6D728D6A" w14:textId="7FA255CF" w:rsidR="001E2890" w:rsidRDefault="001E2890" w:rsidP="00C55F82">
      <w:pPr>
        <w:pStyle w:val="p1"/>
      </w:pPr>
      <w:r>
        <w:rPr>
          <w:rStyle w:val="s1"/>
        </w:rPr>
        <w:t xml:space="preserve">International Diabetes Federation (2021) </w:t>
      </w:r>
      <w:r>
        <w:rPr>
          <w:rStyle w:val="s2"/>
        </w:rPr>
        <w:t>IDF Diabetes Atlas</w:t>
      </w:r>
      <w:r>
        <w:rPr>
          <w:rStyle w:val="s1"/>
        </w:rPr>
        <w:t>. 10th edn. Available at: https://idf.org (Accessed: 28 March 2026).</w:t>
      </w:r>
    </w:p>
    <w:p w14:paraId="6F536848" w14:textId="2D9CF83D" w:rsidR="001E2890" w:rsidRDefault="001E2890" w:rsidP="00C55F82">
      <w:pPr>
        <w:pStyle w:val="p1"/>
      </w:pPr>
      <w:r>
        <w:rPr>
          <w:rStyle w:val="s1"/>
        </w:rPr>
        <w:t xml:space="preserve">National Institute for Health and Care Excellence (NICE) (2022) </w:t>
      </w:r>
      <w:r>
        <w:rPr>
          <w:rStyle w:val="s2"/>
        </w:rPr>
        <w:t>Type 2 diabetes in adults: management (NG28)</w:t>
      </w:r>
      <w:r>
        <w:rPr>
          <w:rStyle w:val="s1"/>
        </w:rPr>
        <w:t>. Available at: https://www.nice.org.uk/guidance/ng28 (Accessed: 28 March 2026).</w:t>
      </w:r>
    </w:p>
    <w:p w14:paraId="0DE8D1A4" w14:textId="547ABDF6" w:rsidR="001E2890" w:rsidRDefault="001E2890" w:rsidP="00C55F82">
      <w:pPr>
        <w:pStyle w:val="p1"/>
      </w:pPr>
      <w:r>
        <w:rPr>
          <w:rStyle w:val="s1"/>
        </w:rPr>
        <w:t xml:space="preserve">NHS (2024) </w:t>
      </w:r>
      <w:r>
        <w:rPr>
          <w:rStyle w:val="s2"/>
        </w:rPr>
        <w:t>Type 2 diabetes</w:t>
      </w:r>
      <w:r>
        <w:rPr>
          <w:rStyle w:val="s1"/>
        </w:rPr>
        <w:t>. Available at: https://www.nhs.uk/conditions/type-2-diabetes/ (Accessed: 28 March 2026).</w:t>
      </w:r>
    </w:p>
    <w:p w14:paraId="3F98739A" w14:textId="783AABCE" w:rsidR="001E2890" w:rsidRDefault="001E2890" w:rsidP="00C55F82">
      <w:pPr>
        <w:pStyle w:val="p1"/>
      </w:pPr>
      <w:r>
        <w:rPr>
          <w:rStyle w:val="s1"/>
        </w:rPr>
        <w:t xml:space="preserve">Saladin, K.S. (2020) </w:t>
      </w:r>
      <w:r>
        <w:rPr>
          <w:rStyle w:val="s2"/>
        </w:rPr>
        <w:t>Anatomy and Physiology: The Unity of Form and Function</w:t>
      </w:r>
      <w:r>
        <w:rPr>
          <w:rStyle w:val="s1"/>
        </w:rPr>
        <w:t>. 9th edn. New York: McGraw-Hill Education.</w:t>
      </w:r>
    </w:p>
    <w:p w14:paraId="11B7FA75" w14:textId="1A66FD4F" w:rsidR="001E2890" w:rsidRDefault="001E2890" w:rsidP="00C55F82">
      <w:pPr>
        <w:pStyle w:val="p1"/>
      </w:pPr>
      <w:r>
        <w:rPr>
          <w:rStyle w:val="s1"/>
        </w:rPr>
        <w:t xml:space="preserve">Tortora, G.J. and Derrickson, B.H. (2021) </w:t>
      </w:r>
      <w:r>
        <w:rPr>
          <w:rStyle w:val="s2"/>
        </w:rPr>
        <w:t>Principles of Anatomy and Physiology</w:t>
      </w:r>
      <w:r>
        <w:rPr>
          <w:rStyle w:val="s1"/>
        </w:rPr>
        <w:t>. 16th edn. Hoboken: Wiley.</w:t>
      </w:r>
    </w:p>
    <w:p w14:paraId="5A101B9E" w14:textId="77777777" w:rsidR="001E2890" w:rsidRDefault="001E2890">
      <w:pPr>
        <w:pStyle w:val="p1"/>
      </w:pPr>
      <w:r>
        <w:rPr>
          <w:rStyle w:val="s1"/>
        </w:rPr>
        <w:t xml:space="preserve">World Health Organization (2023) </w:t>
      </w:r>
      <w:r>
        <w:rPr>
          <w:rStyle w:val="s2"/>
        </w:rPr>
        <w:t>Diabetes</w:t>
      </w:r>
      <w:r>
        <w:rPr>
          <w:rStyle w:val="s1"/>
        </w:rPr>
        <w:t>. Available at: https://www.who.int/news-room/fact-sheets/detail/diabetes (Accessed: 28 March 2026).</w:t>
      </w:r>
    </w:p>
    <w:p w14:paraId="0A49F9CC" w14:textId="37005052" w:rsidR="00934822" w:rsidRDefault="00934822">
      <w:pPr>
        <w:pStyle w:val="p1"/>
      </w:pPr>
    </w:p>
    <w:p w14:paraId="73175AB0" w14:textId="186EF4E2" w:rsidR="009E58F1" w:rsidRDefault="009E58F1">
      <w:pPr>
        <w:pStyle w:val="p1"/>
      </w:pP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281FD8" w14:textId="77777777" w:rsidR="00F53C1B" w:rsidRDefault="00F53C1B" w:rsidP="00C03A91">
      <w:pPr>
        <w:spacing w:after="0" w:line="240" w:lineRule="auto"/>
      </w:pPr>
      <w:r>
        <w:separator/>
      </w:r>
    </w:p>
  </w:endnote>
  <w:endnote w:type="continuationSeparator" w:id="0">
    <w:p w14:paraId="2EA180C2" w14:textId="77777777" w:rsidR="00F53C1B" w:rsidRDefault="00F53C1B"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625D2D" w14:textId="77777777" w:rsidR="00F53C1B" w:rsidRDefault="00F53C1B" w:rsidP="00C03A91">
      <w:pPr>
        <w:spacing w:after="0" w:line="240" w:lineRule="auto"/>
      </w:pPr>
      <w:r>
        <w:separator/>
      </w:r>
    </w:p>
  </w:footnote>
  <w:footnote w:type="continuationSeparator" w:id="0">
    <w:p w14:paraId="0C02EA04" w14:textId="77777777" w:rsidR="00F53C1B" w:rsidRDefault="00F53C1B"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32E3"/>
    <w:rsid w:val="000209CF"/>
    <w:rsid w:val="00024459"/>
    <w:rsid w:val="000337B0"/>
    <w:rsid w:val="00035369"/>
    <w:rsid w:val="0004278C"/>
    <w:rsid w:val="00046588"/>
    <w:rsid w:val="000475E9"/>
    <w:rsid w:val="000524BB"/>
    <w:rsid w:val="00057018"/>
    <w:rsid w:val="00066D4F"/>
    <w:rsid w:val="00074DF2"/>
    <w:rsid w:val="00076AC0"/>
    <w:rsid w:val="00083FB3"/>
    <w:rsid w:val="000873EE"/>
    <w:rsid w:val="0009775B"/>
    <w:rsid w:val="000B5DFC"/>
    <w:rsid w:val="000C4EDA"/>
    <w:rsid w:val="000C5AAB"/>
    <w:rsid w:val="000D6C00"/>
    <w:rsid w:val="000E16AE"/>
    <w:rsid w:val="000F05F9"/>
    <w:rsid w:val="000F72A3"/>
    <w:rsid w:val="001020BF"/>
    <w:rsid w:val="00102877"/>
    <w:rsid w:val="001043DF"/>
    <w:rsid w:val="001312B2"/>
    <w:rsid w:val="0013591F"/>
    <w:rsid w:val="00136790"/>
    <w:rsid w:val="001504AF"/>
    <w:rsid w:val="00151622"/>
    <w:rsid w:val="00152B44"/>
    <w:rsid w:val="00155343"/>
    <w:rsid w:val="00174097"/>
    <w:rsid w:val="001826EE"/>
    <w:rsid w:val="0019689F"/>
    <w:rsid w:val="001A756D"/>
    <w:rsid w:val="001B7A40"/>
    <w:rsid w:val="001E2890"/>
    <w:rsid w:val="001E5BA7"/>
    <w:rsid w:val="001F6DDB"/>
    <w:rsid w:val="002128FE"/>
    <w:rsid w:val="00214E87"/>
    <w:rsid w:val="00216C85"/>
    <w:rsid w:val="00224621"/>
    <w:rsid w:val="002343CA"/>
    <w:rsid w:val="00240769"/>
    <w:rsid w:val="00240FFA"/>
    <w:rsid w:val="0024458E"/>
    <w:rsid w:val="00261F09"/>
    <w:rsid w:val="002626DC"/>
    <w:rsid w:val="00272ACE"/>
    <w:rsid w:val="0027398D"/>
    <w:rsid w:val="00273EDD"/>
    <w:rsid w:val="00285DF5"/>
    <w:rsid w:val="002A2D51"/>
    <w:rsid w:val="002A5BC1"/>
    <w:rsid w:val="002B3800"/>
    <w:rsid w:val="002B475B"/>
    <w:rsid w:val="002B71CF"/>
    <w:rsid w:val="002C3965"/>
    <w:rsid w:val="002D02D9"/>
    <w:rsid w:val="002D5EDB"/>
    <w:rsid w:val="002E3CC4"/>
    <w:rsid w:val="002F493B"/>
    <w:rsid w:val="002F68DB"/>
    <w:rsid w:val="002F7E0B"/>
    <w:rsid w:val="00310595"/>
    <w:rsid w:val="0031456E"/>
    <w:rsid w:val="00321C4C"/>
    <w:rsid w:val="00322AD0"/>
    <w:rsid w:val="00325A54"/>
    <w:rsid w:val="00327AD6"/>
    <w:rsid w:val="003336E1"/>
    <w:rsid w:val="00345F8E"/>
    <w:rsid w:val="00355E18"/>
    <w:rsid w:val="00357B40"/>
    <w:rsid w:val="00357E95"/>
    <w:rsid w:val="00362CC6"/>
    <w:rsid w:val="00370282"/>
    <w:rsid w:val="00393399"/>
    <w:rsid w:val="003A41EB"/>
    <w:rsid w:val="003A42E8"/>
    <w:rsid w:val="003B6CB3"/>
    <w:rsid w:val="003D35C4"/>
    <w:rsid w:val="003E2B1E"/>
    <w:rsid w:val="00413B45"/>
    <w:rsid w:val="00415BC9"/>
    <w:rsid w:val="00417397"/>
    <w:rsid w:val="004227A4"/>
    <w:rsid w:val="00427FA2"/>
    <w:rsid w:val="00427FF7"/>
    <w:rsid w:val="00435FAA"/>
    <w:rsid w:val="00442072"/>
    <w:rsid w:val="004448DD"/>
    <w:rsid w:val="004503C4"/>
    <w:rsid w:val="004577F7"/>
    <w:rsid w:val="00461CE5"/>
    <w:rsid w:val="00466882"/>
    <w:rsid w:val="00475D00"/>
    <w:rsid w:val="004A2769"/>
    <w:rsid w:val="004A35A7"/>
    <w:rsid w:val="004A5B44"/>
    <w:rsid w:val="004B77D2"/>
    <w:rsid w:val="004B79EC"/>
    <w:rsid w:val="004C3A4D"/>
    <w:rsid w:val="004C43F3"/>
    <w:rsid w:val="004C7E97"/>
    <w:rsid w:val="004D4A1F"/>
    <w:rsid w:val="004E5EE9"/>
    <w:rsid w:val="004F6CE7"/>
    <w:rsid w:val="00513CA2"/>
    <w:rsid w:val="00515BF3"/>
    <w:rsid w:val="005167F3"/>
    <w:rsid w:val="00522248"/>
    <w:rsid w:val="005247B0"/>
    <w:rsid w:val="00535BCE"/>
    <w:rsid w:val="005379F3"/>
    <w:rsid w:val="00542E85"/>
    <w:rsid w:val="00545037"/>
    <w:rsid w:val="00551BBA"/>
    <w:rsid w:val="00560AFC"/>
    <w:rsid w:val="00560CCB"/>
    <w:rsid w:val="005611D5"/>
    <w:rsid w:val="00567331"/>
    <w:rsid w:val="00573F96"/>
    <w:rsid w:val="00576728"/>
    <w:rsid w:val="00580895"/>
    <w:rsid w:val="00580AA9"/>
    <w:rsid w:val="00581F3E"/>
    <w:rsid w:val="00583685"/>
    <w:rsid w:val="005851AD"/>
    <w:rsid w:val="005A020D"/>
    <w:rsid w:val="005B3A5F"/>
    <w:rsid w:val="005B3B83"/>
    <w:rsid w:val="005C0E98"/>
    <w:rsid w:val="005D28B5"/>
    <w:rsid w:val="006009D4"/>
    <w:rsid w:val="0061355D"/>
    <w:rsid w:val="00613BAC"/>
    <w:rsid w:val="006151C6"/>
    <w:rsid w:val="00623859"/>
    <w:rsid w:val="006400E5"/>
    <w:rsid w:val="00644CE0"/>
    <w:rsid w:val="006652B8"/>
    <w:rsid w:val="00675C25"/>
    <w:rsid w:val="006855B3"/>
    <w:rsid w:val="006B56CD"/>
    <w:rsid w:val="006C6113"/>
    <w:rsid w:val="006D2D0B"/>
    <w:rsid w:val="006D4EF3"/>
    <w:rsid w:val="006D7758"/>
    <w:rsid w:val="006E5014"/>
    <w:rsid w:val="006F4C80"/>
    <w:rsid w:val="006F7F7F"/>
    <w:rsid w:val="00703340"/>
    <w:rsid w:val="00706DFB"/>
    <w:rsid w:val="00707110"/>
    <w:rsid w:val="00710ECE"/>
    <w:rsid w:val="007150DF"/>
    <w:rsid w:val="0071594D"/>
    <w:rsid w:val="007212CA"/>
    <w:rsid w:val="00723FFC"/>
    <w:rsid w:val="0073735A"/>
    <w:rsid w:val="00742B2C"/>
    <w:rsid w:val="0075468E"/>
    <w:rsid w:val="007806E2"/>
    <w:rsid w:val="00795CCD"/>
    <w:rsid w:val="0079793E"/>
    <w:rsid w:val="007A7297"/>
    <w:rsid w:val="007B26EF"/>
    <w:rsid w:val="007B29B8"/>
    <w:rsid w:val="007B3CB8"/>
    <w:rsid w:val="007B3D96"/>
    <w:rsid w:val="007C0B0F"/>
    <w:rsid w:val="007E55EC"/>
    <w:rsid w:val="007E7745"/>
    <w:rsid w:val="007F102B"/>
    <w:rsid w:val="007F2B40"/>
    <w:rsid w:val="007F3D61"/>
    <w:rsid w:val="007F4363"/>
    <w:rsid w:val="00803491"/>
    <w:rsid w:val="00815723"/>
    <w:rsid w:val="008353D4"/>
    <w:rsid w:val="0084099C"/>
    <w:rsid w:val="00842CAF"/>
    <w:rsid w:val="008540D2"/>
    <w:rsid w:val="0085456E"/>
    <w:rsid w:val="00871569"/>
    <w:rsid w:val="008729D3"/>
    <w:rsid w:val="00877357"/>
    <w:rsid w:val="00882247"/>
    <w:rsid w:val="00892F5A"/>
    <w:rsid w:val="0089530D"/>
    <w:rsid w:val="008B19F7"/>
    <w:rsid w:val="008B1C4B"/>
    <w:rsid w:val="008C5778"/>
    <w:rsid w:val="008C76FD"/>
    <w:rsid w:val="008D32AF"/>
    <w:rsid w:val="008D3A00"/>
    <w:rsid w:val="008D6E06"/>
    <w:rsid w:val="008E4D71"/>
    <w:rsid w:val="008F23A4"/>
    <w:rsid w:val="00901D17"/>
    <w:rsid w:val="00911DE9"/>
    <w:rsid w:val="00914077"/>
    <w:rsid w:val="00916610"/>
    <w:rsid w:val="0092427B"/>
    <w:rsid w:val="0093016E"/>
    <w:rsid w:val="00934822"/>
    <w:rsid w:val="0093759C"/>
    <w:rsid w:val="009436A3"/>
    <w:rsid w:val="0094541F"/>
    <w:rsid w:val="00964912"/>
    <w:rsid w:val="00966C80"/>
    <w:rsid w:val="0097104A"/>
    <w:rsid w:val="009722DA"/>
    <w:rsid w:val="00977EAB"/>
    <w:rsid w:val="009854CE"/>
    <w:rsid w:val="00985714"/>
    <w:rsid w:val="009958AB"/>
    <w:rsid w:val="0099627E"/>
    <w:rsid w:val="009B017E"/>
    <w:rsid w:val="009B3BDF"/>
    <w:rsid w:val="009C0051"/>
    <w:rsid w:val="009C2D88"/>
    <w:rsid w:val="009C6661"/>
    <w:rsid w:val="009D1D1E"/>
    <w:rsid w:val="009E58F1"/>
    <w:rsid w:val="009F36CF"/>
    <w:rsid w:val="00A006C2"/>
    <w:rsid w:val="00A035FD"/>
    <w:rsid w:val="00A038AF"/>
    <w:rsid w:val="00A060D7"/>
    <w:rsid w:val="00A076BC"/>
    <w:rsid w:val="00A07DB9"/>
    <w:rsid w:val="00A166BE"/>
    <w:rsid w:val="00A32A53"/>
    <w:rsid w:val="00A440F1"/>
    <w:rsid w:val="00A46471"/>
    <w:rsid w:val="00A5488A"/>
    <w:rsid w:val="00A54BEE"/>
    <w:rsid w:val="00A602FD"/>
    <w:rsid w:val="00A65534"/>
    <w:rsid w:val="00A71738"/>
    <w:rsid w:val="00A93C9F"/>
    <w:rsid w:val="00A952AD"/>
    <w:rsid w:val="00A95C56"/>
    <w:rsid w:val="00AA4DD8"/>
    <w:rsid w:val="00AE0FE8"/>
    <w:rsid w:val="00AE3730"/>
    <w:rsid w:val="00B16B7F"/>
    <w:rsid w:val="00B31138"/>
    <w:rsid w:val="00B311D6"/>
    <w:rsid w:val="00B33835"/>
    <w:rsid w:val="00B3587D"/>
    <w:rsid w:val="00B43423"/>
    <w:rsid w:val="00B65DD1"/>
    <w:rsid w:val="00B707C6"/>
    <w:rsid w:val="00B767E3"/>
    <w:rsid w:val="00B81F81"/>
    <w:rsid w:val="00B81F93"/>
    <w:rsid w:val="00B9371F"/>
    <w:rsid w:val="00B939CC"/>
    <w:rsid w:val="00BB35BF"/>
    <w:rsid w:val="00BC2E7B"/>
    <w:rsid w:val="00BF0F9A"/>
    <w:rsid w:val="00C03A91"/>
    <w:rsid w:val="00C13EE9"/>
    <w:rsid w:val="00C20A17"/>
    <w:rsid w:val="00C2177C"/>
    <w:rsid w:val="00C22F97"/>
    <w:rsid w:val="00C33DEA"/>
    <w:rsid w:val="00C34D87"/>
    <w:rsid w:val="00C36D69"/>
    <w:rsid w:val="00C46137"/>
    <w:rsid w:val="00C55F82"/>
    <w:rsid w:val="00C60D57"/>
    <w:rsid w:val="00C81410"/>
    <w:rsid w:val="00C818BF"/>
    <w:rsid w:val="00C8344C"/>
    <w:rsid w:val="00C83C96"/>
    <w:rsid w:val="00C843EF"/>
    <w:rsid w:val="00C92ADD"/>
    <w:rsid w:val="00CA2A3F"/>
    <w:rsid w:val="00CB5A59"/>
    <w:rsid w:val="00CC4B55"/>
    <w:rsid w:val="00CC75BC"/>
    <w:rsid w:val="00CD2863"/>
    <w:rsid w:val="00CD44AD"/>
    <w:rsid w:val="00CE2379"/>
    <w:rsid w:val="00CE7A90"/>
    <w:rsid w:val="00CF020F"/>
    <w:rsid w:val="00CF27E6"/>
    <w:rsid w:val="00CF47AF"/>
    <w:rsid w:val="00CF6521"/>
    <w:rsid w:val="00D02BBE"/>
    <w:rsid w:val="00D13BA4"/>
    <w:rsid w:val="00D168A7"/>
    <w:rsid w:val="00D34DE5"/>
    <w:rsid w:val="00D376BB"/>
    <w:rsid w:val="00D41CC8"/>
    <w:rsid w:val="00D65AF0"/>
    <w:rsid w:val="00D71978"/>
    <w:rsid w:val="00D72363"/>
    <w:rsid w:val="00D73FB0"/>
    <w:rsid w:val="00D919E7"/>
    <w:rsid w:val="00D92EA6"/>
    <w:rsid w:val="00D9301B"/>
    <w:rsid w:val="00D96353"/>
    <w:rsid w:val="00DA2A1E"/>
    <w:rsid w:val="00DB6D4B"/>
    <w:rsid w:val="00DB76BB"/>
    <w:rsid w:val="00DE051A"/>
    <w:rsid w:val="00DE1185"/>
    <w:rsid w:val="00DE2817"/>
    <w:rsid w:val="00DF43A9"/>
    <w:rsid w:val="00DF7135"/>
    <w:rsid w:val="00E17515"/>
    <w:rsid w:val="00E2038D"/>
    <w:rsid w:val="00E22BFD"/>
    <w:rsid w:val="00E26CCE"/>
    <w:rsid w:val="00E3142B"/>
    <w:rsid w:val="00E47841"/>
    <w:rsid w:val="00E50222"/>
    <w:rsid w:val="00E61A4C"/>
    <w:rsid w:val="00E742A6"/>
    <w:rsid w:val="00E77731"/>
    <w:rsid w:val="00E8440F"/>
    <w:rsid w:val="00E8476B"/>
    <w:rsid w:val="00EB12BC"/>
    <w:rsid w:val="00EC3CA7"/>
    <w:rsid w:val="00ED2A60"/>
    <w:rsid w:val="00ED43C8"/>
    <w:rsid w:val="00EE01FC"/>
    <w:rsid w:val="00EE17DF"/>
    <w:rsid w:val="00F1142D"/>
    <w:rsid w:val="00F133EC"/>
    <w:rsid w:val="00F137E3"/>
    <w:rsid w:val="00F26CC8"/>
    <w:rsid w:val="00F41DC6"/>
    <w:rsid w:val="00F44C8F"/>
    <w:rsid w:val="00F53C1B"/>
    <w:rsid w:val="00F53FAC"/>
    <w:rsid w:val="00F54C90"/>
    <w:rsid w:val="00F55326"/>
    <w:rsid w:val="00F641BA"/>
    <w:rsid w:val="00F666ED"/>
    <w:rsid w:val="00F71001"/>
    <w:rsid w:val="00F72F59"/>
    <w:rsid w:val="00F76C2B"/>
    <w:rsid w:val="00F82D3C"/>
    <w:rsid w:val="00F8765F"/>
    <w:rsid w:val="00FB2648"/>
    <w:rsid w:val="00FB7A3F"/>
    <w:rsid w:val="00FC37FC"/>
    <w:rsid w:val="00FD002B"/>
    <w:rsid w:val="00FD3903"/>
    <w:rsid w:val="00FD7392"/>
    <w:rsid w:val="00FE5CF2"/>
    <w:rsid w:val="00FE7658"/>
    <w:rsid w:val="00FF7B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customStyle="1" w:styleId="p1">
    <w:name w:val="p1"/>
    <w:basedOn w:val="Normal"/>
    <w:rsid w:val="00D96353"/>
    <w:pPr>
      <w:spacing w:before="100" w:beforeAutospacing="1" w:after="100" w:afterAutospacing="1" w:line="240" w:lineRule="auto"/>
    </w:pPr>
    <w:rPr>
      <w:rFonts w:eastAsiaTheme="minorEastAsia" w:cs="Times New Roman"/>
      <w:szCs w:val="24"/>
      <w:lang w:eastAsia="en-GB"/>
    </w:rPr>
  </w:style>
  <w:style w:type="character" w:customStyle="1" w:styleId="s1">
    <w:name w:val="s1"/>
    <w:basedOn w:val="DefaultParagraphFont"/>
    <w:rsid w:val="00D96353"/>
  </w:style>
  <w:style w:type="paragraph" w:customStyle="1" w:styleId="p2">
    <w:name w:val="p2"/>
    <w:basedOn w:val="Normal"/>
    <w:rsid w:val="00D96353"/>
    <w:pPr>
      <w:spacing w:before="100" w:beforeAutospacing="1" w:after="100" w:afterAutospacing="1" w:line="240" w:lineRule="auto"/>
    </w:pPr>
    <w:rPr>
      <w:rFonts w:eastAsiaTheme="minorEastAsia" w:cs="Times New Roman"/>
      <w:szCs w:val="24"/>
      <w:lang w:eastAsia="en-GB"/>
    </w:rPr>
  </w:style>
  <w:style w:type="character" w:customStyle="1" w:styleId="s2">
    <w:name w:val="s2"/>
    <w:basedOn w:val="DefaultParagraphFont"/>
    <w:rsid w:val="009E58F1"/>
  </w:style>
  <w:style w:type="character" w:customStyle="1" w:styleId="apple-converted-space">
    <w:name w:val="apple-converted-space"/>
    <w:basedOn w:val="DefaultParagraphFont"/>
    <w:rsid w:val="002B3800"/>
  </w:style>
  <w:style w:type="paragraph" w:customStyle="1" w:styleId="p3">
    <w:name w:val="p3"/>
    <w:basedOn w:val="Normal"/>
    <w:rsid w:val="004E5EE9"/>
    <w:pPr>
      <w:spacing w:before="100" w:beforeAutospacing="1" w:after="100" w:afterAutospacing="1" w:line="240" w:lineRule="auto"/>
    </w:pPr>
    <w:rPr>
      <w:rFonts w:eastAsiaTheme="minorEastAsia"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image" Target="media/image3.png"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image" Target="media/image2.png"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cid:image001.png@01D0EA4A.2BD679A0" TargetMode="External" /><Relationship Id="rId5" Type="http://schemas.openxmlformats.org/officeDocument/2006/relationships/styles" Target="styles.xml" /><Relationship Id="rId15" Type="http://schemas.openxmlformats.org/officeDocument/2006/relationships/image" Target="media/image5.png" /><Relationship Id="rId10" Type="http://schemas.openxmlformats.org/officeDocument/2006/relationships/image" Target="media/image1.png"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4a944afaf8abf6fdf1117ae9bb1a3477">
  <xsd:schema xmlns:xsd="http://www.w3.org/2001/XMLSchema" xmlns:xs="http://www.w3.org/2001/XMLSchema" xmlns:p="http://schemas.microsoft.com/office/2006/metadata/properties" xmlns:ns3="170d7878-6d73-463a-a069-a6c57769e00c" targetNamespace="http://schemas.microsoft.com/office/2006/metadata/properties" ma:root="true" ma:fieldsID="d74b51eaf579b0abd0a6bc4b20129ecd"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1D010BFA-B4B8-4423-B863-B417D47264F8}">
  <ds:schemaRefs>
    <ds:schemaRef ds:uri="http://schemas.microsoft.com/sharepoint/v3/contenttype/forms"/>
  </ds:schemaRefs>
</ds:datastoreItem>
</file>

<file path=customXml/itemProps2.xml><?xml version="1.0" encoding="utf-8"?>
<ds:datastoreItem xmlns:ds="http://schemas.openxmlformats.org/officeDocument/2006/customXml" ds:itemID="{827EF5D7-E57A-4F1B-9755-69F39D36B15C}">
  <ds:schemaRefs>
    <ds:schemaRef ds:uri="http://schemas.microsoft.com/office/2006/metadata/contentType"/>
    <ds:schemaRef ds:uri="http://schemas.microsoft.com/office/2006/metadata/properties/metaAttributes"/>
    <ds:schemaRef ds:uri="http://www.w3.org/2000/xmlns/"/>
    <ds:schemaRef ds:uri="http://www.w3.org/2001/XMLSchema"/>
    <ds:schemaRef ds:uri="170d7878-6d73-463a-a069-a6c57769e00c"/>
  </ds:schemaRefs>
</ds:datastoreItem>
</file>

<file path=customXml/itemProps3.xml><?xml version="1.0" encoding="utf-8"?>
<ds:datastoreItem xmlns:ds="http://schemas.openxmlformats.org/officeDocument/2006/customXml" ds:itemID="{E3F5E36A-AF9B-4D6A-9741-44C1455B6CE7}">
  <ds:schemaRefs>
    <ds:schemaRef ds:uri="http://schemas.microsoft.com/office/2006/metadata/properties"/>
    <ds:schemaRef ds:uri="http://www.w3.org/2000/xmlns/"/>
    <ds:schemaRef ds:uri="170d7878-6d73-463a-a069-a6c57769e00c"/>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2412</Words>
  <Characters>13751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Senica Camara (2417502)</cp:lastModifiedBy>
  <cp:revision>2</cp:revision>
  <dcterms:created xsi:type="dcterms:W3CDTF">2026-04-08T22:10:00Z</dcterms:created>
  <dcterms:modified xsi:type="dcterms:W3CDTF">2026-04-08T22:10:00Z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