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700A11" w14:textId="77777777" w:rsidR="00475256" w:rsidRPr="000A3E8C" w:rsidRDefault="00475256" w:rsidP="00CE18C2">
      <w:pPr>
        <w:rPr>
          <w:rStyle w:val="normaltextrun"/>
          <w:rFonts w:ascii="Arial" w:eastAsiaTheme="majorEastAsia" w:hAnsi="Arial" w:cs="Arial"/>
          <w:color w:val="000000"/>
          <w:shd w:val="clear" w:color="auto" w:fill="FFFFFF"/>
        </w:rPr>
      </w:pPr>
      <w:r w:rsidRPr="000A3E8C">
        <w:rPr>
          <w:rStyle w:val="normaltextrun"/>
          <w:rFonts w:ascii="Arial" w:eastAsiaTheme="majorEastAsia" w:hAnsi="Arial" w:cs="Arial"/>
          <w:color w:val="000000"/>
          <w:shd w:val="clear" w:color="auto" w:fill="FFFFFF"/>
        </w:rPr>
        <w:t xml:space="preserve">Faye James </w:t>
      </w:r>
    </w:p>
    <w:p w14:paraId="1CC8FB3A" w14:textId="77777777" w:rsidR="00475256" w:rsidRPr="000A3E8C" w:rsidRDefault="00475256" w:rsidP="00CE18C2">
      <w:pPr>
        <w:rPr>
          <w:rStyle w:val="normaltextrun"/>
          <w:rFonts w:ascii="Arial" w:eastAsiaTheme="majorEastAsia" w:hAnsi="Arial" w:cs="Arial"/>
          <w:color w:val="000000"/>
          <w:shd w:val="clear" w:color="auto" w:fill="FFFFFF"/>
        </w:rPr>
      </w:pPr>
      <w:r w:rsidRPr="000A3E8C">
        <w:rPr>
          <w:rStyle w:val="normaltextrun"/>
          <w:rFonts w:ascii="Arial" w:eastAsiaTheme="majorEastAsia" w:hAnsi="Arial" w:cs="Arial"/>
          <w:color w:val="000000"/>
          <w:shd w:val="clear" w:color="auto" w:fill="FFFFFF"/>
        </w:rPr>
        <w:t>Student Number: 2519336</w:t>
      </w:r>
    </w:p>
    <w:p w14:paraId="0A160753" w14:textId="67C3F514" w:rsidR="00475256" w:rsidRPr="000A3E8C" w:rsidRDefault="00475256" w:rsidP="00CE18C2">
      <w:pPr>
        <w:rPr>
          <w:rStyle w:val="normaltextrun"/>
          <w:rFonts w:ascii="Arial" w:eastAsiaTheme="majorEastAsia" w:hAnsi="Arial" w:cs="Arial"/>
          <w:color w:val="000000"/>
          <w:shd w:val="clear" w:color="auto" w:fill="FFFFFF"/>
        </w:rPr>
      </w:pPr>
      <w:r w:rsidRPr="000A3E8C">
        <w:rPr>
          <w:rStyle w:val="normaltextrun"/>
          <w:rFonts w:ascii="Arial" w:eastAsiaTheme="majorEastAsia" w:hAnsi="Arial" w:cs="Arial"/>
          <w:color w:val="000000"/>
          <w:shd w:val="clear" w:color="auto" w:fill="FFFFFF"/>
        </w:rPr>
        <w:t>Module Code: ECIE4011</w:t>
      </w:r>
    </w:p>
    <w:p w14:paraId="01D068B5" w14:textId="1BE93AA4" w:rsidR="008D34A5" w:rsidRPr="000A3E8C" w:rsidRDefault="00475256" w:rsidP="00CE18C2">
      <w:pPr>
        <w:rPr>
          <w:b/>
        </w:rPr>
      </w:pPr>
      <w:r w:rsidRPr="000A3E8C">
        <w:rPr>
          <w:rStyle w:val="normaltextrun"/>
          <w:rFonts w:ascii="Arial" w:eastAsiaTheme="majorEastAsia" w:hAnsi="Arial" w:cs="Arial"/>
          <w:color w:val="000000"/>
          <w:shd w:val="clear" w:color="auto" w:fill="FFFFFF"/>
        </w:rPr>
        <w:t xml:space="preserve">Assignment Title: </w:t>
      </w:r>
      <w:r w:rsidR="008D34A5" w:rsidRPr="000A3E8C">
        <w:rPr>
          <w:rStyle w:val="normaltextrun"/>
          <w:rFonts w:ascii="Arial" w:eastAsiaTheme="majorEastAsia" w:hAnsi="Arial" w:cs="Arial"/>
          <w:color w:val="000000"/>
          <w:shd w:val="clear" w:color="auto" w:fill="FFFFFF"/>
        </w:rPr>
        <w:t>Discuss a range of factors that influence children’s behaviour (both positively and negatively) in a learning environment.</w:t>
      </w:r>
      <w:r w:rsidR="008D34A5" w:rsidRPr="000A3E8C">
        <w:rPr>
          <w:rStyle w:val="normaltextrun"/>
          <w:rFonts w:ascii="Arial" w:eastAsiaTheme="majorEastAsia" w:hAnsi="Arial" w:cs="Arial"/>
          <w:b/>
          <w:bCs/>
          <w:color w:val="000000"/>
          <w:shd w:val="clear" w:color="auto" w:fill="FFFFFF"/>
        </w:rPr>
        <w:t>  </w:t>
      </w:r>
    </w:p>
    <w:p w14:paraId="791E8349" w14:textId="77777777" w:rsidR="008D34A5" w:rsidRPr="000A3E8C" w:rsidRDefault="008D34A5" w:rsidP="00CE18C2"/>
    <w:p w14:paraId="5ADF1021" w14:textId="0F2539B2" w:rsidR="008D34A5" w:rsidRPr="0045270E" w:rsidRDefault="00475256" w:rsidP="00475256">
      <w:pPr>
        <w:jc w:val="center"/>
        <w:rPr>
          <w:b/>
          <w:bCs/>
          <w:u w:val="single"/>
        </w:rPr>
      </w:pPr>
      <w:r w:rsidRPr="0045270E">
        <w:rPr>
          <w:b/>
          <w:bCs/>
          <w:u w:val="single"/>
        </w:rPr>
        <w:t>Factors that influence children’s behaviour in a learning environment</w:t>
      </w:r>
    </w:p>
    <w:p w14:paraId="1B5992BF" w14:textId="77777777" w:rsidR="00CC2B1B" w:rsidRPr="0045270E" w:rsidRDefault="00CC2B1B" w:rsidP="00CE18C2"/>
    <w:p w14:paraId="6755794D" w14:textId="31979203" w:rsidR="00204CD4" w:rsidRPr="0045270E" w:rsidRDefault="00204CD4" w:rsidP="00CE18C2">
      <w:r w:rsidRPr="0045270E">
        <w:t xml:space="preserve">Behaviour is a powerful form of communication that expresses messages such as needs, feelings and intentions (Rogers, 2015). As communication can be shown through both positive and negative behaviours, it is important to understand the underlying reasons behind children’s responses. Children’s behaviour in learning environments is influenced by a range of factors including cognitive, psychological, biological and systemic influences (Bronfenbrenner, 1979). Positive behaviour supports cooperation, engagement and achievement, while negative behaviour can disrupt both individual and peer learning (Emmer and </w:t>
      </w:r>
      <w:proofErr w:type="spellStart"/>
      <w:r w:rsidRPr="0045270E">
        <w:t>Sabornie</w:t>
      </w:r>
      <w:proofErr w:type="spellEnd"/>
      <w:r w:rsidRPr="0045270E">
        <w:t>, 2015). This essay will discuss factors that can have both positive and negative effects on children’s behaviour in learning environments and demonstrate how individual characteristics contribute to behavioural development.</w:t>
      </w:r>
    </w:p>
    <w:p w14:paraId="00B2D8EF" w14:textId="77777777" w:rsidR="004F33E1" w:rsidRPr="0045270E" w:rsidRDefault="004F33E1" w:rsidP="00CE18C2"/>
    <w:p w14:paraId="54DCBBCF" w14:textId="51EB9055" w:rsidR="00A57CDB" w:rsidRPr="0045270E" w:rsidRDefault="004F33E1" w:rsidP="00CE18C2">
      <w:r w:rsidRPr="0045270E">
        <w:t xml:space="preserve">Theorist BF Skinner believed that behaviour is shaped by </w:t>
      </w:r>
      <w:r w:rsidR="002867CB" w:rsidRPr="0045270E">
        <w:t>consequences and</w:t>
      </w:r>
      <w:r w:rsidR="007E4CC2" w:rsidRPr="0045270E">
        <w:t xml:space="preserve"> can be changed to our desire.</w:t>
      </w:r>
      <w:r w:rsidRPr="0045270E">
        <w:t xml:space="preserve"> Skinner’s Operant Conditioning theory proposed that behaviour is learned through interaction with the environment and is influenced by the consequences that follow it. He identified four factors that influence behaviour – positive reinforcement, negative reinforcement, positive punishment, and negative punishment. Presenting a reward or praise for good behaviour was likely to have a positive influence, increasing the likelihood that the behaviour would be repeated, whereas the use of punishment and negative reinforcement would reduce the likelihood of unwanted behaviour to be repeated </w:t>
      </w:r>
      <w:r w:rsidR="00A57CDB" w:rsidRPr="0045270E">
        <w:t>(Brodie, 2024)</w:t>
      </w:r>
      <w:r w:rsidR="007E4CC2" w:rsidRPr="0045270E">
        <w:t xml:space="preserve">. </w:t>
      </w:r>
      <w:r w:rsidR="00C02827" w:rsidRPr="0045270E">
        <w:t xml:space="preserve">Working in a mainstream primary school Early Years classroom, I have observed daily practices that support Skinner’s Operant Conditioning theory. One strategy used effectively is the classroom reward chart, which is displayed prominently on the wall and referred to throughout the day. At the start of each morning, all children’s names are placed in the centre of the chart, providing every child with an equal opportunity to succeed regardless of previous behaviour. Throughout the day, children are able to move up or down the chart depending on the behaviour they display. Some positive behaviours such as good listening, cooperating, completing tasks, working well with others and demonstrating good manners, are acknowledged through verbal praise. Following this praise, children are able to move their name up the chart. At the end of each day, children </w:t>
      </w:r>
      <w:r w:rsidR="00283FCB" w:rsidRPr="0045270E">
        <w:t>who have reached the higher levels of the chart receive further reinforcement when the class sings a “well done” song during carpet time, and they are also given a sticker to take home. The effectiveness of this strategy is evident in the children’s responses. Many children display a strong sense of pride, motivation and confidence when their behaviour is positively reinforced. They often enjoy showing their peers and other teachers when their name has been moved up the chart, which further reinforces their achievement. Additionally, observing others receive rewards often encourages peers to also imitate positive behaviour.</w:t>
      </w:r>
      <w:r w:rsidR="00846791" w:rsidRPr="0045270E">
        <w:t xml:space="preserve"> Alongside the use of praise to reinforce positive behaviour, negative reinforcement and punishment are also implemented for children who display negative behaviours such as being disruptive, falling out or fighting with peers, breaking school or classroom rules. After discussing appropriate behaviour and expectations following negative behaviour, the child is asked to move their name down the chart. These are then followed by negative punishment, such as missing golden time, losing the opportunity to play with friends during play time, or a phone call home to discuss the behaviour with parents. When a child has been moved down the chart, opportunities are provided throughout the day for them to improve their behaviour and move back up, which most children are eager to do. However, although the behaviour chart is effective for most pupils in the Early Years setting, </w:t>
      </w:r>
      <w:r w:rsidR="00213ACF" w:rsidRPr="0045270E">
        <w:t xml:space="preserve">as it is set to an age-appropriate level, </w:t>
      </w:r>
      <w:r w:rsidR="00846791" w:rsidRPr="0045270E">
        <w:t xml:space="preserve">they do not work for all. </w:t>
      </w:r>
      <w:r w:rsidR="00213ACF" w:rsidRPr="0045270E">
        <w:t>For children with low self-esteem, being moved down the chart could contribute to a cycle of negative behaviour or feelings of hopelessness and shame, potentially undermining the intended positive impact of the strategy.</w:t>
      </w:r>
    </w:p>
    <w:p w14:paraId="1CDB29A4" w14:textId="611D821C" w:rsidR="00073CC7" w:rsidRPr="0045270E" w:rsidRDefault="00E75A22" w:rsidP="003B6C94">
      <w:pPr>
        <w:pStyle w:val="NormalWeb"/>
        <w:rPr>
          <w:sz w:val="20"/>
          <w:szCs w:val="20"/>
        </w:rPr>
      </w:pPr>
      <w:r w:rsidRPr="0045270E">
        <w:rPr>
          <w:sz w:val="20"/>
          <w:szCs w:val="20"/>
        </w:rPr>
        <w:t xml:space="preserve">Unlike Skinner’s Operant Conditioning theory, which focuses on the ability to control and change behaviour, Piaget’s cognitive development theory highlights the link between children’s behaviour and their level of cognitive development. Piaget believed that children’s behaviour in a learning environment </w:t>
      </w:r>
      <w:r w:rsidR="009D2EE3" w:rsidRPr="0045270E">
        <w:rPr>
          <w:sz w:val="20"/>
          <w:szCs w:val="20"/>
        </w:rPr>
        <w:t>is</w:t>
      </w:r>
      <w:r w:rsidRPr="0045270E">
        <w:rPr>
          <w:sz w:val="20"/>
          <w:szCs w:val="20"/>
        </w:rPr>
        <w:t xml:space="preserve"> influenced by a wide range of factors including early life experiences, emotional wellbeing, and the environment in which learning takes place</w:t>
      </w:r>
      <w:r w:rsidR="003B6C94" w:rsidRPr="0045270E">
        <w:rPr>
          <w:sz w:val="20"/>
          <w:szCs w:val="20"/>
        </w:rPr>
        <w:t xml:space="preserve"> (Piaget,1952). According to Piaget’s theory of cognitive development, children progress through stages of thinking as their brains mature (Piaget, 1952). A key part of the brain involved in rational thinking and decision-making is the cortex, particularly the prefrontal cortex. The cortex allows children to think logically, manage emotions, and respond appropriately to challenging situations (Siegel, 2012). When a child’s cortex is well developed, they are more likely to pause, think through a problem, and choose a calm and appropriate response. In a learning environment, this can result in positive behaviours such as cooperation, </w:t>
      </w:r>
      <w:r w:rsidR="003B6C94" w:rsidRPr="0045270E">
        <w:rPr>
          <w:sz w:val="20"/>
          <w:szCs w:val="20"/>
        </w:rPr>
        <w:lastRenderedPageBreak/>
        <w:t>resilience, problem-solving, and the ability to manage frustration. However, research suggests that negative early life experiences can significantly impact cognitive development and behaviour. Children who have experienced adverse childhood experiences (ACEs), such as neglect, emotional abuse, physical abuse, domestic violence, or parental substance misuse, may have less well-developed neural connections in the cortex (</w:t>
      </w:r>
      <w:proofErr w:type="spellStart"/>
      <w:r w:rsidR="003B6C94" w:rsidRPr="0045270E">
        <w:rPr>
          <w:sz w:val="20"/>
          <w:szCs w:val="20"/>
        </w:rPr>
        <w:t>Felitti</w:t>
      </w:r>
      <w:proofErr w:type="spellEnd"/>
      <w:r w:rsidR="003B6C94" w:rsidRPr="0045270E">
        <w:rPr>
          <w:sz w:val="20"/>
          <w:szCs w:val="20"/>
        </w:rPr>
        <w:t xml:space="preserve"> et al., 1998). As a result, they may struggle to think rationally when faced with stress or difficulty. In a classroom setting, this can lead to negative behaviours such as aggression, withdrawal, defiance, or an inability to follow instructions. When a child’s cortex is underdeveloped due to early trauma, their behaviour is often driven by the brain’s survival system rather than rational thought. In challenging situations, the fight-or-flight response may be triggered. Instead of thinking calmly about how to respond, the child may react impulsively by becoming physically aggressive, shouting, or attempting to escape the situation.</w:t>
      </w:r>
      <w:r w:rsidR="000F187E" w:rsidRPr="0045270E">
        <w:rPr>
          <w:sz w:val="20"/>
          <w:szCs w:val="20"/>
        </w:rPr>
        <w:t xml:space="preserve"> </w:t>
      </w:r>
      <w:r w:rsidR="00731760" w:rsidRPr="0045270E">
        <w:rPr>
          <w:sz w:val="20"/>
          <w:szCs w:val="20"/>
        </w:rPr>
        <w:t xml:space="preserve">On the other hand, positive early experiences play an important role in supporting healthy cognitive development and positive behaviour. When children grow up in caring, stable environments where they feel safe, supported, and valued, they are more likely to develop good reasoning skills and emotional control. </w:t>
      </w:r>
      <w:r w:rsidR="003B6C94" w:rsidRPr="0045270E">
        <w:rPr>
          <w:sz w:val="20"/>
          <w:szCs w:val="20"/>
        </w:rPr>
        <w:t>In the learning environment, these children are better able to cope with challenges, manage conflict, and engage positively with peers and adults. Supportive relationships with teachers, clear routines, and emotionally safe classrooms can further strengthen cognitive development and encourage positive behaviour (DfE, 2021).</w:t>
      </w:r>
      <w:r w:rsidR="00861930" w:rsidRPr="0045270E">
        <w:rPr>
          <w:sz w:val="20"/>
          <w:szCs w:val="20"/>
        </w:rPr>
        <w:t xml:space="preserve"> </w:t>
      </w:r>
      <w:r w:rsidR="006C79F9" w:rsidRPr="0045270E">
        <w:rPr>
          <w:sz w:val="20"/>
          <w:szCs w:val="20"/>
        </w:rPr>
        <w:t>During my time in school, I have observed children who are currently experiencing, or have previously experienced, Adverse Childhood Experiences (ACEs) from an early age. Many of these children struggle with fight-or-flight responses, such as withdrawing and hiding, or reacting aggressively when faced with new or challenging situations. Behaviour in the learning environment is influenced by a combination of cognitive development, biological factors, and early life experiences. Therefore, creating a learning environment that promotes positive behaviour and emotional development is essential. By offering empathy, consistency, and appropriate individualised support, educators can help children develop the skills needed to respond to challenges in a calmer and more rational way.</w:t>
      </w:r>
    </w:p>
    <w:p w14:paraId="44C15100" w14:textId="4D1FCF2D" w:rsidR="0040274C" w:rsidRPr="0045270E" w:rsidRDefault="0040274C" w:rsidP="003B6C94">
      <w:pPr>
        <w:pStyle w:val="NormalWeb"/>
        <w:rPr>
          <w:sz w:val="20"/>
          <w:szCs w:val="20"/>
        </w:rPr>
      </w:pPr>
      <w:r w:rsidRPr="0045270E">
        <w:rPr>
          <w:sz w:val="20"/>
          <w:szCs w:val="20"/>
        </w:rPr>
        <w:t>The use of rewards and sanctions in Ysgol Gwaun-</w:t>
      </w:r>
      <w:proofErr w:type="spellStart"/>
      <w:r w:rsidRPr="0045270E">
        <w:rPr>
          <w:sz w:val="20"/>
          <w:szCs w:val="20"/>
        </w:rPr>
        <w:t>Cae</w:t>
      </w:r>
      <w:proofErr w:type="spellEnd"/>
      <w:r w:rsidRPr="0045270E">
        <w:rPr>
          <w:sz w:val="20"/>
          <w:szCs w:val="20"/>
        </w:rPr>
        <w:t>-</w:t>
      </w:r>
      <w:proofErr w:type="spellStart"/>
      <w:r w:rsidRPr="0045270E">
        <w:rPr>
          <w:sz w:val="20"/>
          <w:szCs w:val="20"/>
        </w:rPr>
        <w:t>Gurwen’s</w:t>
      </w:r>
      <w:proofErr w:type="spellEnd"/>
      <w:r w:rsidRPr="0045270E">
        <w:rPr>
          <w:sz w:val="20"/>
          <w:szCs w:val="20"/>
        </w:rPr>
        <w:t xml:space="preserve"> Behaviour Policy (2025) has direct links to Skinner’s theory of Behaviourism, particularly his concept of operant conditioning, which explains behaviour as learned through rewards and consequences. The school encourages positive behaviour through praise, certificates, house points and rewards such as golden time, which act as positive reinforcement and increase the likelihood that pupils will repeat good behaviour, helping to create a calm and supportive learning environment (Ysgol Gwaun-</w:t>
      </w:r>
      <w:proofErr w:type="spellStart"/>
      <w:r w:rsidRPr="0045270E">
        <w:rPr>
          <w:sz w:val="20"/>
          <w:szCs w:val="20"/>
        </w:rPr>
        <w:t>Cae</w:t>
      </w:r>
      <w:proofErr w:type="spellEnd"/>
      <w:r w:rsidRPr="0045270E">
        <w:rPr>
          <w:sz w:val="20"/>
          <w:szCs w:val="20"/>
        </w:rPr>
        <w:t>-</w:t>
      </w:r>
      <w:proofErr w:type="spellStart"/>
      <w:r w:rsidRPr="0045270E">
        <w:rPr>
          <w:sz w:val="20"/>
          <w:szCs w:val="20"/>
        </w:rPr>
        <w:t>Gurwen</w:t>
      </w:r>
      <w:proofErr w:type="spellEnd"/>
      <w:r w:rsidRPr="0045270E">
        <w:rPr>
          <w:sz w:val="20"/>
          <w:szCs w:val="20"/>
        </w:rPr>
        <w:t>, 2025). Unwanted behaviour is discouraged through clearly defined sanctions, including loss of break time and exclusion, reflecting Skinner’s view that punishment, when used consistently, can reduce negative behaviour that disrupts learning (Skinner, 1938). In addition, the school’s use of emotion coaching and restorative practices reflects Freud’s belief that behaviour is closely linked to emotions and inner feelings, as pupils are supported to talk about their emotions and understand the consequences of their actions (Freud, 1923). Overall, the policy recognises that positive behaviour enhances learning by improving focus, motivation and cooperation, while negative behaviour disrupts learning, affects relationships and limits pupils’ ability to reach their full potential (Ysgol Gwaun-</w:t>
      </w:r>
      <w:proofErr w:type="spellStart"/>
      <w:r w:rsidRPr="0045270E">
        <w:rPr>
          <w:sz w:val="20"/>
          <w:szCs w:val="20"/>
        </w:rPr>
        <w:t>Cae</w:t>
      </w:r>
      <w:proofErr w:type="spellEnd"/>
      <w:r w:rsidRPr="0045270E">
        <w:rPr>
          <w:sz w:val="20"/>
          <w:szCs w:val="20"/>
        </w:rPr>
        <w:t>-</w:t>
      </w:r>
      <w:proofErr w:type="spellStart"/>
      <w:r w:rsidRPr="0045270E">
        <w:rPr>
          <w:sz w:val="20"/>
          <w:szCs w:val="20"/>
        </w:rPr>
        <w:t>Gurwen</w:t>
      </w:r>
      <w:proofErr w:type="spellEnd"/>
      <w:r w:rsidRPr="0045270E">
        <w:rPr>
          <w:sz w:val="20"/>
          <w:szCs w:val="20"/>
        </w:rPr>
        <w:t>, 2025).</w:t>
      </w:r>
      <w:r w:rsidR="00345374" w:rsidRPr="0045270E">
        <w:rPr>
          <w:sz w:val="20"/>
          <w:szCs w:val="20"/>
        </w:rPr>
        <w:t xml:space="preserve"> </w:t>
      </w:r>
      <w:r w:rsidR="000A3E8C" w:rsidRPr="0045270E">
        <w:rPr>
          <w:sz w:val="20"/>
          <w:szCs w:val="20"/>
        </w:rPr>
        <w:t xml:space="preserve"> </w:t>
      </w:r>
      <w:r w:rsidR="000A3E8C" w:rsidRPr="0045270E">
        <w:rPr>
          <w:sz w:val="20"/>
          <w:szCs w:val="20"/>
        </w:rPr>
        <w:t xml:space="preserve">Article 19 of the United Nations Convention on the Rights of the Child </w:t>
      </w:r>
      <w:r w:rsidR="0045270E" w:rsidRPr="0045270E">
        <w:rPr>
          <w:sz w:val="20"/>
          <w:szCs w:val="20"/>
        </w:rPr>
        <w:t xml:space="preserve">also </w:t>
      </w:r>
      <w:r w:rsidR="000A3E8C" w:rsidRPr="0045270E">
        <w:rPr>
          <w:sz w:val="20"/>
          <w:szCs w:val="20"/>
        </w:rPr>
        <w:t xml:space="preserve">states that children have the right to be protected from all forms of physical and mental harm, including abuse, neglect, and maltreatment (UNICEF, 1989). </w:t>
      </w:r>
      <w:proofErr w:type="gramStart"/>
      <w:r w:rsidR="000A3E8C" w:rsidRPr="0045270E">
        <w:rPr>
          <w:sz w:val="20"/>
          <w:szCs w:val="20"/>
        </w:rPr>
        <w:t xml:space="preserve">This right </w:t>
      </w:r>
      <w:r w:rsidR="000A3E8C" w:rsidRPr="0045270E">
        <w:rPr>
          <w:sz w:val="20"/>
          <w:szCs w:val="20"/>
        </w:rPr>
        <w:t>matches</w:t>
      </w:r>
      <w:proofErr w:type="gramEnd"/>
      <w:r w:rsidR="000A3E8C" w:rsidRPr="0045270E">
        <w:rPr>
          <w:sz w:val="20"/>
          <w:szCs w:val="20"/>
        </w:rPr>
        <w:t xml:space="preserve"> Piaget’s theory of cognitive development, which emphasises that children learn best through active exploration within safe, supportive environments that are appropriate to their developmental stage (Piaget, 1952). Piaget argued that children construct knowledge through interactions with their surroundings, and exposure to fear, stress, or discipline can negatively impact cognitive development and learning. In educational policy and practice, this connection highlights the importance of behaviour management approaches that are respectful, and developmentally appropriate. Safeguarding and behaviour policies informed by Article 19 therefore support positive behaviour strategies such as guidance, emotional support, and restorative practices, which both protect children’s rights and promote healthy cognitive development (DfE, 2021).</w:t>
      </w:r>
    </w:p>
    <w:p w14:paraId="1B42CAD7" w14:textId="62B0B1DB" w:rsidR="00475256" w:rsidRPr="0045270E" w:rsidRDefault="00345374" w:rsidP="00475256">
      <w:pPr>
        <w:pStyle w:val="paragraph"/>
        <w:shd w:val="clear" w:color="auto" w:fill="FFFFFF"/>
        <w:textAlignment w:val="baseline"/>
        <w:rPr>
          <w:sz w:val="20"/>
          <w:szCs w:val="20"/>
        </w:rPr>
      </w:pPr>
      <w:r w:rsidRPr="0045270E">
        <w:rPr>
          <w:sz w:val="20"/>
          <w:szCs w:val="20"/>
        </w:rPr>
        <w:t xml:space="preserve">Children’s behaviour in learning environments is shaped by a complex interplay of cognitive, psychological, biological, and environmental factors (Bronfenbrenner, 1979). Theories such as Skinner’s Operant Conditioning and Piaget’s Cognitive Development provide valuable frameworks for understanding how behaviour can be influenced, reinforced, and supported (Piaget, 1952). Positive reinforcement, consistent routines, and supportive relationships can encourage cooperative, motivated, and resilient behaviour, while negative experiences, inconsistent consequences, or unmet emotional needs can contribute to disruptive or withdrawn behaviours (Maslow, 1943). Observations in Early Years classrooms highlight that strategies such as reward charts, emotion coaching, and restorative practices are most effective when they are tailored to individual children’s needs, </w:t>
      </w:r>
      <w:proofErr w:type="gramStart"/>
      <w:r w:rsidRPr="0045270E">
        <w:rPr>
          <w:sz w:val="20"/>
          <w:szCs w:val="20"/>
        </w:rPr>
        <w:t>taking into account</w:t>
      </w:r>
      <w:proofErr w:type="gramEnd"/>
      <w:r w:rsidRPr="0045270E">
        <w:rPr>
          <w:sz w:val="20"/>
          <w:szCs w:val="20"/>
        </w:rPr>
        <w:t xml:space="preserve"> their cognitive and emotional development. Promoting positive behaviour requires opportunities for children to develop self-regulation and social and emotional skills, alongside empathetic support and clear expectations, in order for them to engage fully in learning and achieve their</w:t>
      </w:r>
      <w:r w:rsidR="0045270E" w:rsidRPr="0045270E">
        <w:rPr>
          <w:sz w:val="20"/>
          <w:szCs w:val="20"/>
        </w:rPr>
        <w:t xml:space="preserve"> full</w:t>
      </w:r>
      <w:r w:rsidRPr="0045270E">
        <w:rPr>
          <w:sz w:val="20"/>
          <w:szCs w:val="20"/>
        </w:rPr>
        <w:t xml:space="preserve"> potential (DfE, 2021).</w:t>
      </w:r>
    </w:p>
    <w:p w14:paraId="1483888F" w14:textId="77777777" w:rsidR="00861930" w:rsidRPr="0045270E" w:rsidRDefault="00861930" w:rsidP="003B6C94">
      <w:pPr>
        <w:pStyle w:val="NormalWeb"/>
        <w:rPr>
          <w:sz w:val="20"/>
          <w:szCs w:val="20"/>
        </w:rPr>
      </w:pPr>
    </w:p>
    <w:p w14:paraId="718A3985" w14:textId="4AB18BC0" w:rsidR="003B6C94" w:rsidRPr="0045270E" w:rsidRDefault="003B6C94" w:rsidP="003B6C94">
      <w:pPr>
        <w:pStyle w:val="NormalWeb"/>
        <w:rPr>
          <w:sz w:val="20"/>
          <w:szCs w:val="20"/>
        </w:rPr>
      </w:pPr>
    </w:p>
    <w:p w14:paraId="4878FE2A" w14:textId="5ECD8BC4" w:rsidR="00846791" w:rsidRPr="0045270E" w:rsidRDefault="00846791" w:rsidP="003B6C94">
      <w:pPr>
        <w:pStyle w:val="NormalWeb"/>
        <w:rPr>
          <w:sz w:val="20"/>
          <w:szCs w:val="20"/>
        </w:rPr>
      </w:pPr>
    </w:p>
    <w:p w14:paraId="18839D2A" w14:textId="339BAF95" w:rsidR="00DB49C7" w:rsidRPr="0045270E" w:rsidRDefault="00E745F4" w:rsidP="00536A56">
      <w:r w:rsidRPr="0045270E">
        <w:t>References:</w:t>
      </w:r>
    </w:p>
    <w:p w14:paraId="2E9FE2B4" w14:textId="58F26B52" w:rsidR="00E745F4" w:rsidRPr="0045270E" w:rsidRDefault="00E745F4" w:rsidP="00E745F4">
      <w:pPr>
        <w:pStyle w:val="NormalWeb"/>
        <w:spacing w:before="0" w:beforeAutospacing="0" w:after="240" w:afterAutospacing="0" w:line="360" w:lineRule="auto"/>
        <w:rPr>
          <w:sz w:val="20"/>
          <w:szCs w:val="20"/>
        </w:rPr>
      </w:pPr>
      <w:r w:rsidRPr="0045270E">
        <w:rPr>
          <w:sz w:val="20"/>
          <w:szCs w:val="20"/>
        </w:rPr>
        <w:t xml:space="preserve">Brodie, K. (2024). </w:t>
      </w:r>
      <w:r w:rsidRPr="0045270E">
        <w:rPr>
          <w:i/>
          <w:iCs/>
          <w:sz w:val="20"/>
          <w:szCs w:val="20"/>
        </w:rPr>
        <w:t>B.F. Skinner: Operant Conditioning and Behaviourism Theories</w:t>
      </w:r>
      <w:r w:rsidRPr="0045270E">
        <w:rPr>
          <w:sz w:val="20"/>
          <w:szCs w:val="20"/>
        </w:rPr>
        <w:t xml:space="preserve">. [online] Early Years TV. Available at: </w:t>
      </w:r>
      <w:hyperlink r:id="rId5" w:history="1">
        <w:r w:rsidR="00204CD4" w:rsidRPr="0045270E">
          <w:rPr>
            <w:rStyle w:val="Hyperlink"/>
            <w:color w:val="000000" w:themeColor="text1"/>
            <w:sz w:val="20"/>
            <w:szCs w:val="20"/>
          </w:rPr>
          <w:t>https://www.earlyyears.tv/b-f-skinner-operant-conditioning-and-behaviourism-theories/</w:t>
        </w:r>
      </w:hyperlink>
      <w:r w:rsidRPr="0045270E">
        <w:rPr>
          <w:color w:val="000000" w:themeColor="text1"/>
          <w:sz w:val="20"/>
          <w:szCs w:val="20"/>
        </w:rPr>
        <w:t>.</w:t>
      </w:r>
    </w:p>
    <w:p w14:paraId="5F9E75A9" w14:textId="77777777" w:rsidR="00204CD4" w:rsidRPr="0045270E" w:rsidRDefault="00204CD4" w:rsidP="00204CD4">
      <w:pPr>
        <w:pStyle w:val="NormalWeb"/>
        <w:rPr>
          <w:sz w:val="20"/>
          <w:szCs w:val="20"/>
        </w:rPr>
      </w:pPr>
      <w:r w:rsidRPr="0045270E">
        <w:rPr>
          <w:sz w:val="20"/>
          <w:szCs w:val="20"/>
        </w:rPr>
        <w:t xml:space="preserve">Bronfenbrenner, U. (1979) </w:t>
      </w:r>
      <w:r w:rsidRPr="0045270E">
        <w:rPr>
          <w:rStyle w:val="Emphasis"/>
          <w:rFonts w:eastAsiaTheme="majorEastAsia"/>
          <w:sz w:val="20"/>
          <w:szCs w:val="20"/>
        </w:rPr>
        <w:t>The ecology of human development: Experiments by nature and design</w:t>
      </w:r>
      <w:r w:rsidRPr="0045270E">
        <w:rPr>
          <w:sz w:val="20"/>
          <w:szCs w:val="20"/>
        </w:rPr>
        <w:t>. Cambridge, MA: Harvard University Press.</w:t>
      </w:r>
    </w:p>
    <w:p w14:paraId="39FDD0AA" w14:textId="77777777" w:rsidR="00731760" w:rsidRPr="0045270E" w:rsidRDefault="00731760" w:rsidP="00731760">
      <w:pPr>
        <w:pStyle w:val="NormalWeb"/>
        <w:rPr>
          <w:sz w:val="20"/>
          <w:szCs w:val="20"/>
        </w:rPr>
      </w:pPr>
      <w:r w:rsidRPr="0045270E">
        <w:rPr>
          <w:sz w:val="20"/>
          <w:szCs w:val="20"/>
        </w:rPr>
        <w:t xml:space="preserve">DfE (2021) </w:t>
      </w:r>
      <w:r w:rsidRPr="0045270E">
        <w:rPr>
          <w:rStyle w:val="Emphasis"/>
          <w:rFonts w:eastAsiaTheme="majorEastAsia"/>
          <w:sz w:val="20"/>
          <w:szCs w:val="20"/>
        </w:rPr>
        <w:t>Promoting children and young people’s mental health and wellbeing</w:t>
      </w:r>
      <w:r w:rsidRPr="0045270E">
        <w:rPr>
          <w:sz w:val="20"/>
          <w:szCs w:val="20"/>
        </w:rPr>
        <w:t>. London: Department for Education.</w:t>
      </w:r>
    </w:p>
    <w:p w14:paraId="3AF15F00" w14:textId="317E03BF" w:rsidR="00204CD4" w:rsidRPr="0045270E" w:rsidRDefault="00204CD4" w:rsidP="00731760">
      <w:pPr>
        <w:pStyle w:val="NormalWeb"/>
        <w:rPr>
          <w:sz w:val="20"/>
          <w:szCs w:val="20"/>
        </w:rPr>
      </w:pPr>
      <w:r w:rsidRPr="0045270E">
        <w:rPr>
          <w:sz w:val="20"/>
          <w:szCs w:val="20"/>
        </w:rPr>
        <w:t xml:space="preserve">Emmer, E.T. and </w:t>
      </w:r>
      <w:proofErr w:type="spellStart"/>
      <w:r w:rsidRPr="0045270E">
        <w:rPr>
          <w:sz w:val="20"/>
          <w:szCs w:val="20"/>
        </w:rPr>
        <w:t>Sabornie</w:t>
      </w:r>
      <w:proofErr w:type="spellEnd"/>
      <w:r w:rsidRPr="0045270E">
        <w:rPr>
          <w:sz w:val="20"/>
          <w:szCs w:val="20"/>
        </w:rPr>
        <w:t xml:space="preserve">, E.J. (2015) </w:t>
      </w:r>
      <w:r w:rsidRPr="0045270E">
        <w:rPr>
          <w:rStyle w:val="Emphasis"/>
          <w:rFonts w:eastAsiaTheme="majorEastAsia"/>
          <w:sz w:val="20"/>
          <w:szCs w:val="20"/>
        </w:rPr>
        <w:t>Handbook of classroom management</w:t>
      </w:r>
      <w:r w:rsidRPr="0045270E">
        <w:rPr>
          <w:sz w:val="20"/>
          <w:szCs w:val="20"/>
        </w:rPr>
        <w:t>. New York: Routledge.</w:t>
      </w:r>
    </w:p>
    <w:p w14:paraId="593AE4CB" w14:textId="77777777" w:rsidR="00731760" w:rsidRPr="0045270E" w:rsidRDefault="00731760" w:rsidP="00731760">
      <w:pPr>
        <w:pStyle w:val="NormalWeb"/>
        <w:rPr>
          <w:sz w:val="20"/>
          <w:szCs w:val="20"/>
        </w:rPr>
      </w:pPr>
      <w:r w:rsidRPr="0045270E">
        <w:rPr>
          <w:sz w:val="20"/>
          <w:szCs w:val="20"/>
        </w:rPr>
        <w:t xml:space="preserve">Felitti, V.J., Anda, R.F., Nordenberg, D., Williamson, D.F., Spitz, A.M., Edwards, V., Koss, M.P. and Marks, J.S. (1998) ‘Relationship of childhood abuse and household dysfunction to many of the leading causes of death in adults’, </w:t>
      </w:r>
      <w:r w:rsidRPr="0045270E">
        <w:rPr>
          <w:rStyle w:val="Emphasis"/>
          <w:rFonts w:eastAsiaTheme="majorEastAsia"/>
          <w:sz w:val="20"/>
          <w:szCs w:val="20"/>
        </w:rPr>
        <w:t>American Journal of Preventive Medicine</w:t>
      </w:r>
      <w:r w:rsidRPr="0045270E">
        <w:rPr>
          <w:sz w:val="20"/>
          <w:szCs w:val="20"/>
        </w:rPr>
        <w:t>, 14(4), pp. 245–258.</w:t>
      </w:r>
    </w:p>
    <w:p w14:paraId="071E95BC" w14:textId="5BECB5B0" w:rsidR="0040274C" w:rsidRPr="0045270E" w:rsidRDefault="0040274C" w:rsidP="00731760">
      <w:pPr>
        <w:pStyle w:val="NormalWeb"/>
        <w:rPr>
          <w:sz w:val="20"/>
          <w:szCs w:val="20"/>
        </w:rPr>
      </w:pPr>
      <w:r w:rsidRPr="0045270E">
        <w:rPr>
          <w:sz w:val="20"/>
          <w:szCs w:val="20"/>
        </w:rPr>
        <w:t xml:space="preserve">Freud, S. (1923) </w:t>
      </w:r>
      <w:r w:rsidRPr="0045270E">
        <w:rPr>
          <w:rStyle w:val="Emphasis"/>
          <w:rFonts w:eastAsiaTheme="majorEastAsia"/>
          <w:sz w:val="20"/>
          <w:szCs w:val="20"/>
        </w:rPr>
        <w:t>The Ego and the Id</w:t>
      </w:r>
      <w:r w:rsidRPr="0045270E">
        <w:rPr>
          <w:sz w:val="20"/>
          <w:szCs w:val="20"/>
        </w:rPr>
        <w:t>. London: Hogarth Press.</w:t>
      </w:r>
    </w:p>
    <w:p w14:paraId="469F6EAC" w14:textId="616AB3DE" w:rsidR="00345374" w:rsidRPr="0045270E" w:rsidRDefault="00345374" w:rsidP="00731760">
      <w:pPr>
        <w:pStyle w:val="NormalWeb"/>
        <w:rPr>
          <w:sz w:val="20"/>
          <w:szCs w:val="20"/>
        </w:rPr>
      </w:pPr>
      <w:r w:rsidRPr="0045270E">
        <w:rPr>
          <w:sz w:val="20"/>
          <w:szCs w:val="20"/>
        </w:rPr>
        <w:t xml:space="preserve">Maslow, A.H. (1943) ‘A theory of human motivation’, </w:t>
      </w:r>
      <w:r w:rsidRPr="0045270E">
        <w:rPr>
          <w:rStyle w:val="Emphasis"/>
          <w:rFonts w:eastAsiaTheme="majorEastAsia"/>
          <w:sz w:val="20"/>
          <w:szCs w:val="20"/>
        </w:rPr>
        <w:t>Psychological Review</w:t>
      </w:r>
      <w:r w:rsidRPr="0045270E">
        <w:rPr>
          <w:sz w:val="20"/>
          <w:szCs w:val="20"/>
        </w:rPr>
        <w:t>, 50(4), pp. 370–396.</w:t>
      </w:r>
    </w:p>
    <w:p w14:paraId="0FA6D342" w14:textId="77777777" w:rsidR="00731760" w:rsidRPr="0045270E" w:rsidRDefault="00731760" w:rsidP="00731760">
      <w:pPr>
        <w:pStyle w:val="NormalWeb"/>
        <w:rPr>
          <w:sz w:val="20"/>
          <w:szCs w:val="20"/>
        </w:rPr>
      </w:pPr>
      <w:r w:rsidRPr="0045270E">
        <w:rPr>
          <w:sz w:val="20"/>
          <w:szCs w:val="20"/>
        </w:rPr>
        <w:t xml:space="preserve">Piaget, J. (1952) </w:t>
      </w:r>
      <w:r w:rsidRPr="0045270E">
        <w:rPr>
          <w:rStyle w:val="Emphasis"/>
          <w:rFonts w:eastAsiaTheme="majorEastAsia"/>
          <w:sz w:val="20"/>
          <w:szCs w:val="20"/>
        </w:rPr>
        <w:t>The origins of intelligence in children</w:t>
      </w:r>
      <w:r w:rsidRPr="0045270E">
        <w:rPr>
          <w:sz w:val="20"/>
          <w:szCs w:val="20"/>
        </w:rPr>
        <w:t>. New York: International Universities Press.</w:t>
      </w:r>
    </w:p>
    <w:p w14:paraId="4935BF60" w14:textId="2722B890" w:rsidR="00204CD4" w:rsidRPr="0045270E" w:rsidRDefault="00204CD4" w:rsidP="00731760">
      <w:pPr>
        <w:pStyle w:val="NormalWeb"/>
        <w:rPr>
          <w:sz w:val="20"/>
          <w:szCs w:val="20"/>
        </w:rPr>
      </w:pPr>
      <w:r w:rsidRPr="0045270E">
        <w:rPr>
          <w:sz w:val="20"/>
          <w:szCs w:val="20"/>
        </w:rPr>
        <w:t xml:space="preserve">Rogers, B. (2015) </w:t>
      </w:r>
      <w:r w:rsidRPr="0045270E">
        <w:rPr>
          <w:rStyle w:val="Emphasis"/>
          <w:rFonts w:eastAsiaTheme="majorEastAsia"/>
          <w:sz w:val="20"/>
          <w:szCs w:val="20"/>
        </w:rPr>
        <w:t>Classroom behaviour: A practical guide to effective teaching, behaviour management and colleague support</w:t>
      </w:r>
      <w:r w:rsidRPr="0045270E">
        <w:rPr>
          <w:sz w:val="20"/>
          <w:szCs w:val="20"/>
        </w:rPr>
        <w:t xml:space="preserve">. 4th </w:t>
      </w:r>
      <w:proofErr w:type="spellStart"/>
      <w:r w:rsidRPr="0045270E">
        <w:rPr>
          <w:sz w:val="20"/>
          <w:szCs w:val="20"/>
        </w:rPr>
        <w:t>edn</w:t>
      </w:r>
      <w:proofErr w:type="spellEnd"/>
      <w:r w:rsidRPr="0045270E">
        <w:rPr>
          <w:sz w:val="20"/>
          <w:szCs w:val="20"/>
        </w:rPr>
        <w:t>. London: SAGE.</w:t>
      </w:r>
    </w:p>
    <w:p w14:paraId="2CA82383" w14:textId="77777777" w:rsidR="00731760" w:rsidRPr="0045270E" w:rsidRDefault="00731760" w:rsidP="00731760">
      <w:pPr>
        <w:pStyle w:val="NormalWeb"/>
        <w:rPr>
          <w:sz w:val="20"/>
          <w:szCs w:val="20"/>
        </w:rPr>
      </w:pPr>
      <w:r w:rsidRPr="0045270E">
        <w:rPr>
          <w:sz w:val="20"/>
          <w:szCs w:val="20"/>
        </w:rPr>
        <w:t xml:space="preserve">Siegel, D.J. (2012) </w:t>
      </w:r>
      <w:r w:rsidRPr="0045270E">
        <w:rPr>
          <w:rStyle w:val="Emphasis"/>
          <w:rFonts w:eastAsiaTheme="majorEastAsia"/>
          <w:sz w:val="20"/>
          <w:szCs w:val="20"/>
        </w:rPr>
        <w:t>The developing mind: How relationships and the brain interact to shape who we are</w:t>
      </w:r>
      <w:r w:rsidRPr="0045270E">
        <w:rPr>
          <w:sz w:val="20"/>
          <w:szCs w:val="20"/>
        </w:rPr>
        <w:t xml:space="preserve">. 2nd </w:t>
      </w:r>
      <w:proofErr w:type="spellStart"/>
      <w:r w:rsidRPr="0045270E">
        <w:rPr>
          <w:sz w:val="20"/>
          <w:szCs w:val="20"/>
        </w:rPr>
        <w:t>edn</w:t>
      </w:r>
      <w:proofErr w:type="spellEnd"/>
      <w:r w:rsidRPr="0045270E">
        <w:rPr>
          <w:sz w:val="20"/>
          <w:szCs w:val="20"/>
        </w:rPr>
        <w:t>. New York: Guilford Press.</w:t>
      </w:r>
    </w:p>
    <w:p w14:paraId="5CB1BDF1" w14:textId="77777777" w:rsidR="0040274C" w:rsidRPr="0045270E" w:rsidRDefault="0040274C" w:rsidP="0040274C">
      <w:pPr>
        <w:pStyle w:val="NormalWeb"/>
        <w:rPr>
          <w:sz w:val="20"/>
          <w:szCs w:val="20"/>
        </w:rPr>
      </w:pPr>
      <w:r w:rsidRPr="0045270E">
        <w:rPr>
          <w:sz w:val="20"/>
          <w:szCs w:val="20"/>
        </w:rPr>
        <w:t xml:space="preserve">Skinner, B.F. (1938) </w:t>
      </w:r>
      <w:r w:rsidRPr="0045270E">
        <w:rPr>
          <w:rStyle w:val="Emphasis"/>
          <w:rFonts w:eastAsiaTheme="majorEastAsia"/>
          <w:sz w:val="20"/>
          <w:szCs w:val="20"/>
        </w:rPr>
        <w:t xml:space="preserve">The </w:t>
      </w:r>
      <w:proofErr w:type="spellStart"/>
      <w:r w:rsidRPr="0045270E">
        <w:rPr>
          <w:rStyle w:val="Emphasis"/>
          <w:rFonts w:eastAsiaTheme="majorEastAsia"/>
          <w:sz w:val="20"/>
          <w:szCs w:val="20"/>
        </w:rPr>
        <w:t>Behavior</w:t>
      </w:r>
      <w:proofErr w:type="spellEnd"/>
      <w:r w:rsidRPr="0045270E">
        <w:rPr>
          <w:rStyle w:val="Emphasis"/>
          <w:rFonts w:eastAsiaTheme="majorEastAsia"/>
          <w:sz w:val="20"/>
          <w:szCs w:val="20"/>
        </w:rPr>
        <w:t xml:space="preserve"> of Organisms: An Experimental Analysis</w:t>
      </w:r>
      <w:r w:rsidRPr="0045270E">
        <w:rPr>
          <w:sz w:val="20"/>
          <w:szCs w:val="20"/>
        </w:rPr>
        <w:t>. New York: Appleton-Century-Crofts.</w:t>
      </w:r>
    </w:p>
    <w:p w14:paraId="5C80CEE1" w14:textId="2B3EFFE5" w:rsidR="000A3E8C" w:rsidRPr="0045270E" w:rsidRDefault="000A3E8C" w:rsidP="0040274C">
      <w:pPr>
        <w:pStyle w:val="NormalWeb"/>
        <w:rPr>
          <w:sz w:val="20"/>
          <w:szCs w:val="20"/>
        </w:rPr>
      </w:pPr>
      <w:r w:rsidRPr="0045270E">
        <w:rPr>
          <w:sz w:val="20"/>
          <w:szCs w:val="20"/>
        </w:rPr>
        <w:t xml:space="preserve">UNICEF (1989) </w:t>
      </w:r>
      <w:r w:rsidRPr="0045270E">
        <w:rPr>
          <w:rStyle w:val="Emphasis"/>
          <w:rFonts w:eastAsiaTheme="majorEastAsia"/>
          <w:sz w:val="20"/>
          <w:szCs w:val="20"/>
        </w:rPr>
        <w:t>United Nations Convention on the Rights of the Child</w:t>
      </w:r>
      <w:r w:rsidRPr="0045270E">
        <w:rPr>
          <w:sz w:val="20"/>
          <w:szCs w:val="20"/>
        </w:rPr>
        <w:t>. New York: United Nations.</w:t>
      </w:r>
    </w:p>
    <w:p w14:paraId="29D0A796" w14:textId="77777777" w:rsidR="0040274C" w:rsidRPr="0045270E" w:rsidRDefault="0040274C" w:rsidP="0040274C">
      <w:pPr>
        <w:pStyle w:val="NormalWeb"/>
        <w:rPr>
          <w:sz w:val="20"/>
          <w:szCs w:val="20"/>
        </w:rPr>
      </w:pPr>
      <w:r w:rsidRPr="0045270E">
        <w:rPr>
          <w:sz w:val="20"/>
          <w:szCs w:val="20"/>
        </w:rPr>
        <w:t>Ysgol Gwaun-</w:t>
      </w:r>
      <w:proofErr w:type="spellStart"/>
      <w:r w:rsidRPr="0045270E">
        <w:rPr>
          <w:sz w:val="20"/>
          <w:szCs w:val="20"/>
        </w:rPr>
        <w:t>Cae</w:t>
      </w:r>
      <w:proofErr w:type="spellEnd"/>
      <w:r w:rsidRPr="0045270E">
        <w:rPr>
          <w:sz w:val="20"/>
          <w:szCs w:val="20"/>
        </w:rPr>
        <w:t>-</w:t>
      </w:r>
      <w:proofErr w:type="spellStart"/>
      <w:r w:rsidRPr="0045270E">
        <w:rPr>
          <w:sz w:val="20"/>
          <w:szCs w:val="20"/>
        </w:rPr>
        <w:t>Gurwen</w:t>
      </w:r>
      <w:proofErr w:type="spellEnd"/>
      <w:r w:rsidRPr="0045270E">
        <w:rPr>
          <w:sz w:val="20"/>
          <w:szCs w:val="20"/>
        </w:rPr>
        <w:t xml:space="preserve"> (2025) </w:t>
      </w:r>
      <w:r w:rsidRPr="0045270E">
        <w:rPr>
          <w:rStyle w:val="Emphasis"/>
          <w:rFonts w:eastAsiaTheme="majorEastAsia"/>
          <w:sz w:val="20"/>
          <w:szCs w:val="20"/>
        </w:rPr>
        <w:t>Behaviour Policy</w:t>
      </w:r>
      <w:r w:rsidRPr="0045270E">
        <w:rPr>
          <w:sz w:val="20"/>
          <w:szCs w:val="20"/>
        </w:rPr>
        <w:t>. Ysgol Gwaun-</w:t>
      </w:r>
      <w:proofErr w:type="spellStart"/>
      <w:r w:rsidRPr="0045270E">
        <w:rPr>
          <w:sz w:val="20"/>
          <w:szCs w:val="20"/>
        </w:rPr>
        <w:t>Cae</w:t>
      </w:r>
      <w:proofErr w:type="spellEnd"/>
      <w:r w:rsidRPr="0045270E">
        <w:rPr>
          <w:sz w:val="20"/>
          <w:szCs w:val="20"/>
        </w:rPr>
        <w:t>-</w:t>
      </w:r>
      <w:proofErr w:type="spellStart"/>
      <w:r w:rsidRPr="0045270E">
        <w:rPr>
          <w:sz w:val="20"/>
          <w:szCs w:val="20"/>
        </w:rPr>
        <w:t>Gurwen</w:t>
      </w:r>
      <w:proofErr w:type="spellEnd"/>
      <w:r w:rsidRPr="0045270E">
        <w:rPr>
          <w:sz w:val="20"/>
          <w:szCs w:val="20"/>
        </w:rPr>
        <w:t>.</w:t>
      </w:r>
    </w:p>
    <w:p w14:paraId="57911F73" w14:textId="77777777" w:rsidR="0045270E" w:rsidRPr="0045270E" w:rsidRDefault="0045270E" w:rsidP="0040274C">
      <w:pPr>
        <w:pStyle w:val="NormalWeb"/>
        <w:rPr>
          <w:sz w:val="20"/>
          <w:szCs w:val="20"/>
        </w:rPr>
      </w:pPr>
    </w:p>
    <w:p w14:paraId="7329A9E0" w14:textId="77777777" w:rsidR="0045270E" w:rsidRPr="0045270E" w:rsidRDefault="0045270E" w:rsidP="0040274C">
      <w:pPr>
        <w:pStyle w:val="NormalWeb"/>
        <w:rPr>
          <w:sz w:val="20"/>
          <w:szCs w:val="20"/>
        </w:rPr>
      </w:pPr>
    </w:p>
    <w:p w14:paraId="293C5B72" w14:textId="5B45D3CA" w:rsidR="0045270E" w:rsidRPr="0045270E" w:rsidRDefault="0045270E" w:rsidP="0040274C">
      <w:pPr>
        <w:pStyle w:val="NormalWeb"/>
        <w:rPr>
          <w:sz w:val="20"/>
          <w:szCs w:val="20"/>
        </w:rPr>
      </w:pPr>
    </w:p>
    <w:p w14:paraId="246B6F1E" w14:textId="2D91CC66" w:rsidR="008D34A5" w:rsidRPr="0045270E" w:rsidRDefault="0045270E">
      <w:r w:rsidRPr="0045270E">
        <w:t>Action points from previous submission –</w:t>
      </w:r>
    </w:p>
    <w:p w14:paraId="1C5565E7" w14:textId="77777777" w:rsidR="0045270E" w:rsidRPr="0045270E" w:rsidRDefault="0045270E" w:rsidP="0045270E">
      <w:pPr>
        <w:pStyle w:val="NormalWeb"/>
        <w:shd w:val="clear" w:color="auto" w:fill="FFFFFF"/>
        <w:spacing w:before="0" w:beforeAutospacing="0" w:after="0" w:afterAutospacing="0"/>
        <w:rPr>
          <w:color w:val="283041"/>
          <w:sz w:val="20"/>
          <w:szCs w:val="20"/>
        </w:rPr>
      </w:pPr>
      <w:r w:rsidRPr="0045270E">
        <w:rPr>
          <w:color w:val="283041"/>
          <w:sz w:val="20"/>
          <w:szCs w:val="20"/>
        </w:rPr>
        <w:t> </w:t>
      </w:r>
      <w:r w:rsidRPr="0045270E">
        <w:rPr>
          <w:b/>
          <w:bCs/>
          <w:color w:val="283041"/>
          <w:sz w:val="20"/>
          <w:szCs w:val="20"/>
        </w:rPr>
        <w:t>Action Points:</w:t>
      </w:r>
    </w:p>
    <w:p w14:paraId="13331D5F" w14:textId="77777777" w:rsidR="0045270E" w:rsidRPr="0045270E" w:rsidRDefault="0045270E" w:rsidP="0045270E">
      <w:pPr>
        <w:pStyle w:val="NormalWeb"/>
        <w:shd w:val="clear" w:color="auto" w:fill="FFFFFF"/>
        <w:spacing w:before="0" w:beforeAutospacing="0" w:after="0" w:afterAutospacing="0"/>
        <w:rPr>
          <w:color w:val="283041"/>
          <w:sz w:val="20"/>
          <w:szCs w:val="20"/>
        </w:rPr>
      </w:pPr>
      <w:r w:rsidRPr="0045270E">
        <w:rPr>
          <w:b/>
          <w:bCs/>
          <w:color w:val="283041"/>
          <w:sz w:val="20"/>
          <w:szCs w:val="20"/>
        </w:rPr>
        <w:t xml:space="preserve">1.Ensure that you put the full stop </w:t>
      </w:r>
      <w:proofErr w:type="spellStart"/>
      <w:r w:rsidRPr="0045270E">
        <w:rPr>
          <w:b/>
          <w:bCs/>
          <w:color w:val="283041"/>
          <w:sz w:val="20"/>
          <w:szCs w:val="20"/>
        </w:rPr>
        <w:t>behing</w:t>
      </w:r>
      <w:proofErr w:type="spellEnd"/>
      <w:r w:rsidRPr="0045270E">
        <w:rPr>
          <w:b/>
          <w:bCs/>
          <w:color w:val="283041"/>
          <w:sz w:val="20"/>
          <w:szCs w:val="20"/>
        </w:rPr>
        <w:t xml:space="preserve"> the citation bracket. </w:t>
      </w:r>
    </w:p>
    <w:p w14:paraId="2AFA7FCF" w14:textId="77777777" w:rsidR="0045270E" w:rsidRPr="0045270E" w:rsidRDefault="0045270E" w:rsidP="0045270E">
      <w:pPr>
        <w:pStyle w:val="NormalWeb"/>
        <w:shd w:val="clear" w:color="auto" w:fill="FFFFFF"/>
        <w:spacing w:before="0" w:beforeAutospacing="0" w:after="0" w:afterAutospacing="0"/>
        <w:rPr>
          <w:color w:val="283041"/>
          <w:sz w:val="20"/>
          <w:szCs w:val="20"/>
        </w:rPr>
      </w:pPr>
      <w:r w:rsidRPr="0045270E">
        <w:rPr>
          <w:b/>
          <w:bCs/>
          <w:color w:val="283041"/>
          <w:sz w:val="20"/>
          <w:szCs w:val="20"/>
        </w:rPr>
        <w:t>2. Put the year of publication behind theories.</w:t>
      </w:r>
    </w:p>
    <w:p w14:paraId="6705E7D0" w14:textId="77777777" w:rsidR="0045270E" w:rsidRPr="0045270E" w:rsidRDefault="0045270E" w:rsidP="0045270E">
      <w:pPr>
        <w:pStyle w:val="NormalWeb"/>
        <w:shd w:val="clear" w:color="auto" w:fill="FFFFFF"/>
        <w:spacing w:before="0" w:beforeAutospacing="0" w:after="0" w:afterAutospacing="0"/>
        <w:rPr>
          <w:color w:val="283041"/>
          <w:sz w:val="20"/>
          <w:szCs w:val="20"/>
        </w:rPr>
      </w:pPr>
      <w:r w:rsidRPr="0045270E">
        <w:rPr>
          <w:b/>
          <w:bCs/>
          <w:color w:val="283041"/>
          <w:sz w:val="20"/>
          <w:szCs w:val="20"/>
        </w:rPr>
        <w:t>3. Also link to policy</w:t>
      </w:r>
    </w:p>
    <w:p w14:paraId="008214F5" w14:textId="77777777" w:rsidR="0045270E" w:rsidRPr="0045270E" w:rsidRDefault="0045270E">
      <w:pPr>
        <w:rPr>
          <w:color w:val="47D459" w:themeColor="accent3" w:themeTint="99"/>
        </w:rPr>
      </w:pPr>
    </w:p>
    <w:sectPr w:rsidR="0045270E" w:rsidRPr="004527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0E2592"/>
    <w:multiLevelType w:val="multilevel"/>
    <w:tmpl w:val="22B267E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78E70C48"/>
    <w:multiLevelType w:val="multilevel"/>
    <w:tmpl w:val="C60C399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90914680">
    <w:abstractNumId w:val="1"/>
  </w:num>
  <w:num w:numId="2" w16cid:durableId="617222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4A5"/>
    <w:rsid w:val="00073CC7"/>
    <w:rsid w:val="000A3E8C"/>
    <w:rsid w:val="000F187E"/>
    <w:rsid w:val="001D5887"/>
    <w:rsid w:val="00204CD4"/>
    <w:rsid w:val="00213ACF"/>
    <w:rsid w:val="00283FCB"/>
    <w:rsid w:val="002867CB"/>
    <w:rsid w:val="00345374"/>
    <w:rsid w:val="003B6C94"/>
    <w:rsid w:val="0040274C"/>
    <w:rsid w:val="0045270E"/>
    <w:rsid w:val="00475256"/>
    <w:rsid w:val="004F33E1"/>
    <w:rsid w:val="00536A56"/>
    <w:rsid w:val="00584676"/>
    <w:rsid w:val="006C79F9"/>
    <w:rsid w:val="00731760"/>
    <w:rsid w:val="00765A00"/>
    <w:rsid w:val="007E4CC2"/>
    <w:rsid w:val="00846791"/>
    <w:rsid w:val="00861930"/>
    <w:rsid w:val="008875BC"/>
    <w:rsid w:val="008D34A5"/>
    <w:rsid w:val="009D2EE3"/>
    <w:rsid w:val="009E6EBD"/>
    <w:rsid w:val="00A57CDB"/>
    <w:rsid w:val="00AD601D"/>
    <w:rsid w:val="00AE2787"/>
    <w:rsid w:val="00B6476D"/>
    <w:rsid w:val="00C02827"/>
    <w:rsid w:val="00C12433"/>
    <w:rsid w:val="00CC2B1B"/>
    <w:rsid w:val="00CE18C2"/>
    <w:rsid w:val="00DB49C7"/>
    <w:rsid w:val="00E745F4"/>
    <w:rsid w:val="00E75A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D68FA5"/>
  <w15:chartTrackingRefBased/>
  <w15:docId w15:val="{C500F429-7561-46DE-9E1F-44240A5A0B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34A5"/>
    <w:pPr>
      <w:spacing w:after="0" w:line="240" w:lineRule="auto"/>
    </w:pPr>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8D34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34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34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34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34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34A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34A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34A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34A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34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34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34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34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34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34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34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34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34A5"/>
    <w:rPr>
      <w:rFonts w:eastAsiaTheme="majorEastAsia" w:cstheme="majorBidi"/>
      <w:color w:val="272727" w:themeColor="text1" w:themeTint="D8"/>
    </w:rPr>
  </w:style>
  <w:style w:type="paragraph" w:styleId="Title">
    <w:name w:val="Title"/>
    <w:basedOn w:val="Normal"/>
    <w:next w:val="Normal"/>
    <w:link w:val="TitleChar"/>
    <w:uiPriority w:val="10"/>
    <w:qFormat/>
    <w:rsid w:val="008D34A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34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34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34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34A5"/>
    <w:pPr>
      <w:spacing w:before="160"/>
      <w:jc w:val="center"/>
    </w:pPr>
    <w:rPr>
      <w:i/>
      <w:iCs/>
      <w:color w:val="404040" w:themeColor="text1" w:themeTint="BF"/>
    </w:rPr>
  </w:style>
  <w:style w:type="character" w:customStyle="1" w:styleId="QuoteChar">
    <w:name w:val="Quote Char"/>
    <w:basedOn w:val="DefaultParagraphFont"/>
    <w:link w:val="Quote"/>
    <w:uiPriority w:val="29"/>
    <w:rsid w:val="008D34A5"/>
    <w:rPr>
      <w:i/>
      <w:iCs/>
      <w:color w:val="404040" w:themeColor="text1" w:themeTint="BF"/>
    </w:rPr>
  </w:style>
  <w:style w:type="paragraph" w:styleId="ListParagraph">
    <w:name w:val="List Paragraph"/>
    <w:basedOn w:val="Normal"/>
    <w:uiPriority w:val="34"/>
    <w:qFormat/>
    <w:rsid w:val="008D34A5"/>
    <w:pPr>
      <w:ind w:left="720"/>
      <w:contextualSpacing/>
    </w:pPr>
  </w:style>
  <w:style w:type="character" w:styleId="IntenseEmphasis">
    <w:name w:val="Intense Emphasis"/>
    <w:basedOn w:val="DefaultParagraphFont"/>
    <w:uiPriority w:val="21"/>
    <w:qFormat/>
    <w:rsid w:val="008D34A5"/>
    <w:rPr>
      <w:i/>
      <w:iCs/>
      <w:color w:val="0F4761" w:themeColor="accent1" w:themeShade="BF"/>
    </w:rPr>
  </w:style>
  <w:style w:type="paragraph" w:styleId="IntenseQuote">
    <w:name w:val="Intense Quote"/>
    <w:basedOn w:val="Normal"/>
    <w:next w:val="Normal"/>
    <w:link w:val="IntenseQuoteChar"/>
    <w:uiPriority w:val="30"/>
    <w:qFormat/>
    <w:rsid w:val="008D34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34A5"/>
    <w:rPr>
      <w:i/>
      <w:iCs/>
      <w:color w:val="0F4761" w:themeColor="accent1" w:themeShade="BF"/>
    </w:rPr>
  </w:style>
  <w:style w:type="character" w:styleId="IntenseReference">
    <w:name w:val="Intense Reference"/>
    <w:basedOn w:val="DefaultParagraphFont"/>
    <w:uiPriority w:val="32"/>
    <w:qFormat/>
    <w:rsid w:val="008D34A5"/>
    <w:rPr>
      <w:b/>
      <w:bCs/>
      <w:smallCaps/>
      <w:color w:val="0F4761" w:themeColor="accent1" w:themeShade="BF"/>
      <w:spacing w:val="5"/>
    </w:rPr>
  </w:style>
  <w:style w:type="character" w:customStyle="1" w:styleId="normaltextrun">
    <w:name w:val="normaltextrun"/>
    <w:basedOn w:val="DefaultParagraphFont"/>
    <w:rsid w:val="008D34A5"/>
  </w:style>
  <w:style w:type="paragraph" w:styleId="NormalWeb">
    <w:name w:val="Normal (Web)"/>
    <w:basedOn w:val="Normal"/>
    <w:uiPriority w:val="99"/>
    <w:unhideWhenUsed/>
    <w:rsid w:val="00DB49C7"/>
    <w:pPr>
      <w:spacing w:before="100" w:beforeAutospacing="1" w:after="100" w:afterAutospacing="1"/>
    </w:pPr>
    <w:rPr>
      <w:sz w:val="24"/>
      <w:szCs w:val="24"/>
    </w:rPr>
  </w:style>
  <w:style w:type="character" w:styleId="Emphasis">
    <w:name w:val="Emphasis"/>
    <w:basedOn w:val="DefaultParagraphFont"/>
    <w:uiPriority w:val="20"/>
    <w:qFormat/>
    <w:rsid w:val="00731760"/>
    <w:rPr>
      <w:i/>
      <w:iCs/>
    </w:rPr>
  </w:style>
  <w:style w:type="paragraph" w:customStyle="1" w:styleId="paragraph">
    <w:name w:val="paragraph"/>
    <w:basedOn w:val="Normal"/>
    <w:rsid w:val="00475256"/>
    <w:pPr>
      <w:spacing w:before="100" w:beforeAutospacing="1" w:after="100" w:afterAutospacing="1"/>
    </w:pPr>
    <w:rPr>
      <w:sz w:val="24"/>
      <w:szCs w:val="24"/>
      <w:lang w:eastAsia="zh-CN"/>
    </w:rPr>
  </w:style>
  <w:style w:type="character" w:customStyle="1" w:styleId="eop">
    <w:name w:val="eop"/>
    <w:basedOn w:val="DefaultParagraphFont"/>
    <w:rsid w:val="00475256"/>
  </w:style>
  <w:style w:type="character" w:styleId="Strong">
    <w:name w:val="Strong"/>
    <w:basedOn w:val="DefaultParagraphFont"/>
    <w:uiPriority w:val="22"/>
    <w:qFormat/>
    <w:rsid w:val="00073CC7"/>
    <w:rPr>
      <w:b/>
      <w:bCs/>
    </w:rPr>
  </w:style>
  <w:style w:type="character" w:styleId="Hyperlink">
    <w:name w:val="Hyperlink"/>
    <w:basedOn w:val="DefaultParagraphFont"/>
    <w:uiPriority w:val="99"/>
    <w:unhideWhenUsed/>
    <w:rsid w:val="00204CD4"/>
    <w:rPr>
      <w:color w:val="467886" w:themeColor="hyperlink"/>
      <w:u w:val="single"/>
    </w:rPr>
  </w:style>
  <w:style w:type="character" w:styleId="UnresolvedMention">
    <w:name w:val="Unresolved Mention"/>
    <w:basedOn w:val="DefaultParagraphFont"/>
    <w:uiPriority w:val="99"/>
    <w:semiHidden/>
    <w:unhideWhenUsed/>
    <w:rsid w:val="00204C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www.earlyyears.tv/b-f-skinner-operant-conditioning-and-behaviourism-theories/"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TotalTime>
  <Pages>3</Pages>
  <Words>2047</Words>
  <Characters>11670</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Faye James</dc:creator>
  <cp:keywords/>
  <dc:description/>
  <cp:lastModifiedBy>Faye James</cp:lastModifiedBy>
  <cp:revision>2</cp:revision>
  <dcterms:created xsi:type="dcterms:W3CDTF">2026-02-01T12:20:00Z</dcterms:created>
  <dcterms:modified xsi:type="dcterms:W3CDTF">2026-02-01T12:20:00Z</dcterms:modified>
</cp:coreProperties>
</file>