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3D089" w14:textId="6673B846" w:rsidR="003C0046" w:rsidRPr="001A13DA" w:rsidRDefault="00AE2452" w:rsidP="00AE2452">
      <w:pPr>
        <w:jc w:val="center"/>
        <w:rPr>
          <w:rFonts w:ascii="Times New Roman" w:hAnsi="Times New Roman" w:cs="Times New Roman"/>
          <w:b/>
          <w:bCs/>
          <w:sz w:val="28"/>
          <w:szCs w:val="28"/>
          <w:u w:val="single"/>
        </w:rPr>
      </w:pPr>
      <w:r w:rsidRPr="001A13DA">
        <w:rPr>
          <w:rFonts w:ascii="Times New Roman" w:hAnsi="Times New Roman" w:cs="Times New Roman"/>
          <w:b/>
          <w:bCs/>
          <w:sz w:val="28"/>
          <w:szCs w:val="28"/>
          <w:u w:val="single"/>
        </w:rPr>
        <w:t xml:space="preserve">Critical Reflection on </w:t>
      </w:r>
      <w:proofErr w:type="spellStart"/>
      <w:r w:rsidRPr="001A13DA">
        <w:rPr>
          <w:rFonts w:ascii="Times New Roman" w:hAnsi="Times New Roman" w:cs="Times New Roman"/>
          <w:b/>
          <w:bCs/>
          <w:sz w:val="28"/>
          <w:szCs w:val="28"/>
          <w:u w:val="single"/>
        </w:rPr>
        <w:t>MicroAdventures</w:t>
      </w:r>
      <w:proofErr w:type="spellEnd"/>
      <w:r w:rsidR="001B6774" w:rsidRPr="001A13DA">
        <w:rPr>
          <w:rFonts w:ascii="Times New Roman" w:hAnsi="Times New Roman" w:cs="Times New Roman"/>
          <w:b/>
          <w:bCs/>
          <w:sz w:val="28"/>
          <w:szCs w:val="28"/>
          <w:u w:val="single"/>
        </w:rPr>
        <w:t xml:space="preserve"> Through</w:t>
      </w:r>
      <w:r w:rsidR="00C865BC" w:rsidRPr="001A13DA">
        <w:rPr>
          <w:rFonts w:ascii="Times New Roman" w:hAnsi="Times New Roman" w:cs="Times New Roman"/>
          <w:b/>
          <w:bCs/>
          <w:sz w:val="28"/>
          <w:szCs w:val="28"/>
          <w:u w:val="single"/>
        </w:rPr>
        <w:t xml:space="preserve"> Mackenzie and Goodn</w:t>
      </w:r>
      <w:r w:rsidR="008F4AEE" w:rsidRPr="001A13DA">
        <w:rPr>
          <w:rFonts w:ascii="Times New Roman" w:hAnsi="Times New Roman" w:cs="Times New Roman"/>
          <w:b/>
          <w:bCs/>
          <w:sz w:val="28"/>
          <w:szCs w:val="28"/>
          <w:u w:val="single"/>
        </w:rPr>
        <w:t xml:space="preserve">ow’s </w:t>
      </w:r>
      <w:r w:rsidR="00076DA0" w:rsidRPr="001A13DA">
        <w:rPr>
          <w:rFonts w:ascii="Times New Roman" w:hAnsi="Times New Roman" w:cs="Times New Roman"/>
          <w:b/>
          <w:bCs/>
          <w:sz w:val="28"/>
          <w:szCs w:val="28"/>
          <w:u w:val="single"/>
        </w:rPr>
        <w:t xml:space="preserve">2020 </w:t>
      </w:r>
      <w:r w:rsidR="00683041" w:rsidRPr="001A13DA">
        <w:rPr>
          <w:rFonts w:ascii="Times New Roman" w:hAnsi="Times New Roman" w:cs="Times New Roman"/>
          <w:b/>
          <w:bCs/>
          <w:sz w:val="28"/>
          <w:szCs w:val="28"/>
          <w:u w:val="single"/>
        </w:rPr>
        <w:t>Article</w:t>
      </w:r>
    </w:p>
    <w:p w14:paraId="438CF43D" w14:textId="0A612D98" w:rsidR="00F06EDD" w:rsidRPr="00F06EDD" w:rsidRDefault="00F06EDD" w:rsidP="00F06EDD">
      <w:pPr>
        <w:rPr>
          <w:rFonts w:ascii="Times New Roman" w:hAnsi="Times New Roman" w:cs="Times New Roman"/>
          <w:sz w:val="24"/>
          <w:szCs w:val="24"/>
        </w:rPr>
      </w:pPr>
    </w:p>
    <w:p w14:paraId="1182AD8B" w14:textId="77777777" w:rsidR="00F06EDD" w:rsidRPr="00F06EDD" w:rsidRDefault="00F06EDD" w:rsidP="004D7D76">
      <w:pPr>
        <w:spacing w:line="360" w:lineRule="auto"/>
        <w:rPr>
          <w:rFonts w:ascii="Times New Roman" w:hAnsi="Times New Roman" w:cs="Times New Roman"/>
          <w:sz w:val="24"/>
          <w:szCs w:val="24"/>
        </w:rPr>
      </w:pPr>
      <w:r w:rsidRPr="00F06EDD">
        <w:rPr>
          <w:rFonts w:ascii="Times New Roman" w:hAnsi="Times New Roman" w:cs="Times New Roman"/>
          <w:sz w:val="24"/>
          <w:szCs w:val="24"/>
        </w:rPr>
        <w:t xml:space="preserve">The COVID-19 pandemic shifted the travel and outdoor adventure sector around the world. 2020 saw the introduction of lockdowns and travel restrictions, bringing the world to a halt and industries to a standstill; these restrictions forced people to explore new and inventive ways to experience adventurous activities closer to home (Mckenzie and Goodnow, 2020). Microadventures are small-scale, proximity-to-home adventures that have gained massive popularity since the pandemic. Mackenzie and Goodnow (2020) observed that microadventures, which involve “adventures in nearby nature that are low-carbon and human scaled,” offer “an enticing alternative for both current and post-pandemic conditions”. This paper critically explores that claim by examining pandemic conditions that drove the turn towards microadventures, the appeal of microadventures, and their sustainable impact. Reflecting on the challenges faced and the opportunities gained by microadventures, the author argues that they are not only a response to pandemic constraints but also support long-term sustainability goals. </w:t>
      </w:r>
    </w:p>
    <w:p w14:paraId="3B5B7209" w14:textId="77777777" w:rsidR="00F06EDD" w:rsidRPr="00F06EDD" w:rsidRDefault="00F06EDD" w:rsidP="004D7D76">
      <w:pPr>
        <w:spacing w:line="360" w:lineRule="auto"/>
        <w:rPr>
          <w:rFonts w:ascii="Times New Roman" w:hAnsi="Times New Roman" w:cs="Times New Roman"/>
          <w:sz w:val="24"/>
          <w:szCs w:val="24"/>
        </w:rPr>
      </w:pPr>
      <w:r w:rsidRPr="00F06EDD">
        <w:rPr>
          <w:rFonts w:ascii="Times New Roman" w:hAnsi="Times New Roman" w:cs="Times New Roman"/>
          <w:sz w:val="24"/>
          <w:szCs w:val="24"/>
        </w:rPr>
        <w:t xml:space="preserve">Conditions created by the pandemic made journeying to distant landscapes impossible; as Mckenzie and Goodnow (2020) mentioned, “unprecedented mobility restrictions effectively frozen the adventure travel and tourism industry”. Quarantines, travel bans, and local lockdowns were a few of the restrictions put in place, halting international expeditions and outdoor tours. In the UK, government guidance in 2020 instructed people once per day permission to exercise outdoors but in their local area; this forced everyone to use ‘hyperlocal’ (Mckenzie and Goodnow, 2020) strategies to create an adventure and turn their local area into affordances they previously wouldn’t have thought of before lockdown and given a chance to reconsider our traditional adventure philosophies, challenging the notion that meaningful, adventurous experiences must occur in remote locations. </w:t>
      </w:r>
    </w:p>
    <w:p w14:paraId="3E32A4D4" w14:textId="77777777" w:rsidR="00F06EDD" w:rsidRPr="00F06EDD" w:rsidRDefault="00F06EDD" w:rsidP="004D7D76">
      <w:pPr>
        <w:spacing w:line="360" w:lineRule="auto"/>
        <w:rPr>
          <w:rFonts w:ascii="Times New Roman" w:hAnsi="Times New Roman" w:cs="Times New Roman"/>
          <w:sz w:val="24"/>
          <w:szCs w:val="24"/>
        </w:rPr>
      </w:pPr>
      <w:r w:rsidRPr="00F06EDD">
        <w:rPr>
          <w:rFonts w:ascii="Times New Roman" w:hAnsi="Times New Roman" w:cs="Times New Roman"/>
          <w:sz w:val="24"/>
          <w:szCs w:val="24"/>
        </w:rPr>
        <w:t xml:space="preserve">During the lockdown, camping in back gardens, using the nearest walking trails, and exploring empty city streets on bikes were a few microadventures that were created to provide a taste of exploration without breaking travel rules, allowing people to gain attainable goals each day and adequate outdoor time. Marshall (2022) reported that 45% of adults spent more time in nature during lockdown than they did before the pandemic; he reports that 39% of adults saw an increase in nature and wildlife being a source of importance surrounding their wellbeing. Appreciation after discovering new natural corners, footpaths, and parks for </w:t>
      </w:r>
      <w:r w:rsidRPr="00F06EDD">
        <w:rPr>
          <w:rFonts w:ascii="Times New Roman" w:hAnsi="Times New Roman" w:cs="Times New Roman"/>
          <w:sz w:val="24"/>
          <w:szCs w:val="24"/>
        </w:rPr>
        <w:lastRenderedPageBreak/>
        <w:t>the first time showed through Marshall’s (2022) report saying that 33% of people in England said they visited a local green more than once during the restrictions; these statistics show the appreciation for local nature and accessible adventure through the pandemic. Adventure tourism is often described as supporting communities, adopting cross-cultural understandings and raising environmental awareness. Contradictions were exposed; however, Mackenzie and Goodnow (2020) say that they fail to recognise the potential benefits of social, economic, and environmental sustainability. The pandemic pause highlighted the concerns on adventure tourism, such as carbon footprint and ecological impact, and it also revealed the void that thrill seekers faced when they could not travel. Mckenzie and Goodnow (2020) suggested seeking adventure where you are rather than in distant places; this indicates a more sustainable future when used in conjunction with the gaining popularity of microadventures during the pandemic.  </w:t>
      </w:r>
    </w:p>
    <w:p w14:paraId="37EA1F86" w14:textId="77777777" w:rsidR="00F06EDD" w:rsidRPr="00F06EDD" w:rsidRDefault="00F06EDD" w:rsidP="004D7D76">
      <w:pPr>
        <w:spacing w:line="360" w:lineRule="auto"/>
        <w:rPr>
          <w:rFonts w:ascii="Times New Roman" w:hAnsi="Times New Roman" w:cs="Times New Roman"/>
          <w:sz w:val="24"/>
          <w:szCs w:val="24"/>
        </w:rPr>
      </w:pPr>
      <w:r w:rsidRPr="00F06EDD">
        <w:rPr>
          <w:rFonts w:ascii="Times New Roman" w:hAnsi="Times New Roman" w:cs="Times New Roman"/>
          <w:sz w:val="24"/>
          <w:szCs w:val="24"/>
        </w:rPr>
        <w:t xml:space="preserve">Humphreys (2014) popularised microadventures and defined them as an adventure that is “close to home, cheap, simple, short, and yet very effective”, an individual should approach their local environment with enthusiasm, open mindedness and curiosity (Humphreys, 2014). Microadventures simplify the concept of adventure, making it accessible to everyone; it does not need special equipment; “time, money, skill or talent are no excuses” (Humphreys, 2014) for having an adventure. As the appeal for microadventures grew during the pandemic, Miles (2021), an outdoor adventurer and educator, began finding ways to satisfy his adventurous spirit, challenging himself to walk 90km to work through his local area. His approach redefined his perspective on the constrained environment, leading to “conscious experimentation with adventure” (Humphries, 2014). Colin Mortlock (2000) remarked that adventure is a state of mind, emphasising that adventure may be of any length in terms of distance or time, echoing </w:t>
      </w:r>
      <w:proofErr w:type="spellStart"/>
      <w:r w:rsidRPr="00F06EDD">
        <w:rPr>
          <w:rFonts w:ascii="Times New Roman" w:hAnsi="Times New Roman" w:cs="Times New Roman"/>
          <w:sz w:val="24"/>
          <w:szCs w:val="24"/>
        </w:rPr>
        <w:t>Humphreys's</w:t>
      </w:r>
      <w:proofErr w:type="spellEnd"/>
      <w:r w:rsidRPr="00F06EDD">
        <w:rPr>
          <w:rFonts w:ascii="Times New Roman" w:hAnsi="Times New Roman" w:cs="Times New Roman"/>
          <w:sz w:val="24"/>
          <w:szCs w:val="24"/>
        </w:rPr>
        <w:t xml:space="preserve"> definition. Overall, this philosophy underpins </w:t>
      </w:r>
      <w:proofErr w:type="spellStart"/>
      <w:r w:rsidRPr="00F06EDD">
        <w:rPr>
          <w:rFonts w:ascii="Times New Roman" w:hAnsi="Times New Roman" w:cs="Times New Roman"/>
          <w:sz w:val="24"/>
          <w:szCs w:val="24"/>
        </w:rPr>
        <w:t>microadventuring</w:t>
      </w:r>
      <w:proofErr w:type="spellEnd"/>
      <w:r w:rsidRPr="00F06EDD">
        <w:rPr>
          <w:rFonts w:ascii="Times New Roman" w:hAnsi="Times New Roman" w:cs="Times New Roman"/>
          <w:sz w:val="24"/>
          <w:szCs w:val="24"/>
        </w:rPr>
        <w:t xml:space="preserve">; contrastingly, this philosophy might not work for everyone and could risk oversimplifying the adventurous experience. Outdoor research such as </w:t>
      </w:r>
      <w:proofErr w:type="spellStart"/>
      <w:r w:rsidRPr="00F06EDD">
        <w:rPr>
          <w:rFonts w:ascii="Times New Roman" w:hAnsi="Times New Roman" w:cs="Times New Roman"/>
          <w:sz w:val="24"/>
          <w:szCs w:val="24"/>
        </w:rPr>
        <w:t>Wattchow</w:t>
      </w:r>
      <w:proofErr w:type="spellEnd"/>
      <w:r w:rsidRPr="00F06EDD">
        <w:rPr>
          <w:rFonts w:ascii="Times New Roman" w:hAnsi="Times New Roman" w:cs="Times New Roman"/>
          <w:sz w:val="24"/>
          <w:szCs w:val="24"/>
        </w:rPr>
        <w:t xml:space="preserve"> and Brown (2011) supports the value of local, small-scale adventures, focusing on the pedagogy of place and paying attention to what nearby areas have to teach. Similarly, Jeffs and Ord's (2017) paper suggests that meaningful experiential learning occurs in one’s backyard or community, not just in the hills or at the top of mountains. However, limitations can be found in different communities as green spaces aren’t always regularly available. DOFE (2024), a youth program associated with adventurous expeditions, introduced COVID-flexible rules in 2020, allowing awards to be met through local explorations, freeing them from logistical and </w:t>
      </w:r>
      <w:r w:rsidRPr="00F06EDD">
        <w:rPr>
          <w:rFonts w:ascii="Times New Roman" w:hAnsi="Times New Roman" w:cs="Times New Roman"/>
          <w:sz w:val="24"/>
          <w:szCs w:val="24"/>
        </w:rPr>
        <w:lastRenderedPageBreak/>
        <w:t>financial barriers. DOFE recognised that this flexibility, as long as it pushes the participant beyond their comfort zone, enables innovation and greater inclusion (DOFE, 2024). Examples such as this demonstrate how microadventures can broaden participation in outdoor activities and promote social inclusion goals in education (Kennedy, MacPhail and Varly, 2020).</w:t>
      </w:r>
    </w:p>
    <w:p w14:paraId="2BC82E99" w14:textId="70069D44" w:rsidR="00F06EDD" w:rsidRPr="00F06EDD" w:rsidRDefault="00F06EDD" w:rsidP="004D7D76">
      <w:pPr>
        <w:spacing w:line="360" w:lineRule="auto"/>
        <w:rPr>
          <w:rFonts w:ascii="Times New Roman" w:hAnsi="Times New Roman" w:cs="Times New Roman"/>
          <w:sz w:val="24"/>
          <w:szCs w:val="24"/>
        </w:rPr>
      </w:pPr>
      <w:r w:rsidRPr="00F06EDD">
        <w:rPr>
          <w:rFonts w:ascii="Times New Roman" w:hAnsi="Times New Roman" w:cs="Times New Roman"/>
          <w:sz w:val="24"/>
          <w:szCs w:val="24"/>
        </w:rPr>
        <w:t xml:space="preserve">Microadventures are low-carbon and human scaled (Mackenzie and Goodnow, 2020), aligning with sustainability in environmental, social, and economic terms. Traditionally adventure travels often involve long distance, costly gear, and sensitive ecological places. </w:t>
      </w:r>
      <w:proofErr w:type="spellStart"/>
      <w:r w:rsidRPr="00F06EDD">
        <w:rPr>
          <w:rFonts w:ascii="Times New Roman" w:hAnsi="Times New Roman" w:cs="Times New Roman"/>
          <w:sz w:val="24"/>
          <w:szCs w:val="24"/>
        </w:rPr>
        <w:t>Denzon</w:t>
      </w:r>
      <w:proofErr w:type="spellEnd"/>
      <w:r w:rsidRPr="00F06EDD">
        <w:rPr>
          <w:rFonts w:ascii="Times New Roman" w:hAnsi="Times New Roman" w:cs="Times New Roman"/>
          <w:sz w:val="24"/>
          <w:szCs w:val="24"/>
        </w:rPr>
        <w:t xml:space="preserve"> (2024) noted that a 2024 shift towards sustainable adventure tourism, localism, is finding an adventure in your local area; global mobility costs decrease if this concept is widely accepted. Microadventures can also ease pressure on overcrowded sites by promoting local green spaces (Huddart and Stott, 2019 that can be accessed by foot, bike, or public transport. Hinton and </w:t>
      </w:r>
      <w:proofErr w:type="spellStart"/>
      <w:r w:rsidRPr="00F06EDD">
        <w:rPr>
          <w:rFonts w:ascii="Times New Roman" w:hAnsi="Times New Roman" w:cs="Times New Roman"/>
          <w:sz w:val="24"/>
          <w:szCs w:val="24"/>
        </w:rPr>
        <w:t>O’Niell</w:t>
      </w:r>
      <w:proofErr w:type="spellEnd"/>
      <w:r w:rsidRPr="00F06EDD">
        <w:rPr>
          <w:rFonts w:ascii="Times New Roman" w:hAnsi="Times New Roman" w:cs="Times New Roman"/>
          <w:sz w:val="24"/>
          <w:szCs w:val="24"/>
        </w:rPr>
        <w:t xml:space="preserve"> (2021) saw pandemic spikes in local outdoor, leaving them to update the Countryside Code, emphasising “leaving no trace”, planning, and caring for nature (CPRE, 2024). Berry and Hodgson (2011) paper foster environmental awareness as priority in adventure education, which intern resonates values such as CPRE. As Humphreys (2014) and Miles (2021) argue, adventures don’t require time, money, or expertise; microadventures lower social values to such activities, such as lower financial and logistical barriers. Parry and Allison (2021) suggest that even informal outdoor experiences build social capital and resilience. Microadventures maintain support for local businesses and keep leisure spending domestic; Miles (2021) crafted his own canoe paddle from reclaimed wood, putting forward that microadventures should align with frugality and sustainable consumption. Beames (2010) and Kennedy, MacPhail and Varly (2020) agree that self-resilience and teamwork can be taught through local adventures. Post-pandemic, schools and youth groups may lead with local models of learning valuing experience over a longer journey adventure. The UK government mirrored this shift in values, Natural England’s and Nature Survey (Marshall, 2022) showed results showing higher visitation to local greenspaces and its overall importance to individual wellbeing. Local councils and organisations improved signage on footpaths, published self-guided walking routes, even years after the pandemic many Britons have continuously searched their way around their local area </w:t>
      </w:r>
      <w:r w:rsidR="008E3409" w:rsidRPr="00F06EDD">
        <w:rPr>
          <w:rFonts w:ascii="Times New Roman" w:hAnsi="Times New Roman" w:cs="Times New Roman"/>
          <w:sz w:val="24"/>
          <w:szCs w:val="24"/>
        </w:rPr>
        <w:t>without</w:t>
      </w:r>
      <w:r w:rsidRPr="00F06EDD">
        <w:rPr>
          <w:rFonts w:ascii="Times New Roman" w:hAnsi="Times New Roman" w:cs="Times New Roman"/>
          <w:sz w:val="24"/>
          <w:szCs w:val="24"/>
        </w:rPr>
        <w:t xml:space="preserve"> stepping into another country. </w:t>
      </w:r>
    </w:p>
    <w:p w14:paraId="39B07208" w14:textId="77777777" w:rsidR="00F06EDD" w:rsidRPr="00F06EDD" w:rsidRDefault="00F06EDD" w:rsidP="004D7D76">
      <w:pPr>
        <w:spacing w:line="360" w:lineRule="auto"/>
        <w:rPr>
          <w:rFonts w:ascii="Times New Roman" w:hAnsi="Times New Roman" w:cs="Times New Roman"/>
          <w:sz w:val="24"/>
          <w:szCs w:val="24"/>
        </w:rPr>
      </w:pPr>
      <w:r w:rsidRPr="00F06EDD">
        <w:rPr>
          <w:rFonts w:ascii="Times New Roman" w:hAnsi="Times New Roman" w:cs="Times New Roman"/>
          <w:sz w:val="24"/>
          <w:szCs w:val="24"/>
        </w:rPr>
        <w:t xml:space="preserve">In conclusion, COVID-19 pandemic resulted in a mixture of positive and negative aspects, which our most valuable outcome is how we pursue adventure. The pandemic created </w:t>
      </w:r>
      <w:r w:rsidRPr="00F06EDD">
        <w:rPr>
          <w:rFonts w:ascii="Times New Roman" w:hAnsi="Times New Roman" w:cs="Times New Roman"/>
          <w:sz w:val="24"/>
          <w:szCs w:val="24"/>
        </w:rPr>
        <w:lastRenderedPageBreak/>
        <w:t>conditions that required imaginative thinking and problem solving to combat the void everyone faced when the restrictions was enforced. These newfound discoveries allowed locals to foster new heathier habits, not just physical health, but the financial and environmental benefit everyone now strives to achieve, making a holiday that doesn’t cost much but also doesn’t affect the environment in the least negative way possible. This paper found strong justification for microadventures, the assertion by Mackenzie and Goodnow (2020) “an enticing alternative for both current and post-pandemic conditions” gave relance to those justifications. Looking to the future, microadventures are increasingly valuing themselves with sustainability initiatives. Environmentally they continuously cut the carbon and ecological footprint, this awareness answers the calls for climate conscious lifestyles. Educationally, micro adventures offer rich experiential learning experiences for term time or out of term time, children, the affordances they get from their local area and learning how their own back garden has many opportunities to learn from. Of course, microadventures are not a universal panacea. International travel has resumed, and extreme locations are available to the public, but evidence shows that local areas are being increasingly used. Nevertheless, the COVID-19 pandemic has exponentially increased the repertoire of what counts as an adventure; they slow us down and notice the natural connectedness between us and our local area.</w:t>
      </w:r>
    </w:p>
    <w:p w14:paraId="596A913E" w14:textId="081FB889" w:rsidR="00035A5E" w:rsidRDefault="001A13DA" w:rsidP="00F06EDD">
      <w:pPr>
        <w:rPr>
          <w:rFonts w:ascii="Times New Roman" w:hAnsi="Times New Roman" w:cs="Times New Roman"/>
          <w:sz w:val="24"/>
          <w:szCs w:val="24"/>
        </w:rPr>
      </w:pPr>
      <w:r w:rsidRPr="001A13DA">
        <w:rPr>
          <w:rFonts w:ascii="Times New Roman" w:hAnsi="Times New Roman" w:cs="Times New Roman"/>
          <w:sz w:val="24"/>
          <w:szCs w:val="24"/>
        </w:rPr>
        <w:t xml:space="preserve">Word count- </w:t>
      </w:r>
      <w:r w:rsidR="008E3409" w:rsidRPr="001A13DA">
        <w:rPr>
          <w:rFonts w:ascii="Times New Roman" w:hAnsi="Times New Roman" w:cs="Times New Roman"/>
          <w:sz w:val="24"/>
          <w:szCs w:val="24"/>
        </w:rPr>
        <w:t>1392</w:t>
      </w:r>
    </w:p>
    <w:p w14:paraId="2E05BB27" w14:textId="77777777" w:rsidR="00051072" w:rsidRDefault="00051072" w:rsidP="00F06EDD">
      <w:pPr>
        <w:rPr>
          <w:rFonts w:ascii="Times New Roman" w:hAnsi="Times New Roman" w:cs="Times New Roman"/>
          <w:sz w:val="24"/>
          <w:szCs w:val="24"/>
        </w:rPr>
      </w:pPr>
    </w:p>
    <w:p w14:paraId="0702B273" w14:textId="77777777" w:rsidR="00051072" w:rsidRPr="00051072" w:rsidRDefault="00051072" w:rsidP="00051072">
      <w:pPr>
        <w:spacing w:after="240" w:line="360" w:lineRule="auto"/>
        <w:outlineLvl w:val="0"/>
        <w:rPr>
          <w:rFonts w:ascii="Times New Roman" w:eastAsia="Times New Roman" w:hAnsi="Times New Roman" w:cs="Times New Roman"/>
          <w:b/>
          <w:bCs/>
          <w:kern w:val="36"/>
          <w:sz w:val="36"/>
          <w:szCs w:val="36"/>
          <w:lang w:eastAsia="en-GB"/>
          <w14:ligatures w14:val="none"/>
        </w:rPr>
      </w:pPr>
      <w:r w:rsidRPr="00051072">
        <w:rPr>
          <w:rFonts w:ascii="Times New Roman" w:eastAsia="Times New Roman" w:hAnsi="Times New Roman" w:cs="Times New Roman"/>
          <w:b/>
          <w:bCs/>
          <w:kern w:val="36"/>
          <w:sz w:val="36"/>
          <w:szCs w:val="36"/>
          <w:lang w:eastAsia="en-GB"/>
          <w14:ligatures w14:val="none"/>
        </w:rPr>
        <w:t>Reference list</w:t>
      </w:r>
    </w:p>
    <w:p w14:paraId="0D84A279"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Beames, S. (2010). </w:t>
      </w:r>
      <w:r w:rsidRPr="00051072">
        <w:rPr>
          <w:rFonts w:ascii="Times New Roman" w:eastAsia="Times New Roman" w:hAnsi="Times New Roman" w:cs="Times New Roman"/>
          <w:i/>
          <w:iCs/>
          <w:kern w:val="0"/>
          <w:sz w:val="24"/>
          <w:szCs w:val="24"/>
          <w:lang w:eastAsia="en-GB"/>
          <w14:ligatures w14:val="none"/>
        </w:rPr>
        <w:t>Understanding Educational Expeditions</w:t>
      </w:r>
      <w:r w:rsidRPr="00051072">
        <w:rPr>
          <w:rFonts w:ascii="Times New Roman" w:eastAsia="Times New Roman" w:hAnsi="Times New Roman" w:cs="Times New Roman"/>
          <w:kern w:val="0"/>
          <w:sz w:val="24"/>
          <w:szCs w:val="24"/>
          <w:lang w:eastAsia="en-GB"/>
          <w14:ligatures w14:val="none"/>
        </w:rPr>
        <w:t>. BRILL.</w:t>
      </w:r>
    </w:p>
    <w:p w14:paraId="3459B461"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Berry, M. and Hodgson, C. (2011). </w:t>
      </w:r>
      <w:r w:rsidRPr="00051072">
        <w:rPr>
          <w:rFonts w:ascii="Times New Roman" w:eastAsia="Times New Roman" w:hAnsi="Times New Roman" w:cs="Times New Roman"/>
          <w:i/>
          <w:iCs/>
          <w:kern w:val="0"/>
          <w:sz w:val="24"/>
          <w:szCs w:val="24"/>
          <w:lang w:eastAsia="en-GB"/>
          <w14:ligatures w14:val="none"/>
        </w:rPr>
        <w:t>Adventure education : an introduction</w:t>
      </w:r>
      <w:r w:rsidRPr="00051072">
        <w:rPr>
          <w:rFonts w:ascii="Times New Roman" w:eastAsia="Times New Roman" w:hAnsi="Times New Roman" w:cs="Times New Roman"/>
          <w:kern w:val="0"/>
          <w:sz w:val="24"/>
          <w:szCs w:val="24"/>
          <w:lang w:eastAsia="en-GB"/>
          <w14:ligatures w14:val="none"/>
        </w:rPr>
        <w:t>. London ; New York: Routledge.</w:t>
      </w:r>
    </w:p>
    <w:p w14:paraId="7069BE75" w14:textId="26AB8E65"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CPRE (2024). </w:t>
      </w:r>
      <w:r w:rsidRPr="00051072">
        <w:rPr>
          <w:rFonts w:ascii="Times New Roman" w:eastAsia="Times New Roman" w:hAnsi="Times New Roman" w:cs="Times New Roman"/>
          <w:i/>
          <w:iCs/>
          <w:kern w:val="0"/>
          <w:sz w:val="24"/>
          <w:szCs w:val="24"/>
          <w:lang w:eastAsia="en-GB"/>
          <w14:ligatures w14:val="none"/>
        </w:rPr>
        <w:t>Countryside Code</w:t>
      </w:r>
      <w:r w:rsidRPr="00051072">
        <w:rPr>
          <w:rFonts w:ascii="Times New Roman" w:eastAsia="Times New Roman" w:hAnsi="Times New Roman" w:cs="Times New Roman"/>
          <w:kern w:val="0"/>
          <w:sz w:val="24"/>
          <w:szCs w:val="24"/>
          <w:lang w:eastAsia="en-GB"/>
          <w14:ligatures w14:val="none"/>
        </w:rPr>
        <w:t xml:space="preserve">. [online] CPRE Sussex. Available at: https://www.cpresussex.org.uk/discover-your-countryside/countryside-code/ </w:t>
      </w:r>
    </w:p>
    <w:p w14:paraId="23BC8AD0"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proofErr w:type="spellStart"/>
      <w:r w:rsidRPr="00051072">
        <w:rPr>
          <w:rFonts w:ascii="Times New Roman" w:eastAsia="Times New Roman" w:hAnsi="Times New Roman" w:cs="Times New Roman"/>
          <w:kern w:val="0"/>
          <w:sz w:val="24"/>
          <w:szCs w:val="24"/>
          <w:lang w:eastAsia="en-GB"/>
          <w14:ligatures w14:val="none"/>
        </w:rPr>
        <w:t>Denzon</w:t>
      </w:r>
      <w:proofErr w:type="spellEnd"/>
      <w:r w:rsidRPr="00051072">
        <w:rPr>
          <w:rFonts w:ascii="Times New Roman" w:eastAsia="Times New Roman" w:hAnsi="Times New Roman" w:cs="Times New Roman"/>
          <w:kern w:val="0"/>
          <w:sz w:val="24"/>
          <w:szCs w:val="24"/>
          <w:lang w:eastAsia="en-GB"/>
          <w14:ligatures w14:val="none"/>
        </w:rPr>
        <w:t xml:space="preserve">, G. (2024). </w:t>
      </w:r>
      <w:r w:rsidRPr="00051072">
        <w:rPr>
          <w:rFonts w:ascii="Times New Roman" w:eastAsia="Times New Roman" w:hAnsi="Times New Roman" w:cs="Times New Roman"/>
          <w:i/>
          <w:iCs/>
          <w:kern w:val="0"/>
          <w:sz w:val="24"/>
          <w:szCs w:val="24"/>
          <w:lang w:eastAsia="en-GB"/>
          <w14:ligatures w14:val="none"/>
        </w:rPr>
        <w:t>How Microadventures Redefine Tour Operators Strategies for Success</w:t>
      </w:r>
      <w:r w:rsidRPr="00051072">
        <w:rPr>
          <w:rFonts w:ascii="Times New Roman" w:eastAsia="Times New Roman" w:hAnsi="Times New Roman" w:cs="Times New Roman"/>
          <w:kern w:val="0"/>
          <w:sz w:val="24"/>
          <w:szCs w:val="24"/>
          <w:lang w:eastAsia="en-GB"/>
          <w14:ligatures w14:val="none"/>
        </w:rPr>
        <w:t>. [online] Ticketinghub.com. Available at: https://www.ticketinghub.com/blog/microadventures-redefine-tour-operators-strategies.</w:t>
      </w:r>
    </w:p>
    <w:p w14:paraId="13260E3B" w14:textId="47DA8EF8"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lastRenderedPageBreak/>
        <w:t xml:space="preserve">DOFE (2024). </w:t>
      </w:r>
      <w:r w:rsidRPr="00051072">
        <w:rPr>
          <w:rFonts w:ascii="Times New Roman" w:eastAsia="Times New Roman" w:hAnsi="Times New Roman" w:cs="Times New Roman"/>
          <w:i/>
          <w:iCs/>
          <w:kern w:val="0"/>
          <w:sz w:val="24"/>
          <w:szCs w:val="24"/>
          <w:lang w:eastAsia="en-GB"/>
          <w14:ligatures w14:val="none"/>
        </w:rPr>
        <w:t>Expedition Changes FAQs - The Duke of Edinburgh’s Award</w:t>
      </w:r>
      <w:r w:rsidRPr="00051072">
        <w:rPr>
          <w:rFonts w:ascii="Times New Roman" w:eastAsia="Times New Roman" w:hAnsi="Times New Roman" w:cs="Times New Roman"/>
          <w:kern w:val="0"/>
          <w:sz w:val="24"/>
          <w:szCs w:val="24"/>
          <w:lang w:eastAsia="en-GB"/>
          <w14:ligatures w14:val="none"/>
        </w:rPr>
        <w:t xml:space="preserve">. [online] The Duke of Edinburgh’s Award. Available at: https://www.dofe.org/running-expeditions/expedition-changes-faqs/ </w:t>
      </w:r>
    </w:p>
    <w:p w14:paraId="35FC978B"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Hinton, E. and </w:t>
      </w:r>
      <w:proofErr w:type="spellStart"/>
      <w:r w:rsidRPr="00051072">
        <w:rPr>
          <w:rFonts w:ascii="Times New Roman" w:eastAsia="Times New Roman" w:hAnsi="Times New Roman" w:cs="Times New Roman"/>
          <w:kern w:val="0"/>
          <w:sz w:val="24"/>
          <w:szCs w:val="24"/>
          <w:lang w:eastAsia="en-GB"/>
          <w14:ligatures w14:val="none"/>
        </w:rPr>
        <w:t>O’Niell</w:t>
      </w:r>
      <w:proofErr w:type="spellEnd"/>
      <w:r w:rsidRPr="00051072">
        <w:rPr>
          <w:rFonts w:ascii="Times New Roman" w:eastAsia="Times New Roman" w:hAnsi="Times New Roman" w:cs="Times New Roman"/>
          <w:kern w:val="0"/>
          <w:sz w:val="24"/>
          <w:szCs w:val="24"/>
          <w:lang w:eastAsia="en-GB"/>
          <w14:ligatures w14:val="none"/>
        </w:rPr>
        <w:t xml:space="preserve">, R. (2021). </w:t>
      </w:r>
      <w:r w:rsidRPr="00051072">
        <w:rPr>
          <w:rFonts w:ascii="Times New Roman" w:eastAsia="Times New Roman" w:hAnsi="Times New Roman" w:cs="Times New Roman"/>
          <w:i/>
          <w:iCs/>
          <w:kern w:val="0"/>
          <w:sz w:val="24"/>
          <w:szCs w:val="24"/>
          <w:lang w:eastAsia="en-GB"/>
          <w14:ligatures w14:val="none"/>
        </w:rPr>
        <w:t>The Countryside Code</w:t>
      </w:r>
      <w:r w:rsidRPr="00051072">
        <w:rPr>
          <w:rFonts w:ascii="Times New Roman" w:eastAsia="Times New Roman" w:hAnsi="Times New Roman" w:cs="Times New Roman"/>
          <w:kern w:val="0"/>
          <w:sz w:val="24"/>
          <w:szCs w:val="24"/>
          <w:lang w:eastAsia="en-GB"/>
          <w14:ligatures w14:val="none"/>
        </w:rPr>
        <w:t>. Natural England.</w:t>
      </w:r>
    </w:p>
    <w:p w14:paraId="364E8C7C"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Huddart, D. and Stott, T. (2019). </w:t>
      </w:r>
      <w:r w:rsidRPr="00051072">
        <w:rPr>
          <w:rFonts w:ascii="Times New Roman" w:eastAsia="Times New Roman" w:hAnsi="Times New Roman" w:cs="Times New Roman"/>
          <w:i/>
          <w:iCs/>
          <w:kern w:val="0"/>
          <w:sz w:val="24"/>
          <w:szCs w:val="24"/>
          <w:lang w:eastAsia="en-GB"/>
          <w14:ligatures w14:val="none"/>
        </w:rPr>
        <w:t>Outdoor Recreation : Environmental Impacts and Management</w:t>
      </w:r>
      <w:r w:rsidRPr="00051072">
        <w:rPr>
          <w:rFonts w:ascii="Times New Roman" w:eastAsia="Times New Roman" w:hAnsi="Times New Roman" w:cs="Times New Roman"/>
          <w:kern w:val="0"/>
          <w:sz w:val="24"/>
          <w:szCs w:val="24"/>
          <w:lang w:eastAsia="en-GB"/>
          <w14:ligatures w14:val="none"/>
        </w:rPr>
        <w:t>. Cham: Springer International Publishing.</w:t>
      </w:r>
    </w:p>
    <w:p w14:paraId="7E70347B"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Humphreys, A. (2014). </w:t>
      </w:r>
      <w:r w:rsidRPr="00051072">
        <w:rPr>
          <w:rFonts w:ascii="Times New Roman" w:eastAsia="Times New Roman" w:hAnsi="Times New Roman" w:cs="Times New Roman"/>
          <w:i/>
          <w:iCs/>
          <w:kern w:val="0"/>
          <w:sz w:val="24"/>
          <w:szCs w:val="24"/>
          <w:lang w:eastAsia="en-GB"/>
          <w14:ligatures w14:val="none"/>
        </w:rPr>
        <w:t>Local discoveries for great escapes</w:t>
      </w:r>
      <w:r w:rsidRPr="00051072">
        <w:rPr>
          <w:rFonts w:ascii="Times New Roman" w:eastAsia="Times New Roman" w:hAnsi="Times New Roman" w:cs="Times New Roman"/>
          <w:kern w:val="0"/>
          <w:sz w:val="24"/>
          <w:szCs w:val="24"/>
          <w:lang w:eastAsia="en-GB"/>
          <w14:ligatures w14:val="none"/>
        </w:rPr>
        <w:t>. London: William Collins.</w:t>
      </w:r>
    </w:p>
    <w:p w14:paraId="319A3ECE"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Jeffs, T. and Ord, J. (2017). </w:t>
      </w:r>
      <w:r w:rsidRPr="00051072">
        <w:rPr>
          <w:rFonts w:ascii="Times New Roman" w:eastAsia="Times New Roman" w:hAnsi="Times New Roman" w:cs="Times New Roman"/>
          <w:i/>
          <w:iCs/>
          <w:kern w:val="0"/>
          <w:sz w:val="24"/>
          <w:szCs w:val="24"/>
          <w:lang w:eastAsia="en-GB"/>
          <w14:ligatures w14:val="none"/>
        </w:rPr>
        <w:t>Rethinking outdoor, experiential and informal education Beyond the Confines</w:t>
      </w:r>
      <w:r w:rsidRPr="00051072">
        <w:rPr>
          <w:rFonts w:ascii="Times New Roman" w:eastAsia="Times New Roman" w:hAnsi="Times New Roman" w:cs="Times New Roman"/>
          <w:kern w:val="0"/>
          <w:sz w:val="24"/>
          <w:szCs w:val="24"/>
          <w:lang w:eastAsia="en-GB"/>
          <w14:ligatures w14:val="none"/>
        </w:rPr>
        <w:t>. Routledge.</w:t>
      </w:r>
    </w:p>
    <w:p w14:paraId="056842E0" w14:textId="2CDD7B93"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Kennedy, S., MacPhail, A. and Varley, P. (2020). Other voices in the adventure expedition assemblage. </w:t>
      </w:r>
      <w:r w:rsidRPr="00051072">
        <w:rPr>
          <w:rFonts w:ascii="Times New Roman" w:eastAsia="Times New Roman" w:hAnsi="Times New Roman" w:cs="Times New Roman"/>
          <w:i/>
          <w:iCs/>
          <w:kern w:val="0"/>
          <w:sz w:val="24"/>
          <w:szCs w:val="24"/>
          <w:lang w:eastAsia="en-GB"/>
          <w14:ligatures w14:val="none"/>
        </w:rPr>
        <w:t>Annals of Leisure Research</w:t>
      </w:r>
      <w:r w:rsidRPr="00051072">
        <w:rPr>
          <w:rFonts w:ascii="Times New Roman" w:eastAsia="Times New Roman" w:hAnsi="Times New Roman" w:cs="Times New Roman"/>
          <w:kern w:val="0"/>
          <w:sz w:val="24"/>
          <w:szCs w:val="24"/>
          <w:lang w:eastAsia="en-GB"/>
          <w14:ligatures w14:val="none"/>
        </w:rPr>
        <w:t>, 25(3), pp.399–416. https://doi.org/10.1080/11745398.2020.1836665.</w:t>
      </w:r>
    </w:p>
    <w:p w14:paraId="0BDA3D48" w14:textId="68698D83"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Mackenzie, S.H. and Goodnow, J. (2020). Adventure in the Age of COVID-19: Embracing Microadventures and </w:t>
      </w:r>
      <w:proofErr w:type="spellStart"/>
      <w:r w:rsidRPr="00051072">
        <w:rPr>
          <w:rFonts w:ascii="Times New Roman" w:eastAsia="Times New Roman" w:hAnsi="Times New Roman" w:cs="Times New Roman"/>
          <w:kern w:val="0"/>
          <w:sz w:val="24"/>
          <w:szCs w:val="24"/>
          <w:lang w:eastAsia="en-GB"/>
          <w14:ligatures w14:val="none"/>
        </w:rPr>
        <w:t>Locavism</w:t>
      </w:r>
      <w:proofErr w:type="spellEnd"/>
      <w:r w:rsidRPr="00051072">
        <w:rPr>
          <w:rFonts w:ascii="Times New Roman" w:eastAsia="Times New Roman" w:hAnsi="Times New Roman" w:cs="Times New Roman"/>
          <w:kern w:val="0"/>
          <w:sz w:val="24"/>
          <w:szCs w:val="24"/>
          <w:lang w:eastAsia="en-GB"/>
          <w14:ligatures w14:val="none"/>
        </w:rPr>
        <w:t xml:space="preserve"> in a Post-Pandemic World. </w:t>
      </w:r>
      <w:r w:rsidRPr="00051072">
        <w:rPr>
          <w:rFonts w:ascii="Times New Roman" w:eastAsia="Times New Roman" w:hAnsi="Times New Roman" w:cs="Times New Roman"/>
          <w:i/>
          <w:iCs/>
          <w:kern w:val="0"/>
          <w:sz w:val="24"/>
          <w:szCs w:val="24"/>
          <w:lang w:eastAsia="en-GB"/>
          <w14:ligatures w14:val="none"/>
        </w:rPr>
        <w:t>Leisure Sciences</w:t>
      </w:r>
      <w:r w:rsidRPr="00051072">
        <w:rPr>
          <w:rFonts w:ascii="Times New Roman" w:eastAsia="Times New Roman" w:hAnsi="Times New Roman" w:cs="Times New Roman"/>
          <w:kern w:val="0"/>
          <w:sz w:val="24"/>
          <w:szCs w:val="24"/>
          <w:lang w:eastAsia="en-GB"/>
          <w14:ligatures w14:val="none"/>
        </w:rPr>
        <w:t>, 43(1-2), pp.1–8. https://doi.org/10.1080/01490400.2020.1773984.</w:t>
      </w:r>
    </w:p>
    <w:p w14:paraId="4E6DA595"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Marshall, T. (2022). </w:t>
      </w:r>
      <w:r w:rsidRPr="00051072">
        <w:rPr>
          <w:rFonts w:ascii="Times New Roman" w:eastAsia="Times New Roman" w:hAnsi="Times New Roman" w:cs="Times New Roman"/>
          <w:i/>
          <w:iCs/>
          <w:kern w:val="0"/>
          <w:sz w:val="24"/>
          <w:szCs w:val="24"/>
          <w:lang w:eastAsia="en-GB"/>
          <w14:ligatures w14:val="none"/>
        </w:rPr>
        <w:t>People and Nature Survey: How has COVID-19 changed the way we engage with nature?</w:t>
      </w:r>
      <w:r w:rsidRPr="00051072">
        <w:rPr>
          <w:rFonts w:ascii="Times New Roman" w:eastAsia="Times New Roman" w:hAnsi="Times New Roman" w:cs="Times New Roman"/>
          <w:kern w:val="0"/>
          <w:sz w:val="24"/>
          <w:szCs w:val="24"/>
          <w:lang w:eastAsia="en-GB"/>
          <w14:ligatures w14:val="none"/>
        </w:rPr>
        <w:t xml:space="preserve"> [online] naturalengland.blog.gov.uk. Available at: https://naturalengland.blog.gov.uk/2022/05/18/people-and-nature-survey-how-has-covid-19-changed-the-way-we-engage-with-nature/.</w:t>
      </w:r>
    </w:p>
    <w:p w14:paraId="5F762855"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Miles, B. (2021). </w:t>
      </w:r>
      <w:r w:rsidRPr="00051072">
        <w:rPr>
          <w:rFonts w:ascii="Times New Roman" w:eastAsia="Times New Roman" w:hAnsi="Times New Roman" w:cs="Times New Roman"/>
          <w:i/>
          <w:iCs/>
          <w:kern w:val="0"/>
          <w:sz w:val="24"/>
          <w:szCs w:val="24"/>
          <w:lang w:eastAsia="en-GB"/>
          <w14:ligatures w14:val="none"/>
        </w:rPr>
        <w:t>The Backyard Adventurer</w:t>
      </w:r>
      <w:r w:rsidRPr="00051072">
        <w:rPr>
          <w:rFonts w:ascii="Times New Roman" w:eastAsia="Times New Roman" w:hAnsi="Times New Roman" w:cs="Times New Roman"/>
          <w:kern w:val="0"/>
          <w:sz w:val="24"/>
          <w:szCs w:val="24"/>
          <w:lang w:eastAsia="en-GB"/>
          <w14:ligatures w14:val="none"/>
        </w:rPr>
        <w:t>. Brio Books Pty Ltd.</w:t>
      </w:r>
    </w:p>
    <w:p w14:paraId="52F63199" w14:textId="13B14375"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Miles, B. (2022). ‘Walking to Work’ Extract from The Backyard Adventurer (2021). </w:t>
      </w:r>
      <w:r w:rsidRPr="00051072">
        <w:rPr>
          <w:rFonts w:ascii="Times New Roman" w:eastAsia="Times New Roman" w:hAnsi="Times New Roman" w:cs="Times New Roman"/>
          <w:i/>
          <w:iCs/>
          <w:kern w:val="0"/>
          <w:sz w:val="24"/>
          <w:szCs w:val="24"/>
          <w:lang w:eastAsia="en-GB"/>
          <w14:ligatures w14:val="none"/>
        </w:rPr>
        <w:t>Ekistics and The New Habitat</w:t>
      </w:r>
      <w:r w:rsidRPr="00051072">
        <w:rPr>
          <w:rFonts w:ascii="Times New Roman" w:eastAsia="Times New Roman" w:hAnsi="Times New Roman" w:cs="Times New Roman"/>
          <w:kern w:val="0"/>
          <w:sz w:val="24"/>
          <w:szCs w:val="24"/>
          <w:lang w:eastAsia="en-GB"/>
          <w14:ligatures w14:val="none"/>
        </w:rPr>
        <w:t>, 81(3), pp.95–103. https://doi.org/10.53910/26531313-e2021813631.</w:t>
      </w:r>
    </w:p>
    <w:p w14:paraId="49D9A9ED"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Mortlock, C. (2000). </w:t>
      </w:r>
      <w:r w:rsidRPr="00051072">
        <w:rPr>
          <w:rFonts w:ascii="Times New Roman" w:eastAsia="Times New Roman" w:hAnsi="Times New Roman" w:cs="Times New Roman"/>
          <w:i/>
          <w:iCs/>
          <w:kern w:val="0"/>
          <w:sz w:val="24"/>
          <w:szCs w:val="24"/>
          <w:lang w:eastAsia="en-GB"/>
          <w14:ligatures w14:val="none"/>
        </w:rPr>
        <w:t>The adventure alternative</w:t>
      </w:r>
      <w:r w:rsidRPr="00051072">
        <w:rPr>
          <w:rFonts w:ascii="Times New Roman" w:eastAsia="Times New Roman" w:hAnsi="Times New Roman" w:cs="Times New Roman"/>
          <w:kern w:val="0"/>
          <w:sz w:val="24"/>
          <w:szCs w:val="24"/>
          <w:lang w:eastAsia="en-GB"/>
          <w14:ligatures w14:val="none"/>
        </w:rPr>
        <w:t xml:space="preserve">. </w:t>
      </w:r>
      <w:proofErr w:type="spellStart"/>
      <w:r w:rsidRPr="00051072">
        <w:rPr>
          <w:rFonts w:ascii="Times New Roman" w:eastAsia="Times New Roman" w:hAnsi="Times New Roman" w:cs="Times New Roman"/>
          <w:kern w:val="0"/>
          <w:sz w:val="24"/>
          <w:szCs w:val="24"/>
          <w:lang w:eastAsia="en-GB"/>
          <w14:ligatures w14:val="none"/>
        </w:rPr>
        <w:t>Milnethorpe</w:t>
      </w:r>
      <w:proofErr w:type="spellEnd"/>
      <w:r w:rsidRPr="00051072">
        <w:rPr>
          <w:rFonts w:ascii="Times New Roman" w:eastAsia="Times New Roman" w:hAnsi="Times New Roman" w:cs="Times New Roman"/>
          <w:kern w:val="0"/>
          <w:sz w:val="24"/>
          <w:szCs w:val="24"/>
          <w:lang w:eastAsia="en-GB"/>
          <w14:ligatures w14:val="none"/>
        </w:rPr>
        <w:t>: Cicerone.</w:t>
      </w:r>
    </w:p>
    <w:p w14:paraId="3E58BFCA" w14:textId="3C9EE766"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t xml:space="preserve">Parliament (2021). </w:t>
      </w:r>
      <w:r w:rsidRPr="00051072">
        <w:rPr>
          <w:rFonts w:ascii="Times New Roman" w:eastAsia="Times New Roman" w:hAnsi="Times New Roman" w:cs="Times New Roman"/>
          <w:i/>
          <w:iCs/>
          <w:kern w:val="0"/>
          <w:sz w:val="24"/>
          <w:szCs w:val="24"/>
          <w:lang w:eastAsia="en-GB"/>
          <w14:ligatures w14:val="none"/>
        </w:rPr>
        <w:t>Rule of Law Themes from COVID-19 Regulations - Joint Committee on Statutory Instruments - House of Commons</w:t>
      </w:r>
      <w:r w:rsidRPr="00051072">
        <w:rPr>
          <w:rFonts w:ascii="Times New Roman" w:eastAsia="Times New Roman" w:hAnsi="Times New Roman" w:cs="Times New Roman"/>
          <w:kern w:val="0"/>
          <w:sz w:val="24"/>
          <w:szCs w:val="24"/>
          <w:lang w:eastAsia="en-GB"/>
          <w14:ligatures w14:val="none"/>
        </w:rPr>
        <w:t xml:space="preserve">. [online] Parliament.uk. Available at: https://publications.parliament.uk/pa/jt5802/jtselect/jtstatin/57/5709.htm </w:t>
      </w:r>
    </w:p>
    <w:p w14:paraId="6DC2884A"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r w:rsidRPr="00051072">
        <w:rPr>
          <w:rFonts w:ascii="Times New Roman" w:eastAsia="Times New Roman" w:hAnsi="Times New Roman" w:cs="Times New Roman"/>
          <w:kern w:val="0"/>
          <w:sz w:val="24"/>
          <w:szCs w:val="24"/>
          <w:lang w:eastAsia="en-GB"/>
          <w14:ligatures w14:val="none"/>
        </w:rPr>
        <w:lastRenderedPageBreak/>
        <w:t xml:space="preserve">Parry, S.J. and Allison, P. (2021). </w:t>
      </w:r>
      <w:r w:rsidRPr="00051072">
        <w:rPr>
          <w:rFonts w:ascii="Times New Roman" w:eastAsia="Times New Roman" w:hAnsi="Times New Roman" w:cs="Times New Roman"/>
          <w:i/>
          <w:iCs/>
          <w:kern w:val="0"/>
          <w:sz w:val="24"/>
          <w:szCs w:val="24"/>
          <w:lang w:eastAsia="en-GB"/>
          <w14:ligatures w14:val="none"/>
        </w:rPr>
        <w:t>Experiential learning and outdoor education : traditions of practice and philosophical perspectives</w:t>
      </w:r>
      <w:r w:rsidRPr="00051072">
        <w:rPr>
          <w:rFonts w:ascii="Times New Roman" w:eastAsia="Times New Roman" w:hAnsi="Times New Roman" w:cs="Times New Roman"/>
          <w:kern w:val="0"/>
          <w:sz w:val="24"/>
          <w:szCs w:val="24"/>
          <w:lang w:eastAsia="en-GB"/>
          <w14:ligatures w14:val="none"/>
        </w:rPr>
        <w:t>. London: Routledge.</w:t>
      </w:r>
    </w:p>
    <w:p w14:paraId="5AF36BE7" w14:textId="77777777" w:rsidR="00051072" w:rsidRPr="00051072" w:rsidRDefault="00051072" w:rsidP="00051072">
      <w:pPr>
        <w:spacing w:after="240" w:line="360" w:lineRule="auto"/>
        <w:rPr>
          <w:rFonts w:ascii="Times New Roman" w:eastAsia="Times New Roman" w:hAnsi="Times New Roman" w:cs="Times New Roman"/>
          <w:kern w:val="0"/>
          <w:sz w:val="24"/>
          <w:szCs w:val="24"/>
          <w:lang w:eastAsia="en-GB"/>
          <w14:ligatures w14:val="none"/>
        </w:rPr>
      </w:pPr>
      <w:proofErr w:type="spellStart"/>
      <w:r w:rsidRPr="00051072">
        <w:rPr>
          <w:rFonts w:ascii="Times New Roman" w:eastAsia="Times New Roman" w:hAnsi="Times New Roman" w:cs="Times New Roman"/>
          <w:kern w:val="0"/>
          <w:sz w:val="24"/>
          <w:szCs w:val="24"/>
          <w:lang w:eastAsia="en-GB"/>
          <w14:ligatures w14:val="none"/>
        </w:rPr>
        <w:t>Wattchow</w:t>
      </w:r>
      <w:proofErr w:type="spellEnd"/>
      <w:r w:rsidRPr="00051072">
        <w:rPr>
          <w:rFonts w:ascii="Times New Roman" w:eastAsia="Times New Roman" w:hAnsi="Times New Roman" w:cs="Times New Roman"/>
          <w:kern w:val="0"/>
          <w:sz w:val="24"/>
          <w:szCs w:val="24"/>
          <w:lang w:eastAsia="en-GB"/>
          <w14:ligatures w14:val="none"/>
        </w:rPr>
        <w:t xml:space="preserve">, B. and Brown, M. (2011). </w:t>
      </w:r>
      <w:r w:rsidRPr="00051072">
        <w:rPr>
          <w:rFonts w:ascii="Times New Roman" w:eastAsia="Times New Roman" w:hAnsi="Times New Roman" w:cs="Times New Roman"/>
          <w:i/>
          <w:iCs/>
          <w:kern w:val="0"/>
          <w:sz w:val="24"/>
          <w:szCs w:val="24"/>
          <w:lang w:eastAsia="en-GB"/>
          <w14:ligatures w14:val="none"/>
        </w:rPr>
        <w:t>A pedagogy of place : Outdoor education for a changing world</w:t>
      </w:r>
      <w:r w:rsidRPr="00051072">
        <w:rPr>
          <w:rFonts w:ascii="Times New Roman" w:eastAsia="Times New Roman" w:hAnsi="Times New Roman" w:cs="Times New Roman"/>
          <w:kern w:val="0"/>
          <w:sz w:val="24"/>
          <w:szCs w:val="24"/>
          <w:lang w:eastAsia="en-GB"/>
          <w14:ligatures w14:val="none"/>
        </w:rPr>
        <w:t>. Clayton, Vic.: Monash University Publishing.</w:t>
      </w:r>
    </w:p>
    <w:p w14:paraId="1A9332BC" w14:textId="77777777" w:rsidR="00051072" w:rsidRPr="001A13DA" w:rsidRDefault="00051072" w:rsidP="00F06EDD">
      <w:pPr>
        <w:rPr>
          <w:rFonts w:ascii="Times New Roman" w:hAnsi="Times New Roman" w:cs="Times New Roman"/>
          <w:sz w:val="24"/>
          <w:szCs w:val="24"/>
        </w:rPr>
      </w:pPr>
    </w:p>
    <w:sectPr w:rsidR="00051072" w:rsidRPr="001A13D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B4C68" w14:textId="77777777" w:rsidR="00314256" w:rsidRDefault="00314256" w:rsidP="004D7D76">
      <w:pPr>
        <w:spacing w:after="0" w:line="240" w:lineRule="auto"/>
      </w:pPr>
      <w:r>
        <w:separator/>
      </w:r>
    </w:p>
  </w:endnote>
  <w:endnote w:type="continuationSeparator" w:id="0">
    <w:p w14:paraId="21AAF63A" w14:textId="77777777" w:rsidR="00314256" w:rsidRDefault="00314256" w:rsidP="004D7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292050"/>
      <w:docPartObj>
        <w:docPartGallery w:val="Page Numbers (Bottom of Page)"/>
        <w:docPartUnique/>
      </w:docPartObj>
    </w:sdtPr>
    <w:sdtEndPr>
      <w:rPr>
        <w:noProof/>
      </w:rPr>
    </w:sdtEndPr>
    <w:sdtContent>
      <w:p w14:paraId="1642A2F3" w14:textId="50294510" w:rsidR="00C30167" w:rsidRDefault="00C30167">
        <w:pPr>
          <w:pStyle w:val="Footer"/>
        </w:pPr>
        <w:r>
          <w:fldChar w:fldCharType="begin"/>
        </w:r>
        <w:r>
          <w:instrText xml:space="preserve"> PAGE   \* MERGEFORMAT </w:instrText>
        </w:r>
        <w:r>
          <w:fldChar w:fldCharType="separate"/>
        </w:r>
        <w:r>
          <w:rPr>
            <w:noProof/>
          </w:rPr>
          <w:t>2</w:t>
        </w:r>
        <w:r>
          <w:rPr>
            <w:noProof/>
          </w:rPr>
          <w:fldChar w:fldCharType="end"/>
        </w:r>
      </w:p>
    </w:sdtContent>
  </w:sdt>
  <w:p w14:paraId="39333280" w14:textId="77777777" w:rsidR="004D7D76" w:rsidRDefault="004D7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688EE" w14:textId="77777777" w:rsidR="00314256" w:rsidRDefault="00314256" w:rsidP="004D7D76">
      <w:pPr>
        <w:spacing w:after="0" w:line="240" w:lineRule="auto"/>
      </w:pPr>
      <w:r>
        <w:separator/>
      </w:r>
    </w:p>
  </w:footnote>
  <w:footnote w:type="continuationSeparator" w:id="0">
    <w:p w14:paraId="16E0CF0E" w14:textId="77777777" w:rsidR="00314256" w:rsidRDefault="00314256" w:rsidP="004D7D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DB8B7" w14:textId="056DC00B" w:rsidR="004D7D76" w:rsidRDefault="004D7D76">
    <w:pPr>
      <w:pStyle w:val="Header"/>
    </w:pPr>
    <w:r>
      <w:t>BMOE</w:t>
    </w:r>
    <w:r w:rsidR="00C30167">
      <w:t>5006</w:t>
    </w:r>
    <w:r w:rsidR="00C30167">
      <w:tab/>
    </w:r>
    <w:r w:rsidR="00C30167">
      <w:tab/>
      <w:t>2306032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E2452"/>
    <w:rsid w:val="000074B5"/>
    <w:rsid w:val="000169D2"/>
    <w:rsid w:val="0002130E"/>
    <w:rsid w:val="00024975"/>
    <w:rsid w:val="0002549C"/>
    <w:rsid w:val="00035A5E"/>
    <w:rsid w:val="000408B1"/>
    <w:rsid w:val="00041CC7"/>
    <w:rsid w:val="00044CB6"/>
    <w:rsid w:val="00051072"/>
    <w:rsid w:val="00054208"/>
    <w:rsid w:val="00061B3C"/>
    <w:rsid w:val="00061FA7"/>
    <w:rsid w:val="000653AC"/>
    <w:rsid w:val="00076DA0"/>
    <w:rsid w:val="00090930"/>
    <w:rsid w:val="000A0485"/>
    <w:rsid w:val="000A0CA6"/>
    <w:rsid w:val="000A41D5"/>
    <w:rsid w:val="000B35DA"/>
    <w:rsid w:val="000B717E"/>
    <w:rsid w:val="000C09C8"/>
    <w:rsid w:val="000E0A35"/>
    <w:rsid w:val="000E3E12"/>
    <w:rsid w:val="000E48F6"/>
    <w:rsid w:val="000F4377"/>
    <w:rsid w:val="000F6CCE"/>
    <w:rsid w:val="00102B43"/>
    <w:rsid w:val="00115BF4"/>
    <w:rsid w:val="00142D4A"/>
    <w:rsid w:val="0014672E"/>
    <w:rsid w:val="0016131A"/>
    <w:rsid w:val="001632F3"/>
    <w:rsid w:val="00165A70"/>
    <w:rsid w:val="00166929"/>
    <w:rsid w:val="00171334"/>
    <w:rsid w:val="00175B4E"/>
    <w:rsid w:val="00181E37"/>
    <w:rsid w:val="00190A98"/>
    <w:rsid w:val="00192009"/>
    <w:rsid w:val="00194DF9"/>
    <w:rsid w:val="00195191"/>
    <w:rsid w:val="0019697D"/>
    <w:rsid w:val="001A13DA"/>
    <w:rsid w:val="001A4FF4"/>
    <w:rsid w:val="001B6774"/>
    <w:rsid w:val="001C1B88"/>
    <w:rsid w:val="001C6BFE"/>
    <w:rsid w:val="001D0979"/>
    <w:rsid w:val="001D299C"/>
    <w:rsid w:val="001D7990"/>
    <w:rsid w:val="001E56BD"/>
    <w:rsid w:val="001F005E"/>
    <w:rsid w:val="001F2387"/>
    <w:rsid w:val="001F52DD"/>
    <w:rsid w:val="001F6175"/>
    <w:rsid w:val="001F7714"/>
    <w:rsid w:val="002014BC"/>
    <w:rsid w:val="00215C87"/>
    <w:rsid w:val="0024314D"/>
    <w:rsid w:val="0024440F"/>
    <w:rsid w:val="00256130"/>
    <w:rsid w:val="00257B9A"/>
    <w:rsid w:val="00257FEA"/>
    <w:rsid w:val="002636B2"/>
    <w:rsid w:val="00272660"/>
    <w:rsid w:val="0028045A"/>
    <w:rsid w:val="0028433A"/>
    <w:rsid w:val="00293CE6"/>
    <w:rsid w:val="00293E5D"/>
    <w:rsid w:val="00295F42"/>
    <w:rsid w:val="002A387E"/>
    <w:rsid w:val="002B035A"/>
    <w:rsid w:val="002B27E4"/>
    <w:rsid w:val="002B2C07"/>
    <w:rsid w:val="002B4143"/>
    <w:rsid w:val="002C1AD1"/>
    <w:rsid w:val="002C22AA"/>
    <w:rsid w:val="002C2DDB"/>
    <w:rsid w:val="002C3765"/>
    <w:rsid w:val="002D1D6F"/>
    <w:rsid w:val="002D3DE8"/>
    <w:rsid w:val="002F14B5"/>
    <w:rsid w:val="00303764"/>
    <w:rsid w:val="0031411B"/>
    <w:rsid w:val="00314256"/>
    <w:rsid w:val="003165E4"/>
    <w:rsid w:val="00317CC1"/>
    <w:rsid w:val="00317E59"/>
    <w:rsid w:val="00326D5B"/>
    <w:rsid w:val="003351C1"/>
    <w:rsid w:val="00345CDC"/>
    <w:rsid w:val="00347C08"/>
    <w:rsid w:val="003567FB"/>
    <w:rsid w:val="0035762C"/>
    <w:rsid w:val="00360696"/>
    <w:rsid w:val="00361CF3"/>
    <w:rsid w:val="0036506B"/>
    <w:rsid w:val="00365C86"/>
    <w:rsid w:val="00370AD0"/>
    <w:rsid w:val="003753D0"/>
    <w:rsid w:val="00394B0B"/>
    <w:rsid w:val="003A0E16"/>
    <w:rsid w:val="003A4F2E"/>
    <w:rsid w:val="003B08EE"/>
    <w:rsid w:val="003B1E17"/>
    <w:rsid w:val="003C0046"/>
    <w:rsid w:val="003C0192"/>
    <w:rsid w:val="003C0566"/>
    <w:rsid w:val="003C2869"/>
    <w:rsid w:val="003C7B06"/>
    <w:rsid w:val="003D2EE2"/>
    <w:rsid w:val="003D6CAF"/>
    <w:rsid w:val="00407713"/>
    <w:rsid w:val="00430BFE"/>
    <w:rsid w:val="004373A0"/>
    <w:rsid w:val="0044171E"/>
    <w:rsid w:val="00442CB5"/>
    <w:rsid w:val="004611F8"/>
    <w:rsid w:val="00463352"/>
    <w:rsid w:val="00466DC8"/>
    <w:rsid w:val="00480AF1"/>
    <w:rsid w:val="0048171A"/>
    <w:rsid w:val="00483A71"/>
    <w:rsid w:val="00484391"/>
    <w:rsid w:val="00484DCD"/>
    <w:rsid w:val="004962DF"/>
    <w:rsid w:val="004A47D5"/>
    <w:rsid w:val="004A50F0"/>
    <w:rsid w:val="004A6BE6"/>
    <w:rsid w:val="004B28E6"/>
    <w:rsid w:val="004B7D6A"/>
    <w:rsid w:val="004C5367"/>
    <w:rsid w:val="004C6761"/>
    <w:rsid w:val="004D7D76"/>
    <w:rsid w:val="004E7C60"/>
    <w:rsid w:val="004F4E52"/>
    <w:rsid w:val="00506692"/>
    <w:rsid w:val="00525758"/>
    <w:rsid w:val="005316BD"/>
    <w:rsid w:val="005329B5"/>
    <w:rsid w:val="005625A4"/>
    <w:rsid w:val="00567E79"/>
    <w:rsid w:val="00577898"/>
    <w:rsid w:val="005852A5"/>
    <w:rsid w:val="00585861"/>
    <w:rsid w:val="005A0B01"/>
    <w:rsid w:val="005A2144"/>
    <w:rsid w:val="005A60FA"/>
    <w:rsid w:val="005B2FCC"/>
    <w:rsid w:val="005B5275"/>
    <w:rsid w:val="005C1A97"/>
    <w:rsid w:val="005C7B73"/>
    <w:rsid w:val="005D6BB5"/>
    <w:rsid w:val="005E3B66"/>
    <w:rsid w:val="005F698F"/>
    <w:rsid w:val="00603642"/>
    <w:rsid w:val="00615C62"/>
    <w:rsid w:val="00623A6E"/>
    <w:rsid w:val="00625D32"/>
    <w:rsid w:val="00631E95"/>
    <w:rsid w:val="006337E4"/>
    <w:rsid w:val="006361EA"/>
    <w:rsid w:val="0064257B"/>
    <w:rsid w:val="00644ED9"/>
    <w:rsid w:val="0065174E"/>
    <w:rsid w:val="00655DC3"/>
    <w:rsid w:val="00661A88"/>
    <w:rsid w:val="0067407C"/>
    <w:rsid w:val="0068093C"/>
    <w:rsid w:val="00683041"/>
    <w:rsid w:val="00696C9D"/>
    <w:rsid w:val="006A2D19"/>
    <w:rsid w:val="006A2F62"/>
    <w:rsid w:val="006A7F66"/>
    <w:rsid w:val="006B58AE"/>
    <w:rsid w:val="006B7345"/>
    <w:rsid w:val="006C0B0C"/>
    <w:rsid w:val="006C6265"/>
    <w:rsid w:val="006C7F5C"/>
    <w:rsid w:val="006D0A8A"/>
    <w:rsid w:val="006D138A"/>
    <w:rsid w:val="006D3411"/>
    <w:rsid w:val="006D346F"/>
    <w:rsid w:val="006E1A67"/>
    <w:rsid w:val="006F3AEA"/>
    <w:rsid w:val="00700A17"/>
    <w:rsid w:val="007024B4"/>
    <w:rsid w:val="00703544"/>
    <w:rsid w:val="0070754D"/>
    <w:rsid w:val="00711E3C"/>
    <w:rsid w:val="00716C1A"/>
    <w:rsid w:val="007268CC"/>
    <w:rsid w:val="00742599"/>
    <w:rsid w:val="007519AD"/>
    <w:rsid w:val="00751A7C"/>
    <w:rsid w:val="0075662F"/>
    <w:rsid w:val="00757F5C"/>
    <w:rsid w:val="00760204"/>
    <w:rsid w:val="00766E21"/>
    <w:rsid w:val="0077211E"/>
    <w:rsid w:val="00786F9F"/>
    <w:rsid w:val="00791775"/>
    <w:rsid w:val="007933E8"/>
    <w:rsid w:val="007A20F1"/>
    <w:rsid w:val="007A74CF"/>
    <w:rsid w:val="007B734C"/>
    <w:rsid w:val="007C7635"/>
    <w:rsid w:val="007D46EE"/>
    <w:rsid w:val="007E0C86"/>
    <w:rsid w:val="007F54EA"/>
    <w:rsid w:val="0080239A"/>
    <w:rsid w:val="00812E84"/>
    <w:rsid w:val="0082093C"/>
    <w:rsid w:val="00837CF6"/>
    <w:rsid w:val="008403B3"/>
    <w:rsid w:val="0084355F"/>
    <w:rsid w:val="00854718"/>
    <w:rsid w:val="00862527"/>
    <w:rsid w:val="008713F5"/>
    <w:rsid w:val="00885006"/>
    <w:rsid w:val="0088792B"/>
    <w:rsid w:val="008974F1"/>
    <w:rsid w:val="008A2AE3"/>
    <w:rsid w:val="008A52F4"/>
    <w:rsid w:val="008A7633"/>
    <w:rsid w:val="008E3409"/>
    <w:rsid w:val="008E541F"/>
    <w:rsid w:val="008F4AEE"/>
    <w:rsid w:val="008F4ECD"/>
    <w:rsid w:val="008F624D"/>
    <w:rsid w:val="008F6BE5"/>
    <w:rsid w:val="0090105A"/>
    <w:rsid w:val="00901464"/>
    <w:rsid w:val="00904108"/>
    <w:rsid w:val="00920568"/>
    <w:rsid w:val="00920FBE"/>
    <w:rsid w:val="00924D49"/>
    <w:rsid w:val="00925D90"/>
    <w:rsid w:val="00940A46"/>
    <w:rsid w:val="00944C72"/>
    <w:rsid w:val="00946368"/>
    <w:rsid w:val="009562C0"/>
    <w:rsid w:val="0096479D"/>
    <w:rsid w:val="0097539A"/>
    <w:rsid w:val="0097550B"/>
    <w:rsid w:val="00980965"/>
    <w:rsid w:val="00983B90"/>
    <w:rsid w:val="0098485E"/>
    <w:rsid w:val="00985997"/>
    <w:rsid w:val="009A09B4"/>
    <w:rsid w:val="009A1C05"/>
    <w:rsid w:val="009A2262"/>
    <w:rsid w:val="009A7F55"/>
    <w:rsid w:val="009B6BA1"/>
    <w:rsid w:val="009C30BB"/>
    <w:rsid w:val="009C38EB"/>
    <w:rsid w:val="009C4364"/>
    <w:rsid w:val="009C74B3"/>
    <w:rsid w:val="009D0A7F"/>
    <w:rsid w:val="009D24D4"/>
    <w:rsid w:val="009D65CD"/>
    <w:rsid w:val="009F1CD5"/>
    <w:rsid w:val="00A13A83"/>
    <w:rsid w:val="00A1797F"/>
    <w:rsid w:val="00A278D7"/>
    <w:rsid w:val="00A4231A"/>
    <w:rsid w:val="00A43045"/>
    <w:rsid w:val="00A44143"/>
    <w:rsid w:val="00A50E28"/>
    <w:rsid w:val="00A62B12"/>
    <w:rsid w:val="00A62C80"/>
    <w:rsid w:val="00A737A8"/>
    <w:rsid w:val="00A77CBA"/>
    <w:rsid w:val="00A77E5B"/>
    <w:rsid w:val="00A80EBE"/>
    <w:rsid w:val="00A837E7"/>
    <w:rsid w:val="00A85810"/>
    <w:rsid w:val="00A90B94"/>
    <w:rsid w:val="00A973F7"/>
    <w:rsid w:val="00AA4F90"/>
    <w:rsid w:val="00AA7CA8"/>
    <w:rsid w:val="00AB0EA8"/>
    <w:rsid w:val="00AB1C28"/>
    <w:rsid w:val="00AD0730"/>
    <w:rsid w:val="00AD11ED"/>
    <w:rsid w:val="00AD1CC7"/>
    <w:rsid w:val="00AD6AAC"/>
    <w:rsid w:val="00AE2452"/>
    <w:rsid w:val="00AE6300"/>
    <w:rsid w:val="00AF0DD6"/>
    <w:rsid w:val="00B04060"/>
    <w:rsid w:val="00B05882"/>
    <w:rsid w:val="00B06888"/>
    <w:rsid w:val="00B07F2D"/>
    <w:rsid w:val="00B13086"/>
    <w:rsid w:val="00B233EF"/>
    <w:rsid w:val="00B26652"/>
    <w:rsid w:val="00B35984"/>
    <w:rsid w:val="00B36904"/>
    <w:rsid w:val="00B425C0"/>
    <w:rsid w:val="00B504C8"/>
    <w:rsid w:val="00B54218"/>
    <w:rsid w:val="00B55D00"/>
    <w:rsid w:val="00B66200"/>
    <w:rsid w:val="00B73FD9"/>
    <w:rsid w:val="00B76CB8"/>
    <w:rsid w:val="00B8630F"/>
    <w:rsid w:val="00B940C4"/>
    <w:rsid w:val="00B96CA1"/>
    <w:rsid w:val="00BA478E"/>
    <w:rsid w:val="00BB13DC"/>
    <w:rsid w:val="00BB2ECF"/>
    <w:rsid w:val="00BE0B07"/>
    <w:rsid w:val="00BE158A"/>
    <w:rsid w:val="00BE3AD3"/>
    <w:rsid w:val="00BE6D2B"/>
    <w:rsid w:val="00BF565B"/>
    <w:rsid w:val="00C0064E"/>
    <w:rsid w:val="00C01124"/>
    <w:rsid w:val="00C071F4"/>
    <w:rsid w:val="00C17957"/>
    <w:rsid w:val="00C21017"/>
    <w:rsid w:val="00C30167"/>
    <w:rsid w:val="00C30DB2"/>
    <w:rsid w:val="00C350AD"/>
    <w:rsid w:val="00C44042"/>
    <w:rsid w:val="00C539A6"/>
    <w:rsid w:val="00C55FE1"/>
    <w:rsid w:val="00C562D5"/>
    <w:rsid w:val="00C5704E"/>
    <w:rsid w:val="00C61495"/>
    <w:rsid w:val="00C6437C"/>
    <w:rsid w:val="00C66897"/>
    <w:rsid w:val="00C742FD"/>
    <w:rsid w:val="00C803DB"/>
    <w:rsid w:val="00C8453B"/>
    <w:rsid w:val="00C865BC"/>
    <w:rsid w:val="00C90479"/>
    <w:rsid w:val="00C90530"/>
    <w:rsid w:val="00CA3737"/>
    <w:rsid w:val="00CB085F"/>
    <w:rsid w:val="00CB42D9"/>
    <w:rsid w:val="00CB42DE"/>
    <w:rsid w:val="00CC08B0"/>
    <w:rsid w:val="00CC1A06"/>
    <w:rsid w:val="00CC35F7"/>
    <w:rsid w:val="00CC413B"/>
    <w:rsid w:val="00CC6270"/>
    <w:rsid w:val="00CC6712"/>
    <w:rsid w:val="00CE0451"/>
    <w:rsid w:val="00CE2E0F"/>
    <w:rsid w:val="00CF22AF"/>
    <w:rsid w:val="00CF5E57"/>
    <w:rsid w:val="00D021E6"/>
    <w:rsid w:val="00D03821"/>
    <w:rsid w:val="00D04886"/>
    <w:rsid w:val="00D17C66"/>
    <w:rsid w:val="00D2068B"/>
    <w:rsid w:val="00D263D3"/>
    <w:rsid w:val="00D31D0D"/>
    <w:rsid w:val="00D3483F"/>
    <w:rsid w:val="00D3675A"/>
    <w:rsid w:val="00D40367"/>
    <w:rsid w:val="00D431B7"/>
    <w:rsid w:val="00D46801"/>
    <w:rsid w:val="00D61720"/>
    <w:rsid w:val="00D814C3"/>
    <w:rsid w:val="00D83082"/>
    <w:rsid w:val="00D84E58"/>
    <w:rsid w:val="00D879E3"/>
    <w:rsid w:val="00D94240"/>
    <w:rsid w:val="00D945AC"/>
    <w:rsid w:val="00D974DB"/>
    <w:rsid w:val="00DA6C4F"/>
    <w:rsid w:val="00DB7222"/>
    <w:rsid w:val="00DB741A"/>
    <w:rsid w:val="00DC278D"/>
    <w:rsid w:val="00DC2E65"/>
    <w:rsid w:val="00DD51C2"/>
    <w:rsid w:val="00DD57B9"/>
    <w:rsid w:val="00DF05EB"/>
    <w:rsid w:val="00DF0994"/>
    <w:rsid w:val="00DF0E7C"/>
    <w:rsid w:val="00E07496"/>
    <w:rsid w:val="00E07C5B"/>
    <w:rsid w:val="00E10751"/>
    <w:rsid w:val="00E115C9"/>
    <w:rsid w:val="00E171CF"/>
    <w:rsid w:val="00E23450"/>
    <w:rsid w:val="00E253D1"/>
    <w:rsid w:val="00E25883"/>
    <w:rsid w:val="00E300B5"/>
    <w:rsid w:val="00E3174F"/>
    <w:rsid w:val="00E44084"/>
    <w:rsid w:val="00E446D6"/>
    <w:rsid w:val="00E53991"/>
    <w:rsid w:val="00E5419F"/>
    <w:rsid w:val="00E65AC8"/>
    <w:rsid w:val="00E6600D"/>
    <w:rsid w:val="00E75FF9"/>
    <w:rsid w:val="00E83ADE"/>
    <w:rsid w:val="00E97430"/>
    <w:rsid w:val="00EA3524"/>
    <w:rsid w:val="00ED05B7"/>
    <w:rsid w:val="00ED2BFC"/>
    <w:rsid w:val="00ED598E"/>
    <w:rsid w:val="00EF0958"/>
    <w:rsid w:val="00EF3EC1"/>
    <w:rsid w:val="00EF4312"/>
    <w:rsid w:val="00EF44F1"/>
    <w:rsid w:val="00F06B2E"/>
    <w:rsid w:val="00F06EDD"/>
    <w:rsid w:val="00F072CF"/>
    <w:rsid w:val="00F16D36"/>
    <w:rsid w:val="00F16E45"/>
    <w:rsid w:val="00F20561"/>
    <w:rsid w:val="00F20857"/>
    <w:rsid w:val="00F217EB"/>
    <w:rsid w:val="00F24015"/>
    <w:rsid w:val="00F31C3F"/>
    <w:rsid w:val="00F36EE6"/>
    <w:rsid w:val="00F4691C"/>
    <w:rsid w:val="00F6526A"/>
    <w:rsid w:val="00F83E08"/>
    <w:rsid w:val="00F84CF4"/>
    <w:rsid w:val="00F85B13"/>
    <w:rsid w:val="00F867E3"/>
    <w:rsid w:val="00F87186"/>
    <w:rsid w:val="00F91C8E"/>
    <w:rsid w:val="00F9497F"/>
    <w:rsid w:val="00F959BD"/>
    <w:rsid w:val="00FA6911"/>
    <w:rsid w:val="00FB1928"/>
    <w:rsid w:val="00FB46D2"/>
    <w:rsid w:val="00FC0C72"/>
    <w:rsid w:val="00FF18F4"/>
    <w:rsid w:val="00FF3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752B6"/>
  <w15:chartTrackingRefBased/>
  <w15:docId w15:val="{69E69E0C-52F1-41D9-9FB4-85C193B1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4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24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24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24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24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24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24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24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24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4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24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24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24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24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24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24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24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2452"/>
    <w:rPr>
      <w:rFonts w:eastAsiaTheme="majorEastAsia" w:cstheme="majorBidi"/>
      <w:color w:val="272727" w:themeColor="text1" w:themeTint="D8"/>
    </w:rPr>
  </w:style>
  <w:style w:type="paragraph" w:styleId="Title">
    <w:name w:val="Title"/>
    <w:basedOn w:val="Normal"/>
    <w:next w:val="Normal"/>
    <w:link w:val="TitleChar"/>
    <w:uiPriority w:val="10"/>
    <w:qFormat/>
    <w:rsid w:val="00AE24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4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24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24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452"/>
    <w:pPr>
      <w:spacing w:before="160"/>
      <w:jc w:val="center"/>
    </w:pPr>
    <w:rPr>
      <w:i/>
      <w:iCs/>
      <w:color w:val="404040" w:themeColor="text1" w:themeTint="BF"/>
    </w:rPr>
  </w:style>
  <w:style w:type="character" w:customStyle="1" w:styleId="QuoteChar">
    <w:name w:val="Quote Char"/>
    <w:basedOn w:val="DefaultParagraphFont"/>
    <w:link w:val="Quote"/>
    <w:uiPriority w:val="29"/>
    <w:rsid w:val="00AE2452"/>
    <w:rPr>
      <w:i/>
      <w:iCs/>
      <w:color w:val="404040" w:themeColor="text1" w:themeTint="BF"/>
    </w:rPr>
  </w:style>
  <w:style w:type="paragraph" w:styleId="ListParagraph">
    <w:name w:val="List Paragraph"/>
    <w:basedOn w:val="Normal"/>
    <w:uiPriority w:val="34"/>
    <w:qFormat/>
    <w:rsid w:val="00AE2452"/>
    <w:pPr>
      <w:ind w:left="720"/>
      <w:contextualSpacing/>
    </w:pPr>
  </w:style>
  <w:style w:type="character" w:styleId="IntenseEmphasis">
    <w:name w:val="Intense Emphasis"/>
    <w:basedOn w:val="DefaultParagraphFont"/>
    <w:uiPriority w:val="21"/>
    <w:qFormat/>
    <w:rsid w:val="00AE2452"/>
    <w:rPr>
      <w:i/>
      <w:iCs/>
      <w:color w:val="0F4761" w:themeColor="accent1" w:themeShade="BF"/>
    </w:rPr>
  </w:style>
  <w:style w:type="paragraph" w:styleId="IntenseQuote">
    <w:name w:val="Intense Quote"/>
    <w:basedOn w:val="Normal"/>
    <w:next w:val="Normal"/>
    <w:link w:val="IntenseQuoteChar"/>
    <w:uiPriority w:val="30"/>
    <w:qFormat/>
    <w:rsid w:val="00AE24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2452"/>
    <w:rPr>
      <w:i/>
      <w:iCs/>
      <w:color w:val="0F4761" w:themeColor="accent1" w:themeShade="BF"/>
    </w:rPr>
  </w:style>
  <w:style w:type="character" w:styleId="IntenseReference">
    <w:name w:val="Intense Reference"/>
    <w:basedOn w:val="DefaultParagraphFont"/>
    <w:uiPriority w:val="32"/>
    <w:qFormat/>
    <w:rsid w:val="00AE2452"/>
    <w:rPr>
      <w:b/>
      <w:bCs/>
      <w:smallCaps/>
      <w:color w:val="0F4761" w:themeColor="accent1" w:themeShade="BF"/>
      <w:spacing w:val="5"/>
    </w:rPr>
  </w:style>
  <w:style w:type="paragraph" w:styleId="Header">
    <w:name w:val="header"/>
    <w:basedOn w:val="Normal"/>
    <w:link w:val="HeaderChar"/>
    <w:uiPriority w:val="99"/>
    <w:unhideWhenUsed/>
    <w:rsid w:val="004D7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D76"/>
  </w:style>
  <w:style w:type="paragraph" w:styleId="Footer">
    <w:name w:val="footer"/>
    <w:basedOn w:val="Normal"/>
    <w:link w:val="FooterChar"/>
    <w:uiPriority w:val="99"/>
    <w:unhideWhenUsed/>
    <w:rsid w:val="004D7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588768">
      <w:bodyDiv w:val="1"/>
      <w:marLeft w:val="0"/>
      <w:marRight w:val="0"/>
      <w:marTop w:val="0"/>
      <w:marBottom w:val="0"/>
      <w:divBdr>
        <w:top w:val="none" w:sz="0" w:space="0" w:color="auto"/>
        <w:left w:val="none" w:sz="0" w:space="0" w:color="auto"/>
        <w:bottom w:val="none" w:sz="0" w:space="0" w:color="auto"/>
        <w:right w:val="none" w:sz="0" w:space="0" w:color="auto"/>
      </w:divBdr>
    </w:div>
    <w:div w:id="1029646746">
      <w:bodyDiv w:val="1"/>
      <w:marLeft w:val="0"/>
      <w:marRight w:val="0"/>
      <w:marTop w:val="0"/>
      <w:marBottom w:val="0"/>
      <w:divBdr>
        <w:top w:val="none" w:sz="0" w:space="0" w:color="auto"/>
        <w:left w:val="none" w:sz="0" w:space="0" w:color="auto"/>
        <w:bottom w:val="none" w:sz="0" w:space="0" w:color="auto"/>
        <w:right w:val="none" w:sz="0" w:space="0" w:color="auto"/>
      </w:divBdr>
    </w:div>
    <w:div w:id="1430388940">
      <w:bodyDiv w:val="1"/>
      <w:marLeft w:val="0"/>
      <w:marRight w:val="0"/>
      <w:marTop w:val="0"/>
      <w:marBottom w:val="0"/>
      <w:divBdr>
        <w:top w:val="none" w:sz="0" w:space="0" w:color="auto"/>
        <w:left w:val="none" w:sz="0" w:space="0" w:color="auto"/>
        <w:bottom w:val="none" w:sz="0" w:space="0" w:color="auto"/>
        <w:right w:val="none" w:sz="0" w:space="0" w:color="auto"/>
      </w:divBdr>
      <w:divsChild>
        <w:div w:id="132694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954</TotalTime>
  <Pages>6</Pages>
  <Words>1881</Words>
  <Characters>10728</Characters>
  <Application>Microsoft Office Word</Application>
  <DocSecurity>0</DocSecurity>
  <Lines>89</Lines>
  <Paragraphs>25</Paragraphs>
  <ScaleCrop>false</ScaleCrop>
  <Company/>
  <LinksUpToDate>false</LinksUpToDate>
  <CharactersWithSpaces>12584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Penton-Voak</dc:creator>
  <cp:keywords/>
  <dc:description/>
  <cp:lastModifiedBy>Owen Penton-Voak</cp:lastModifiedBy>
  <cp:revision>432</cp:revision>
  <dcterms:created xsi:type="dcterms:W3CDTF">2025-04-05T10:07:00Z</dcterms:created>
  <dcterms:modified xsi:type="dcterms:W3CDTF">2025-04-07T04:41:00Z</dcterms:modified>
</cp:coreProperties>
</file>