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mbria" w:cs="Cambria" w:eastAsia="Cambria" w:hAnsi="Cambria"/>
        </w:rPr>
      </w:pPr>
      <w:r w:rsidDel="00000000" w:rsidR="00000000" w:rsidRPr="00000000">
        <w:rPr>
          <w:rFonts w:ascii="Cambria" w:cs="Cambria" w:eastAsia="Cambria" w:hAnsi="Cambria"/>
          <w:b w:val="1"/>
          <w:bCs w:val="1"/>
          <w:rtl w:val="0"/>
        </w:rPr>
        <w:t xml:space="preserve">A Critical Comparison of two Secondary Sources</w:t>
      </w:r>
      <w:r w:rsidDel="00000000" w:rsidR="00000000" w:rsidRPr="00000000">
        <w:rPr>
          <w:rtl w:val="0"/>
        </w:rPr>
      </w:r>
    </w:p>
    <w:p w:rsidR="00000000" w:rsidDel="00000000" w:rsidP="00000000" w:rsidRDefault="00000000" w:rsidRPr="00000000" w14:paraId="00000002">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03">
      <w:pPr>
        <w:ind w:firstLine="283.46456692913387"/>
        <w:rPr>
          <w:rFonts w:ascii="Cambria" w:cs="Cambria" w:eastAsia="Cambria" w:hAnsi="Cambria"/>
        </w:rPr>
      </w:pPr>
      <w:r w:rsidDel="00000000" w:rsidR="00000000" w:rsidRPr="00000000">
        <w:rPr>
          <w:rFonts w:ascii="Cambria" w:cs="Cambria" w:eastAsia="Cambria" w:hAnsi="Cambria"/>
          <w:rtl w:val="0"/>
        </w:rPr>
        <w:t xml:space="preserve">Survey the circling stars as though you yourself were in mid-course with them…Visions of </w:t>
      </w:r>
    </w:p>
    <w:p w:rsidR="00000000" w:rsidDel="00000000" w:rsidP="00000000" w:rsidRDefault="00000000" w:rsidRPr="00000000" w14:paraId="00000004">
      <w:pPr>
        <w:ind w:firstLine="283.46456692913387"/>
        <w:rPr>
          <w:rFonts w:ascii="Cambria" w:cs="Cambria" w:eastAsia="Cambria" w:hAnsi="Cambria"/>
        </w:rPr>
      </w:pPr>
      <w:r w:rsidDel="00000000" w:rsidR="00000000" w:rsidRPr="00000000">
        <w:rPr>
          <w:rFonts w:ascii="Cambria" w:cs="Cambria" w:eastAsia="Cambria" w:hAnsi="Cambria"/>
          <w:rtl w:val="0"/>
        </w:rPr>
        <w:t xml:space="preserve">this kind purge away the dross of our Earth-bound life.</w:t>
      </w:r>
      <w:r w:rsidDel="00000000" w:rsidR="00000000" w:rsidRPr="00000000">
        <w:rPr>
          <w:rFonts w:ascii="Cambria" w:cs="Cambria" w:eastAsia="Cambria" w:hAnsi="Cambria"/>
          <w:vertAlign w:val="superscript"/>
        </w:rPr>
        <w:footnoteReference w:customMarkFollows="0" w:id="0"/>
      </w:r>
      <w:r w:rsidDel="00000000" w:rsidR="00000000" w:rsidRPr="00000000">
        <w:rPr>
          <w:rtl w:val="0"/>
        </w:rPr>
      </w:r>
    </w:p>
    <w:p w:rsidR="00000000" w:rsidDel="00000000" w:rsidP="00000000" w:rsidRDefault="00000000" w:rsidRPr="00000000" w14:paraId="00000005">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06">
      <w:pPr>
        <w:ind w:firstLine="283.46456692913387"/>
        <w:rPr>
          <w:rFonts w:ascii="Cambria" w:cs="Cambria" w:eastAsia="Cambria" w:hAnsi="Cambria"/>
        </w:rPr>
      </w:pPr>
      <w:r w:rsidDel="00000000" w:rsidR="00000000" w:rsidRPr="00000000">
        <w:rPr>
          <w:rFonts w:ascii="Cambria" w:cs="Cambria" w:eastAsia="Cambria" w:hAnsi="Cambria"/>
          <w:rtl w:val="0"/>
        </w:rPr>
        <w:t xml:space="preserve">This paper serves to comment on two transpersonal research studies; namely, Jenny Blain,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i w:val="1"/>
          <w:iCs w:val="1"/>
          <w:rtl w:val="0"/>
        </w:rPr>
        <w:t xml:space="preserve">DISKUS</w:t>
      </w:r>
      <w:r w:rsidDel="00000000" w:rsidR="00000000" w:rsidRPr="00000000">
        <w:rPr>
          <w:rFonts w:ascii="Cambria" w:cs="Cambria" w:eastAsia="Cambria" w:hAnsi="Cambria"/>
          <w:rtl w:val="0"/>
        </w:rPr>
        <w:t xml:space="preserve">, vol. 6 (2000), and Gillian Bennett, “‘If I Knew You Were Coming I’d Have Baked a Cake’: The Folklore of Foreknowledge in a Neighborhood Group,” in Barbara Walker (ed.), </w:t>
      </w:r>
      <w:r w:rsidDel="00000000" w:rsidR="00000000" w:rsidRPr="00000000">
        <w:rPr>
          <w:rFonts w:ascii="Cambria" w:cs="Cambria" w:eastAsia="Cambria" w:hAnsi="Cambria"/>
          <w:i w:val="1"/>
          <w:iCs w:val="1"/>
          <w:rtl w:val="0"/>
        </w:rPr>
        <w:t xml:space="preserve">Out of the Ordinary: Folklore and the Supernatural</w:t>
      </w:r>
      <w:r w:rsidDel="00000000" w:rsidR="00000000" w:rsidRPr="00000000">
        <w:rPr>
          <w:rFonts w:ascii="Cambria" w:cs="Cambria" w:eastAsia="Cambria" w:hAnsi="Cambria"/>
          <w:rtl w:val="0"/>
        </w:rPr>
        <w:t xml:space="preserve"> (Logan, Utah: Utah State University Press, 1995), pp. 122–42. Specifically, methodological choices are compared, attending to psychological and ecological factors that may be at play during the investigative processes. </w:t>
      </w:r>
    </w:p>
    <w:p w:rsidR="00000000" w:rsidDel="00000000" w:rsidP="00000000" w:rsidRDefault="00000000" w:rsidRPr="00000000" w14:paraId="00000007">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08">
      <w:pPr>
        <w:ind w:firstLine="283.46456692913387"/>
        <w:rPr>
          <w:rFonts w:ascii="Cambria" w:cs="Cambria" w:eastAsia="Cambria" w:hAnsi="Cambria"/>
          <w:b w:val="1"/>
          <w:bCs w:val="1"/>
        </w:rPr>
      </w:pPr>
      <w:r w:rsidDel="00000000" w:rsidR="00000000" w:rsidRPr="00000000">
        <w:rPr>
          <w:rFonts w:ascii="Cambria" w:cs="Cambria" w:eastAsia="Cambria" w:hAnsi="Cambria"/>
          <w:b w:val="1"/>
          <w:bCs w:val="1"/>
          <w:rtl w:val="0"/>
        </w:rPr>
        <w:t xml:space="preserve">Spontaneity as fuel for the investigative process</w:t>
      </w:r>
    </w:p>
    <w:p w:rsidR="00000000" w:rsidDel="00000000" w:rsidP="00000000" w:rsidRDefault="00000000" w:rsidRPr="00000000" w14:paraId="00000009">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0A">
      <w:pPr>
        <w:ind w:firstLine="283.46456692913387"/>
        <w:rPr>
          <w:rFonts w:ascii="Cambria" w:cs="Cambria" w:eastAsia="Cambria" w:hAnsi="Cambria"/>
        </w:rPr>
      </w:pP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serves to demonstrate one of the many methodological possibilities allowed by an anthropological researcher. Such demonstration is done through depicting the entire process experienced by the researcher engaging with participants of a seance series in North America. The seance is limited to a ritual type rooted in Icelandic Saga that has existed for a thousand years. </w:t>
      </w:r>
    </w:p>
    <w:p w:rsidR="00000000" w:rsidDel="00000000" w:rsidP="00000000" w:rsidRDefault="00000000" w:rsidRPr="00000000" w14:paraId="0000000B">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0C">
      <w:pPr>
        <w:ind w:firstLine="283.46456692913387"/>
        <w:rPr>
          <w:rFonts w:ascii="Cambria" w:cs="Cambria" w:eastAsia="Cambria" w:hAnsi="Cambria"/>
        </w:rPr>
      </w:pPr>
      <w:r w:rsidDel="00000000" w:rsidR="00000000" w:rsidRPr="00000000">
        <w:rPr>
          <w:rFonts w:ascii="Cambria" w:cs="Cambria" w:eastAsia="Cambria" w:hAnsi="Cambria"/>
          <w:rtl w:val="0"/>
        </w:rPr>
        <w:t xml:space="preserve">The researcher communicated with the seance participants through conducting interviews. Methodologically speaking, the study uses ethnographic extrapolation as self-guidance to formulate directed interview questions. The questions, while not mentioned in the paper, could have been designed based on the researcher’s intuitive decision-making. </w:t>
      </w:r>
    </w:p>
    <w:p w:rsidR="00000000" w:rsidDel="00000000" w:rsidP="00000000" w:rsidRDefault="00000000" w:rsidRPr="00000000" w14:paraId="0000000D">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0E">
      <w:pPr>
        <w:ind w:firstLine="283.46456692913387"/>
        <w:rPr>
          <w:rFonts w:ascii="Cambria" w:cs="Cambria" w:eastAsia="Cambria" w:hAnsi="Cambria"/>
        </w:rPr>
      </w:pPr>
      <w:r w:rsidDel="00000000" w:rsidR="00000000" w:rsidRPr="00000000">
        <w:rPr>
          <w:rFonts w:ascii="Cambria" w:cs="Cambria" w:eastAsia="Cambria" w:hAnsi="Cambria"/>
          <w:rtl w:val="0"/>
        </w:rPr>
        <w:t xml:space="preserve">Guided by the researcher’s own ethnographic experience, the questions may have influenced the openness of the interview itself. Such a phenomenon assisted the flow of the interview while keeping the participant engaged in the process. Methodologically biased research studies of this type extend conventional academic interviews, be it (semi-)structured or unstructured. </w:t>
      </w:r>
    </w:p>
    <w:p w:rsidR="00000000" w:rsidDel="00000000" w:rsidP="00000000" w:rsidRDefault="00000000" w:rsidRPr="00000000" w14:paraId="0000000F">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0">
      <w:pPr>
        <w:ind w:firstLine="283.46456692913387"/>
        <w:rPr>
          <w:rFonts w:ascii="Cambria" w:cs="Cambria" w:eastAsia="Cambria" w:hAnsi="Cambria"/>
        </w:rPr>
      </w:pPr>
      <w:r w:rsidDel="00000000" w:rsidR="00000000" w:rsidRPr="00000000">
        <w:rPr>
          <w:rFonts w:ascii="Cambria" w:cs="Cambria" w:eastAsia="Cambria" w:hAnsi="Cambria"/>
          <w:rtl w:val="0"/>
        </w:rPr>
        <w:t xml:space="preserve">The researcher understands the insider’s view and cosmology, guiding her interview questions spontaneously. Such spontaneity makes sense given the nature of the ethnographic experience. The research study thus validates itself by virtue of how the researcher makes the case at the beginning of the paper. Information gathered serves as scaffolded data collected via spontaneous decisions made by the ethnographer-interviewer. Research that is methodologically biased responds to the need for spontaneity-assisted queries. </w:t>
      </w:r>
    </w:p>
    <w:p w:rsidR="00000000" w:rsidDel="00000000" w:rsidP="00000000" w:rsidRDefault="00000000" w:rsidRPr="00000000" w14:paraId="00000011">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2">
      <w:pPr>
        <w:ind w:firstLine="283.46456692913387"/>
        <w:rPr>
          <w:rFonts w:ascii="Cambria" w:cs="Cambria" w:eastAsia="Cambria" w:hAnsi="Cambria"/>
        </w:rPr>
      </w:pPr>
      <w:r w:rsidDel="00000000" w:rsidR="00000000" w:rsidRPr="00000000">
        <w:rPr>
          <w:rFonts w:ascii="Cambria" w:cs="Cambria" w:eastAsia="Cambria" w:hAnsi="Cambria"/>
          <w:rtl w:val="0"/>
        </w:rPr>
        <w:t xml:space="preserve">On the other hand, the researcher, while guided by intuitive decision making, understands the rigor of academic research. Research methods such as interviewing participants may result in in-depth qualitative perceptual data. However, structured interviews risk the lack of spontaneity in the flow of the process, hindering the participants from channeling information through potential extrasensory perceptual processes. </w:t>
      </w:r>
    </w:p>
    <w:p w:rsidR="00000000" w:rsidDel="00000000" w:rsidP="00000000" w:rsidRDefault="00000000" w:rsidRPr="00000000" w14:paraId="00000013">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4">
      <w:pPr>
        <w:ind w:firstLine="283.46456692913387"/>
        <w:rPr>
          <w:rFonts w:ascii="Cambria" w:cs="Cambria" w:eastAsia="Cambria" w:hAnsi="Cambria"/>
        </w:rPr>
      </w:pPr>
      <w:r w:rsidDel="00000000" w:rsidR="00000000" w:rsidRPr="00000000">
        <w:rPr>
          <w:rFonts w:ascii="Cambria" w:cs="Cambria" w:eastAsia="Cambria" w:hAnsi="Cambria"/>
          <w:rtl w:val="0"/>
        </w:rPr>
        <w:t xml:space="preserve">Therefore,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points to a paradigm that conventional (semi-)structured interviews may not allow, to respond to new phenomena. These phenomena are intrinsically induced through the researcher and the participants’ extrasensory perceptual processes. These processes are authentic and debatable at the same time, yet they shall not be disregarded. Ethnographic research attempting to attend to these processes validates itself by allowing the researcher freedom in designing questions spontaneously throughout the interview. The unstructured nature of the interview, therefore, grounds the interview process for extrasensory perceptual processes to take place. </w:t>
      </w:r>
    </w:p>
    <w:p w:rsidR="00000000" w:rsidDel="00000000" w:rsidP="00000000" w:rsidRDefault="00000000" w:rsidRPr="00000000" w14:paraId="00000015">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6">
      <w:pPr>
        <w:ind w:firstLine="283.46456692913387"/>
        <w:rPr>
          <w:rFonts w:ascii="Cambria" w:cs="Cambria" w:eastAsia="Cambria" w:hAnsi="Cambria"/>
        </w:rPr>
      </w:pPr>
      <w:r w:rsidDel="00000000" w:rsidR="00000000" w:rsidRPr="00000000">
        <w:rPr>
          <w:rFonts w:ascii="Cambria" w:cs="Cambria" w:eastAsia="Cambria" w:hAnsi="Cambria"/>
          <w:rtl w:val="0"/>
        </w:rPr>
        <w:t xml:space="preserve">Methodological decision-making concerns mostly the outcome of the research. No studies home in on the method itself. While some studies focus on how different research methods triangulate into a specific investigation, other studies risk non-triangulated outcome and conclusion.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is one example of this kind. While the author researches on how seance participants experience and express Icelandic seidr rituals in North America, the study does not point to sufficient triangulated methods that would otherwise lend support to the findings.</w:t>
      </w:r>
    </w:p>
    <w:p w:rsidR="00000000" w:rsidDel="00000000" w:rsidP="00000000" w:rsidRDefault="00000000" w:rsidRPr="00000000" w14:paraId="00000017">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8">
      <w:pPr>
        <w:ind w:firstLine="283.46456692913387"/>
        <w:rPr>
          <w:rFonts w:ascii="Cambria" w:cs="Cambria" w:eastAsia="Cambria" w:hAnsi="Cambria"/>
        </w:rPr>
      </w:pPr>
      <w:r w:rsidDel="00000000" w:rsidR="00000000" w:rsidRPr="00000000">
        <w:rPr>
          <w:rFonts w:ascii="Cambria" w:cs="Cambria" w:eastAsia="Cambria" w:hAnsi="Cambria"/>
          <w:rtl w:val="0"/>
        </w:rPr>
        <w:t xml:space="preserve">Methodologically speaking, the study attempts to give accounts regarding interviews allegedly unstructured. It may benefit from a wider population and the use of questionnaires in collecting demographic data. </w:t>
      </w:r>
    </w:p>
    <w:p w:rsidR="00000000" w:rsidDel="00000000" w:rsidP="00000000" w:rsidRDefault="00000000" w:rsidRPr="00000000" w14:paraId="00000019">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A">
      <w:pPr>
        <w:ind w:firstLine="283.46456692913387"/>
        <w:rPr>
          <w:rFonts w:ascii="Cambria" w:cs="Cambria" w:eastAsia="Cambria" w:hAnsi="Cambria"/>
          <w:b w:val="1"/>
          <w:bCs w:val="1"/>
        </w:rPr>
      </w:pPr>
      <w:r w:rsidDel="00000000" w:rsidR="00000000" w:rsidRPr="00000000">
        <w:rPr>
          <w:rFonts w:ascii="Cambria" w:cs="Cambria" w:eastAsia="Cambria" w:hAnsi="Cambria"/>
          <w:b w:val="1"/>
          <w:bCs w:val="1"/>
          <w:rtl w:val="0"/>
        </w:rPr>
        <w:t xml:space="preserve">Triangulation</w:t>
      </w:r>
    </w:p>
    <w:p w:rsidR="00000000" w:rsidDel="00000000" w:rsidP="00000000" w:rsidRDefault="00000000" w:rsidRPr="00000000" w14:paraId="0000001B">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C">
      <w:pPr>
        <w:ind w:firstLine="283.46456692913387"/>
        <w:rPr>
          <w:rFonts w:ascii="Cambria" w:cs="Cambria" w:eastAsia="Cambria" w:hAnsi="Cambria"/>
        </w:rPr>
      </w:pPr>
      <w:r w:rsidDel="00000000" w:rsidR="00000000" w:rsidRPr="00000000">
        <w:rPr>
          <w:rFonts w:ascii="Cambria" w:cs="Cambria" w:eastAsia="Cambria" w:hAnsi="Cambria"/>
          <w:rtl w:val="0"/>
        </w:rPr>
        <w:t xml:space="preserve">“If I Knew You Were Coming I’d Have Baked a Cake” stands as an example that triangulated data through surveys and interviews. The author also discusses literature relating to the topic. Data collected via other previous studies restated in this paper provide support to the argument. </w:t>
      </w:r>
    </w:p>
    <w:p w:rsidR="00000000" w:rsidDel="00000000" w:rsidP="00000000" w:rsidRDefault="00000000" w:rsidRPr="00000000" w14:paraId="0000001D">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1E">
      <w:pPr>
        <w:ind w:firstLine="283.46456692913387"/>
        <w:rPr>
          <w:rFonts w:ascii="Cambria" w:cs="Cambria" w:eastAsia="Cambria" w:hAnsi="Cambria"/>
        </w:rPr>
      </w:pPr>
      <w:r w:rsidDel="00000000" w:rsidR="00000000" w:rsidRPr="00000000">
        <w:rPr>
          <w:rFonts w:ascii="Cambria" w:cs="Cambria" w:eastAsia="Cambria" w:hAnsi="Cambria"/>
          <w:rtl w:val="0"/>
        </w:rPr>
        <w:t xml:space="preserve">The study accounted for eighty-seven women aged sixty to ninety-five years in “a large northern city”</w:t>
      </w:r>
      <w:r w:rsidDel="00000000" w:rsidR="00000000" w:rsidRPr="00000000">
        <w:rPr>
          <w:rFonts w:ascii="Cambria" w:cs="Cambria" w:eastAsia="Cambria" w:hAnsi="Cambria"/>
          <w:vertAlign w:val="superscript"/>
        </w:rPr>
        <w:footnoteReference w:customMarkFollows="0" w:id="1"/>
      </w:r>
      <w:r w:rsidDel="00000000" w:rsidR="00000000" w:rsidRPr="00000000">
        <w:rPr>
          <w:rFonts w:ascii="Cambria" w:cs="Cambria" w:eastAsia="Cambria" w:hAnsi="Cambria"/>
          <w:rtl w:val="0"/>
        </w:rPr>
        <w:t xml:space="preserve">. Interviews conducted inside the researcher’s father’s clinic were recorded and transcribed for analysis. Such type of sampling benefits from homogenous demographic dynamics. In regard to other sampling methods such as large-scale recruitment of participants and internet-based remote interview participants, more comprehensive accounts may result, in contrast to the specific-interest group investigation method that this study uses. </w:t>
      </w:r>
    </w:p>
    <w:p w:rsidR="00000000" w:rsidDel="00000000" w:rsidP="00000000" w:rsidRDefault="00000000" w:rsidRPr="00000000" w14:paraId="0000001F">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0">
      <w:pPr>
        <w:ind w:firstLine="283.46456692913387"/>
        <w:rPr>
          <w:rFonts w:ascii="Cambria" w:cs="Cambria" w:eastAsia="Cambria" w:hAnsi="Cambria"/>
        </w:rPr>
      </w:pPr>
      <w:r w:rsidDel="00000000" w:rsidR="00000000" w:rsidRPr="00000000">
        <w:rPr>
          <w:rFonts w:ascii="Cambria" w:cs="Cambria" w:eastAsia="Cambria" w:hAnsi="Cambria"/>
          <w:rtl w:val="0"/>
        </w:rPr>
        <w:t xml:space="preserve">Regardless of sampling, this study reflects two methodological differences compared to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The first one concerns how the data, when transcribed, were analysed. Specifically, “If I Knew You Were Coming I’d Have Baked a Cake” presents selected phrases commonly or particularly drawing the researcher’s attention when discussing the motifs within the discourse. Such type of thematic analysis grasps ideas regarding the topic of the paper, before presenting interview excerpts that further support the researcher’s argument. </w:t>
      </w:r>
    </w:p>
    <w:p w:rsidR="00000000" w:rsidDel="00000000" w:rsidP="00000000" w:rsidRDefault="00000000" w:rsidRPr="00000000" w14:paraId="00000021">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2">
      <w:pPr>
        <w:ind w:firstLine="283.46456692913387"/>
        <w:rPr>
          <w:rFonts w:ascii="Cambria" w:cs="Cambria" w:eastAsia="Cambria" w:hAnsi="Cambria"/>
        </w:rPr>
      </w:pPr>
      <w:r w:rsidDel="00000000" w:rsidR="00000000" w:rsidRPr="00000000">
        <w:rPr>
          <w:rFonts w:ascii="Cambria" w:cs="Cambria" w:eastAsia="Cambria" w:hAnsi="Cambria"/>
          <w:rtl w:val="0"/>
        </w:rPr>
        <w:t xml:space="preserve">The second difference is reflected in the way the researchers of the two studies present the findings.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narrates the cause and effect of the ethnographic research, presenting events that took place before, during and after the interviews. “If I Knew You Were Coming I’d Have Baked a Cake” takes an outsider perspective, presenting the exposition, literature review, research methods, data analysis, results, and findings and conclusions commonly seen in social-science research. Though both academically valid,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may risk critique relating to the way the data and findings are presented.</w:t>
      </w:r>
    </w:p>
    <w:p w:rsidR="00000000" w:rsidDel="00000000" w:rsidP="00000000" w:rsidRDefault="00000000" w:rsidRPr="00000000" w14:paraId="00000023">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4">
      <w:pPr>
        <w:ind w:firstLine="283.46456692913387"/>
        <w:rPr>
          <w:rFonts w:ascii="Cambria" w:cs="Cambria" w:eastAsia="Cambria" w:hAnsi="Cambria"/>
        </w:rPr>
      </w:pPr>
      <w:r w:rsidDel="00000000" w:rsidR="00000000" w:rsidRPr="00000000">
        <w:rPr>
          <w:rFonts w:ascii="Cambria" w:cs="Cambria" w:eastAsia="Cambria" w:hAnsi="Cambria"/>
          <w:rtl w:val="0"/>
        </w:rPr>
        <w:t xml:space="preserve">Rigorous research requires triangulated data collection and analysis. Ethnographic research requires the researcher’s personal experience and enquiries. “If I Knew You Were Coming I’d Have Baked a Cake” exemplifies rigorous ethnographic research methods through the researcher’s personal experience in the community while presenting the discussion and findings from an outsider’s view. The researcher adopts a speculative perspective towards the investigated discourse. </w:t>
      </w:r>
    </w:p>
    <w:p w:rsidR="00000000" w:rsidDel="00000000" w:rsidP="00000000" w:rsidRDefault="00000000" w:rsidRPr="00000000" w14:paraId="00000025">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6">
      <w:pPr>
        <w:ind w:firstLine="283.46456692913387"/>
        <w:rPr>
          <w:rFonts w:ascii="Cambria" w:cs="Cambria" w:eastAsia="Cambria" w:hAnsi="Cambria"/>
        </w:rPr>
      </w:pP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and “If I Knew You Were Coming I’d Have Baked a Cake” differ largely in how the qualitative data were analysed. The former deals with limited narrative reports collected by the researcher, while the latter deals with as many as eighty-seven interview transcripts with demographic and thematic categorisation presented within the textual exposition of the research. While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does not attend to explaining the dynamics amongst elements of discourse regarding the topic in question, “If I Knew You Were Coming I’d Have Baked a Cake” succeeds in weaving together the interconnectedness amongst elements of discourse in relation to the studied topic.</w:t>
      </w:r>
    </w:p>
    <w:p w:rsidR="00000000" w:rsidDel="00000000" w:rsidP="00000000" w:rsidRDefault="00000000" w:rsidRPr="00000000" w14:paraId="00000027">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8">
      <w:pPr>
        <w:ind w:firstLine="283.46456692913387"/>
        <w:rPr>
          <w:rFonts w:ascii="Cambria" w:cs="Cambria" w:eastAsia="Cambria" w:hAnsi="Cambria"/>
        </w:rPr>
      </w:pPr>
      <w:r w:rsidDel="00000000" w:rsidR="00000000" w:rsidRPr="00000000">
        <w:rPr>
          <w:rFonts w:ascii="Cambria" w:cs="Cambria" w:eastAsia="Cambria" w:hAnsi="Cambria"/>
          <w:rtl w:val="0"/>
        </w:rPr>
        <w:t xml:space="preserve">Whether ethnographic experience is prioritised in favour of triangulated data analysis and presentation is in itself a difficult question to ponder. Insider views are invaluable in that they offer more comprehensive, interdimensional discourse discussing a single topic, while outsider views remain objective and speculative concerning a single topic without biases. Both research methods maintain high respect for the method itself and should be persistently advocated as valuable means by which researchers explore a particular topic rigorously and responsibly. Regardless of the method type, research tapping into cosmological views ought to respect the nature of the subject and participants, particularly with regard to the capabilities of the participants which may or may not exert influence on the investigative process itself. Remaining unbiased towards the research methods shall be prioritised when it comes to deciding which methods suit the study.</w:t>
      </w:r>
    </w:p>
    <w:p w:rsidR="00000000" w:rsidDel="00000000" w:rsidP="00000000" w:rsidRDefault="00000000" w:rsidRPr="00000000" w14:paraId="00000029">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A">
      <w:pPr>
        <w:ind w:firstLine="283.46456692913387"/>
        <w:rPr>
          <w:rFonts w:ascii="Cambria" w:cs="Cambria" w:eastAsia="Cambria" w:hAnsi="Cambria"/>
          <w:b w:val="1"/>
          <w:bCs w:val="1"/>
        </w:rPr>
      </w:pPr>
      <w:r w:rsidDel="00000000" w:rsidR="00000000" w:rsidRPr="00000000">
        <w:rPr>
          <w:rFonts w:ascii="Cambria" w:cs="Cambria" w:eastAsia="Cambria" w:hAnsi="Cambria"/>
          <w:b w:val="1"/>
          <w:bCs w:val="1"/>
          <w:rtl w:val="0"/>
        </w:rPr>
        <w:t xml:space="preserve">When participants perceive reality differently</w:t>
      </w:r>
    </w:p>
    <w:p w:rsidR="00000000" w:rsidDel="00000000" w:rsidP="00000000" w:rsidRDefault="00000000" w:rsidRPr="00000000" w14:paraId="0000002B">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C">
      <w:pPr>
        <w:ind w:firstLine="283.46456692913387"/>
        <w:rPr>
          <w:rFonts w:ascii="Cambria" w:cs="Cambria" w:eastAsia="Cambria" w:hAnsi="Cambria"/>
        </w:rPr>
      </w:pPr>
      <w:r w:rsidDel="00000000" w:rsidR="00000000" w:rsidRPr="00000000">
        <w:rPr>
          <w:rFonts w:ascii="Cambria" w:cs="Cambria" w:eastAsia="Cambria" w:hAnsi="Cambria"/>
          <w:rtl w:val="0"/>
        </w:rPr>
        <w:t xml:space="preserve">When it comes to designing a study that investigates processes metaphysically oriented, such as discourses relating to seidr experience or foreknowledge, ethnographic research must attend to the nature of the participants in terms of their behavioural patterns and perceptual practices. Traditional social-science research may overlook this point, resorting to following preconstructed or reconstructed procedures. “If I Knew You Were Coming I’d Have Baked a Cake” suffers from such a phenomenon, in that the researcher, while focusing on the interview process, may have disregarded the interviewee’s psychic abilities at play during the interview. In turn, the interview operates at a conventionally motivated level, rather than an authentically respected level—that is to say, the interviewee may be deprived of opportunities to discuss the topic on foreknowledge in a benign sense, because the interviewee understands that the researcher is taking an outsider view, thus the interviewee may choose to discuss the topic from a traditionally critical, negative perspective. Had the research been conducted from an insider’s view as well, meaning the researcher explaining the phenomenon (aka negative perspective towards foreshadowing) from a first-person ethnographic-interviewer’s perspective, the study may benefit from a more comprehensive, triangulated discussion.</w:t>
      </w:r>
    </w:p>
    <w:p w:rsidR="00000000" w:rsidDel="00000000" w:rsidP="00000000" w:rsidRDefault="00000000" w:rsidRPr="00000000" w14:paraId="0000002D">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2E">
      <w:pPr>
        <w:ind w:firstLine="283.46456692913387"/>
        <w:rPr>
          <w:rFonts w:ascii="Cambria" w:cs="Cambria" w:eastAsia="Cambria" w:hAnsi="Cambria"/>
        </w:rPr>
      </w:pPr>
      <w:r w:rsidDel="00000000" w:rsidR="00000000" w:rsidRPr="00000000">
        <w:rPr>
          <w:rFonts w:ascii="Cambria" w:cs="Cambria" w:eastAsia="Cambria" w:hAnsi="Cambria"/>
          <w:rtl w:val="0"/>
        </w:rPr>
        <w:t xml:space="preserve">The collected discourse in “If I Knew You Were Coming I’d Have Baked a Cake” tunes into how the eighty-seven women in a northern city’s neighbourhood regard psychic phenomena when reporting to a researcher audio-recording their sharing. Selected themes and motifs reflect specific points referring to the researcher’s hypothesis; that is, she considers the cosmos hostile (in Freya Mathew’s terms)</w:t>
      </w:r>
      <w:r w:rsidDel="00000000" w:rsidR="00000000" w:rsidRPr="00000000">
        <w:rPr>
          <w:rFonts w:ascii="Cambria" w:cs="Cambria" w:eastAsia="Cambria" w:hAnsi="Cambria"/>
          <w:vertAlign w:val="superscript"/>
        </w:rPr>
        <w:footnoteReference w:customMarkFollows="0" w:id="2"/>
      </w:r>
      <w:r w:rsidDel="00000000" w:rsidR="00000000" w:rsidRPr="00000000">
        <w:rPr>
          <w:rFonts w:ascii="Cambria" w:cs="Cambria" w:eastAsia="Cambria" w:hAnsi="Cambria"/>
          <w:rtl w:val="0"/>
        </w:rPr>
        <w:t xml:space="preserve">. Such a worldview leads the researcher to discuss the topic supporting her stance, while disregarding potential alternative views towards foreknowledge. For instance, according to Aristotle’s four cause hypothesis, we must understand that, teleologically speaking, things happen for a purpose. While the researcher explored foreknowledge as a phenomenon negatively perceived of the interviewees, she did not attempt to explain, or extrapolate through the collected discourse, the purpose for the women’s foreknowledge. In other words, if foreknowledge is so negatively perceived, what is the purpose for these women to be able to voluntarily or involuntarily exercise their psychic powers? Could it be that the women born in that time period were inundated with changes pertaining to the Earth’s ecological views, thus they were guided to critique psychic abilities from a negative perspective, so that the community in focus could begin to talk about the phenomenon? “The young women are more believing than the older ones”</w:t>
      </w:r>
      <w:r w:rsidDel="00000000" w:rsidR="00000000" w:rsidRPr="00000000">
        <w:rPr>
          <w:rFonts w:ascii="Cambria" w:cs="Cambria" w:eastAsia="Cambria" w:hAnsi="Cambria"/>
          <w:vertAlign w:val="superscript"/>
        </w:rPr>
        <w:footnoteReference w:customMarkFollows="0" w:id="3"/>
      </w:r>
      <w:r w:rsidDel="00000000" w:rsidR="00000000" w:rsidRPr="00000000">
        <w:rPr>
          <w:rFonts w:ascii="Cambria" w:cs="Cambria" w:eastAsia="Cambria" w:hAnsi="Cambria"/>
          <w:rtl w:val="0"/>
        </w:rPr>
        <w:t xml:space="preserve">, commented the researcher in the conclusion. </w:t>
      </w:r>
    </w:p>
    <w:p w:rsidR="00000000" w:rsidDel="00000000" w:rsidP="00000000" w:rsidRDefault="00000000" w:rsidRPr="00000000" w14:paraId="0000002F">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0">
      <w:pPr>
        <w:ind w:firstLine="283.46456692913387"/>
        <w:rPr>
          <w:rFonts w:ascii="Cambria" w:cs="Cambria" w:eastAsia="Cambria" w:hAnsi="Cambria"/>
        </w:rPr>
      </w:pPr>
      <w:r w:rsidDel="00000000" w:rsidR="00000000" w:rsidRPr="00000000">
        <w:rPr>
          <w:rFonts w:ascii="Cambria" w:cs="Cambria" w:eastAsia="Cambria" w:hAnsi="Cambria"/>
          <w:rtl w:val="0"/>
        </w:rPr>
        <w:t xml:space="preserve">In commenting on the negative perspectives towards foreknowledge, the researcher also takes into consideration other age groups (younger women) and the other sex (male). She found less negative beliefs towards foreknowledge and concluded that the negativity was specific to the elderly women towards traditional beliefs. While the study focuses on female middle-class churchgoers in a small community, it nevertheless opens up discussion with regard to how foreknowledge may be perceived positively, negatively, or neutrally by humans. This topic poses an interesting question concerning the use of psychic powers (precognition in particular) and how reality is perceived differently with the presence of these powers. </w:t>
      </w:r>
    </w:p>
    <w:p w:rsidR="00000000" w:rsidDel="00000000" w:rsidP="00000000" w:rsidRDefault="00000000" w:rsidRPr="00000000" w14:paraId="00000031">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2">
      <w:pPr>
        <w:ind w:firstLine="283.46456692913387"/>
        <w:rPr>
          <w:rFonts w:ascii="Cambria" w:cs="Cambria" w:eastAsia="Cambria" w:hAnsi="Cambria"/>
        </w:rPr>
      </w:pPr>
      <w:r w:rsidDel="00000000" w:rsidR="00000000" w:rsidRPr="00000000">
        <w:rPr>
          <w:rFonts w:ascii="Cambria" w:cs="Cambria" w:eastAsia="Cambria" w:hAnsi="Cambria"/>
          <w:rtl w:val="0"/>
        </w:rPr>
        <w:t xml:space="preserve">Methodological consideration is taken meticulously by the researcher, responding to the hypotheses or research questions that are being asked. Such consideration does not only involve validity and generalisability of the data collection and analysis, but it should also include issues relating to the nature of the participants. Specifically, when participants demonstrate precognitive skills that are being studied, the researcher should take into consideration the demonstration of these skills taking place during the interview. Voluntary or involuntary precognitive perception may be present during the investigative process, which may or may not exert some degree of influence on the interview itself. For example, voluntarily or involuntarily using precognitive perceptual awareness, the interviewees may selectively report what they perceive of the interviewer’s stance towards the topic through detecting signals of the interviewer’s body language or tone of voice, so as to entertain the interviewer’s investigation. Subtle change of material to share may take place in a way that may influence the investigative process. One way to avoid this is to enquire about the opposite (positive) or neutral perspective that the participants may have towards foreknowledge, countering the prominent stance established from the beginning that dominates the discourse. Remaining impartial during the investigation can be done through extending the questions with alternative stances in order to strike a balance between polarised perspectives.</w:t>
      </w:r>
    </w:p>
    <w:p w:rsidR="00000000" w:rsidDel="00000000" w:rsidP="00000000" w:rsidRDefault="00000000" w:rsidRPr="00000000" w14:paraId="00000033">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4">
      <w:pPr>
        <w:ind w:firstLine="283.46456692913387"/>
        <w:rPr>
          <w:rFonts w:ascii="Cambria" w:cs="Cambria" w:eastAsia="Cambria" w:hAnsi="Cambria"/>
          <w:b w:val="1"/>
          <w:bCs w:val="1"/>
        </w:rPr>
      </w:pPr>
      <w:r w:rsidDel="00000000" w:rsidR="00000000" w:rsidRPr="00000000">
        <w:rPr>
          <w:rFonts w:ascii="Cambria" w:cs="Cambria" w:eastAsia="Cambria" w:hAnsi="Cambria"/>
          <w:b w:val="1"/>
          <w:bCs w:val="1"/>
          <w:rtl w:val="0"/>
        </w:rPr>
        <w:t xml:space="preserve">Trials as navigatory hints</w:t>
      </w:r>
    </w:p>
    <w:p w:rsidR="00000000" w:rsidDel="00000000" w:rsidP="00000000" w:rsidRDefault="00000000" w:rsidRPr="00000000" w14:paraId="00000035">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6">
      <w:pPr>
        <w:ind w:firstLine="283.46456692913387"/>
        <w:rPr>
          <w:rFonts w:ascii="Cambria" w:cs="Cambria" w:eastAsia="Cambria" w:hAnsi="Cambria"/>
        </w:rPr>
      </w:pPr>
      <w:r w:rsidDel="00000000" w:rsidR="00000000" w:rsidRPr="00000000">
        <w:rPr>
          <w:rFonts w:ascii="Cambria" w:cs="Cambria" w:eastAsia="Cambria" w:hAnsi="Cambria"/>
          <w:rtl w:val="0"/>
        </w:rPr>
        <w:t xml:space="preserve">Alternatively, the researcher may conduct a trial series of interviews before the major series, so that the research may then go down a more impartial path than the current “partial and impressionistic”</w:t>
      </w:r>
      <w:r w:rsidDel="00000000" w:rsidR="00000000" w:rsidRPr="00000000">
        <w:rPr>
          <w:rFonts w:ascii="Cambria" w:cs="Cambria" w:eastAsia="Cambria" w:hAnsi="Cambria"/>
          <w:vertAlign w:val="superscript"/>
        </w:rPr>
        <w:footnoteReference w:customMarkFollows="0" w:id="4"/>
      </w:r>
      <w:r w:rsidDel="00000000" w:rsidR="00000000" w:rsidRPr="00000000">
        <w:rPr>
          <w:rFonts w:ascii="Cambria" w:cs="Cambria" w:eastAsia="Cambria" w:hAnsi="Cambria"/>
          <w:rtl w:val="0"/>
        </w:rPr>
        <w:t xml:space="preserve"> one. Questions pertaining to remaining impartial in the investigative process include “What have you ever heard of others saying that is completely different or opposite to your stance?” and “To what extent do you see foreknowledge now as compared to when you were younger (childhood or adolescence)?” Synchronic and chronological comparison may result in a more syncretised discourse that is less partial and impressionistic. </w:t>
      </w:r>
    </w:p>
    <w:p w:rsidR="00000000" w:rsidDel="00000000" w:rsidP="00000000" w:rsidRDefault="00000000" w:rsidRPr="00000000" w14:paraId="00000037">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8">
      <w:pPr>
        <w:ind w:firstLine="283.46456692913387"/>
        <w:rPr>
          <w:rFonts w:ascii="Cambria" w:cs="Cambria" w:eastAsia="Cambria" w:hAnsi="Cambria"/>
        </w:rPr>
      </w:pPr>
      <w:r w:rsidDel="00000000" w:rsidR="00000000" w:rsidRPr="00000000">
        <w:rPr>
          <w:rFonts w:ascii="Cambria" w:cs="Cambria" w:eastAsia="Cambria" w:hAnsi="Cambria"/>
          <w:rtl w:val="0"/>
        </w:rPr>
        <w:t xml:space="preserve">Triangulation and impartiality remains paramount to anthropological research, in that triangulated, impartial investigation gives a fuller account on a studied phenomenon than a “partial and impressionistic” one. In considering research methods apt for a specific topic such as seidr experience and foreknowledge, trial investigative processes may result in more fine-tuned direction for the research. Both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and “If I Knew You Were Coming I’d Have Baked a Cake” suffer from impartiality issues that may have been avoided through conducting trial interviews with a very small group of participants who do not join the main interview series.</w:t>
      </w:r>
    </w:p>
    <w:p w:rsidR="00000000" w:rsidDel="00000000" w:rsidP="00000000" w:rsidRDefault="00000000" w:rsidRPr="00000000" w14:paraId="00000039">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A">
      <w:pPr>
        <w:ind w:firstLine="283.46456692913387"/>
        <w:rPr>
          <w:rFonts w:ascii="Cambria" w:cs="Cambria" w:eastAsia="Cambria" w:hAnsi="Cambria"/>
        </w:rPr>
      </w:pPr>
      <w:r w:rsidDel="00000000" w:rsidR="00000000" w:rsidRPr="00000000">
        <w:rPr>
          <w:rFonts w:ascii="Cambria" w:cs="Cambria" w:eastAsia="Cambria" w:hAnsi="Cambria"/>
          <w:rtl w:val="0"/>
        </w:rPr>
        <w:t xml:space="preserve">Also, a control group consisting of participants not reporting the use of psychic powers may help give a fuller account on the topic of foreknowledge in “If I Knew You Were Coming I’d Have Baked a Cake”. What do people reporting little experience in foreknowledge perceive of foreknowledge? How different is the discourse within these people compared to the experimental group (elderly women reporting experience in practising precognitive perceptual skills regardless of volition)? This poses interesting questions in relation to how foreknowledge is perceived in different contexts and pragmatisms. </w:t>
      </w:r>
    </w:p>
    <w:p w:rsidR="00000000" w:rsidDel="00000000" w:rsidP="00000000" w:rsidRDefault="00000000" w:rsidRPr="00000000" w14:paraId="0000003B">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C">
      <w:pPr>
        <w:ind w:firstLine="283.46456692913387"/>
        <w:rPr>
          <w:rFonts w:ascii="Cambria" w:cs="Cambria" w:eastAsia="Cambria" w:hAnsi="Cambria"/>
        </w:rPr>
      </w:pP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and “If I Knew You Were Coming I’d Have Baked a Cake” both attempt to explore discourses collected within groups of participants with regard to a specific type of experience. While the former takes an insider view in extrapolating the researcher’s experiences in a chronological, sequential manner, the latter takes an outsider view in analysing collected literature and data that support the researcher’s argument. Additionally, both studies focused on a single group, with the former on a small group of seidr experience participants and the latter on eighty-seven women aged sixty to ninety-five years, constituting single-subject group experimentation. However, as naturalistic as they seem, the researchers in both studies were not able to observe the participants’ inner worlds.</w:t>
      </w:r>
      <w:r w:rsidDel="00000000" w:rsidR="00000000" w:rsidRPr="00000000">
        <w:rPr>
          <w:rFonts w:ascii="Cambria" w:cs="Cambria" w:eastAsia="Cambria" w:hAnsi="Cambria"/>
          <w:vertAlign w:val="superscript"/>
        </w:rPr>
        <w:footnoteReference w:customMarkFollows="0" w:id="5"/>
      </w:r>
      <w:r w:rsidDel="00000000" w:rsidR="00000000" w:rsidRPr="00000000">
        <w:rPr>
          <w:rFonts w:ascii="Cambria" w:cs="Cambria" w:eastAsia="Cambria" w:hAnsi="Cambria"/>
          <w:rtl w:val="0"/>
        </w:rPr>
        <w:t xml:space="preserve"> That is to say, both studies may suffer from observer bias, in that the researchers overlooked important factors affecting the participants’ first-person experience (seidr or foreknowledge), and these factors could never be understood unless the researchers are experienced in the subject matter themselves. </w:t>
      </w:r>
    </w:p>
    <w:p w:rsidR="00000000" w:rsidDel="00000000" w:rsidP="00000000" w:rsidRDefault="00000000" w:rsidRPr="00000000" w14:paraId="0000003D">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3E">
      <w:pPr>
        <w:ind w:firstLine="283.46456692913387"/>
        <w:rPr>
          <w:rFonts w:ascii="Cambria" w:cs="Cambria" w:eastAsia="Cambria" w:hAnsi="Cambria"/>
          <w:b w:val="1"/>
          <w:bCs w:val="1"/>
        </w:rPr>
      </w:pPr>
      <w:r w:rsidDel="00000000" w:rsidR="00000000" w:rsidRPr="00000000">
        <w:rPr>
          <w:rFonts w:ascii="Cambria" w:cs="Cambria" w:eastAsia="Cambria" w:hAnsi="Cambria"/>
          <w:rtl w:val="0"/>
        </w:rPr>
        <w:t xml:space="preserve">Non-verbal factors and other nonrecorded expressions may be missed in the transcription of the audio-recordings in both studies.</w:t>
      </w:r>
      <w:r w:rsidDel="00000000" w:rsidR="00000000" w:rsidRPr="00000000">
        <w:rPr>
          <w:rFonts w:ascii="Cambria" w:cs="Cambria" w:eastAsia="Cambria" w:hAnsi="Cambria"/>
          <w:vertAlign w:val="superscript"/>
        </w:rPr>
        <w:footnoteReference w:customMarkFollows="0" w:id="6"/>
      </w:r>
      <w:r w:rsidDel="00000000" w:rsidR="00000000" w:rsidRPr="00000000">
        <w:rPr>
          <w:rFonts w:ascii="Cambria" w:cs="Cambria" w:eastAsia="Cambria" w:hAnsi="Cambria"/>
          <w:rtl w:val="0"/>
        </w:rPr>
        <w:t xml:space="preserve"> These factors may hint at other levels of socioeconomic dynamics amongst the participants. Expressions reflecting possible reluctance to talk about a specific issue such as foreknowledge inside a clinic may not be recorded, but which may reflect participants’ deeper reasons for sharing the foreknowledge-related discourse in a clinic. The ecology of the clinic could trigger certain self-defence mechanisms of the participants so much so that they chose to share negative thoughts about foreknowledge due to the lack of sense of security in that specific environment. </w:t>
      </w:r>
      <w:r w:rsidDel="00000000" w:rsidR="00000000" w:rsidRPr="00000000">
        <w:rPr>
          <w:rtl w:val="0"/>
        </w:rPr>
      </w:r>
    </w:p>
    <w:p w:rsidR="00000000" w:rsidDel="00000000" w:rsidP="00000000" w:rsidRDefault="00000000" w:rsidRPr="00000000" w14:paraId="0000003F">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40">
      <w:pPr>
        <w:ind w:firstLine="283.46456692913387"/>
        <w:rPr>
          <w:rFonts w:ascii="Cambria" w:cs="Cambria" w:eastAsia="Cambria" w:hAnsi="Cambria"/>
        </w:rPr>
      </w:pPr>
      <w:r w:rsidDel="00000000" w:rsidR="00000000" w:rsidRPr="00000000">
        <w:rPr>
          <w:rFonts w:ascii="Cambria" w:cs="Cambria" w:eastAsia="Cambria" w:hAnsi="Cambria"/>
          <w:rtl w:val="0"/>
        </w:rPr>
        <w:t xml:space="preserve">Therefore, when choosing spaces for the investigative processes, studies such as the aforementioned two may benefit from more meticulous design that attends to the nature of the participants when it comes to transpersonal research, when the participants may be sensitive to the ecology of the space and time when the investigation takes place. </w:t>
      </w:r>
    </w:p>
    <w:p w:rsidR="00000000" w:rsidDel="00000000" w:rsidP="00000000" w:rsidRDefault="00000000" w:rsidRPr="00000000" w14:paraId="00000041">
      <w:pPr>
        <w:ind w:firstLine="283.46456692913387"/>
        <w:rPr>
          <w:rFonts w:ascii="Cambria" w:cs="Cambria" w:eastAsia="Cambria" w:hAnsi="Cambria"/>
        </w:rPr>
      </w:pPr>
      <w:r w:rsidDel="00000000" w:rsidR="00000000" w:rsidRPr="00000000">
        <w:rPr>
          <w:rtl w:val="0"/>
        </w:rPr>
      </w:r>
    </w:p>
    <w:p w:rsidR="00000000" w:rsidDel="00000000" w:rsidP="00000000" w:rsidRDefault="00000000" w:rsidRPr="00000000" w14:paraId="00000042">
      <w:pPr>
        <w:ind w:firstLine="283.46456692913387"/>
        <w:rPr>
          <w:rFonts w:ascii="Cambria" w:cs="Cambria" w:eastAsia="Cambria" w:hAnsi="Cambria"/>
          <w:b w:val="1"/>
          <w:bCs w:val="1"/>
        </w:rPr>
      </w:pPr>
      <w:r w:rsidDel="00000000" w:rsidR="00000000" w:rsidRPr="00000000">
        <w:rPr>
          <w:rFonts w:ascii="Cambria" w:cs="Cambria" w:eastAsia="Cambria" w:hAnsi="Cambria"/>
          <w:b w:val="1"/>
          <w:bCs w:val="1"/>
          <w:rtl w:val="0"/>
        </w:rPr>
        <w:t xml:space="preserve">Conclusion</w:t>
      </w:r>
    </w:p>
    <w:p w:rsidR="00000000" w:rsidDel="00000000" w:rsidP="00000000" w:rsidRDefault="00000000" w:rsidRPr="00000000" w14:paraId="00000043">
      <w:pPr>
        <w:ind w:firstLine="283.46456692913387"/>
        <w:rPr>
          <w:rFonts w:ascii="Cambria" w:cs="Cambria" w:eastAsia="Cambria" w:hAnsi="Cambria"/>
          <w:b w:val="1"/>
          <w:bCs w:val="1"/>
        </w:rPr>
      </w:pPr>
      <w:r w:rsidDel="00000000" w:rsidR="00000000" w:rsidRPr="00000000">
        <w:rPr>
          <w:rtl w:val="0"/>
        </w:rPr>
      </w:r>
    </w:p>
    <w:p w:rsidR="00000000" w:rsidDel="00000000" w:rsidP="00000000" w:rsidRDefault="00000000" w:rsidRPr="00000000" w14:paraId="00000044">
      <w:pPr>
        <w:ind w:firstLine="283.46456692913387"/>
        <w:rPr>
          <w:rFonts w:ascii="Cambria" w:cs="Cambria" w:eastAsia="Cambria" w:hAnsi="Cambria"/>
        </w:rPr>
      </w:pPr>
      <w:r w:rsidDel="00000000" w:rsidR="00000000" w:rsidRPr="00000000">
        <w:rPr>
          <w:rFonts w:ascii="Cambria" w:cs="Cambria" w:eastAsia="Cambria" w:hAnsi="Cambria"/>
          <w:rtl w:val="0"/>
        </w:rPr>
        <w:t xml:space="preserve">All in all,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and “If I Knew You Were Coming I’d Have Baked a Cake” exhibit potentials for faithful research dynamics including respecting spontaneity during the interview and acknowledging participants’ extrasensory perceptual phenomena. That being said, triangulation and ecology of the investigative processes may point to major concerns when it comes to increasing the degree of authenticity of the data collected, thus affecting the validity and generalisability of the data. </w:t>
      </w:r>
      <w:r w:rsidDel="00000000" w:rsidR="00000000" w:rsidRPr="00000000">
        <w:rPr>
          <w:rtl w:val="0"/>
        </w:rPr>
      </w:r>
    </w:p>
    <w:p w:rsidR="00000000" w:rsidDel="00000000" w:rsidP="00000000" w:rsidRDefault="00000000" w:rsidRPr="00000000" w14:paraId="00000045">
      <w:pPr>
        <w:ind w:firstLine="283.46456692913387"/>
        <w:rPr>
          <w:rFonts w:ascii="Cambria" w:cs="Cambria" w:eastAsia="Cambria" w:hAnsi="Cambria"/>
        </w:rPr>
      </w:pPr>
      <w:r w:rsidDel="00000000" w:rsidR="00000000" w:rsidRPr="00000000">
        <w:br w:type="page"/>
      </w:r>
      <w:r w:rsidDel="00000000" w:rsidR="00000000" w:rsidRPr="00000000">
        <w:rPr>
          <w:rtl w:val="0"/>
        </w:rPr>
      </w:r>
    </w:p>
    <w:p w:rsidR="00000000" w:rsidDel="00000000" w:rsidP="00000000" w:rsidRDefault="00000000" w:rsidRPr="00000000" w14:paraId="00000046">
      <w:pPr>
        <w:ind w:left="0" w:firstLine="0"/>
        <w:rPr>
          <w:rFonts w:ascii="Cambria" w:cs="Cambria" w:eastAsia="Cambria" w:hAnsi="Cambria"/>
        </w:rPr>
      </w:pPr>
      <w:r w:rsidDel="00000000" w:rsidR="00000000" w:rsidRPr="00000000">
        <w:rPr>
          <w:rFonts w:ascii="Cambria" w:cs="Cambria" w:eastAsia="Cambria" w:hAnsi="Cambria"/>
          <w:b w:val="1"/>
          <w:bCs w:val="1"/>
          <w:rtl w:val="0"/>
        </w:rPr>
        <w:t xml:space="preserve">Bibliography</w:t>
      </w:r>
      <w:r w:rsidDel="00000000" w:rsidR="00000000" w:rsidRPr="00000000">
        <w:rPr>
          <w:rtl w:val="0"/>
        </w:rPr>
      </w:r>
    </w:p>
    <w:p w:rsidR="00000000" w:rsidDel="00000000" w:rsidP="00000000" w:rsidRDefault="00000000" w:rsidRPr="00000000" w14:paraId="00000047">
      <w:pPr>
        <w:spacing w:after="240" w:before="240" w:lineRule="auto"/>
        <w:ind w:left="283.4645669291339"/>
        <w:rPr>
          <w:rFonts w:ascii="Cambria" w:cs="Cambria" w:eastAsia="Cambria" w:hAnsi="Cambria"/>
        </w:rPr>
      </w:pPr>
      <w:r w:rsidDel="00000000" w:rsidR="00000000" w:rsidRPr="00000000">
        <w:rPr>
          <w:rFonts w:ascii="Cambria" w:cs="Cambria" w:eastAsia="Cambria" w:hAnsi="Cambria"/>
          <w:rtl w:val="0"/>
        </w:rPr>
        <w:t xml:space="preserve">Bennett, Gillian, “‘If I Knew You Were Coming I’d Have Baked a Cake’: The Folklore of Foreknowledge in a Neighborhood Group,” in Barbara Walker (ed.), </w:t>
      </w:r>
      <w:r w:rsidDel="00000000" w:rsidR="00000000" w:rsidRPr="00000000">
        <w:rPr>
          <w:rFonts w:ascii="Cambria" w:cs="Cambria" w:eastAsia="Cambria" w:hAnsi="Cambria"/>
          <w:i w:val="1"/>
          <w:iCs w:val="1"/>
          <w:rtl w:val="0"/>
        </w:rPr>
        <w:t xml:space="preserve">Out of the Ordinary: Folklore and the Supernatural</w:t>
      </w:r>
      <w:r w:rsidDel="00000000" w:rsidR="00000000" w:rsidRPr="00000000">
        <w:rPr>
          <w:rFonts w:ascii="Cambria" w:cs="Cambria" w:eastAsia="Cambria" w:hAnsi="Cambria"/>
          <w:rtl w:val="0"/>
        </w:rPr>
        <w:t xml:space="preserve"> (Logan, Utah: Utah State University Press, 1995), pp. 122–42.</w:t>
      </w:r>
    </w:p>
    <w:p w:rsidR="00000000" w:rsidDel="00000000" w:rsidP="00000000" w:rsidRDefault="00000000" w:rsidRPr="00000000" w14:paraId="00000048">
      <w:pPr>
        <w:spacing w:after="240" w:before="240" w:lineRule="auto"/>
        <w:ind w:left="283.4645669291339"/>
        <w:rPr>
          <w:rFonts w:ascii="Cambria" w:cs="Cambria" w:eastAsia="Cambria" w:hAnsi="Cambria"/>
        </w:rPr>
      </w:pPr>
      <w:r w:rsidDel="00000000" w:rsidR="00000000" w:rsidRPr="00000000">
        <w:rPr>
          <w:rFonts w:ascii="Cambria" w:cs="Cambria" w:eastAsia="Cambria" w:hAnsi="Cambria"/>
          <w:rtl w:val="0"/>
        </w:rPr>
        <w:t xml:space="preserve">Blain, Jenny, </w:t>
      </w:r>
      <w:r w:rsidDel="00000000" w:rsidR="00000000" w:rsidRPr="00000000">
        <w:rPr>
          <w:rFonts w:ascii="Cambria" w:cs="Cambria" w:eastAsia="Cambria" w:hAnsi="Cambria"/>
          <w:i w:val="1"/>
          <w:iCs w:val="1"/>
          <w:rtl w:val="0"/>
        </w:rPr>
        <w:t xml:space="preserve">Speaking Shamanistically: Seidr, Academia and Rationality</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i w:val="1"/>
          <w:iCs w:val="1"/>
          <w:rtl w:val="0"/>
        </w:rPr>
        <w:t xml:space="preserve">DISKUS</w:t>
      </w:r>
      <w:r w:rsidDel="00000000" w:rsidR="00000000" w:rsidRPr="00000000">
        <w:rPr>
          <w:rFonts w:ascii="Cambria" w:cs="Cambria" w:eastAsia="Cambria" w:hAnsi="Cambria"/>
          <w:rtl w:val="0"/>
        </w:rPr>
        <w:t xml:space="preserve">, vol. 6 (2000).</w:t>
      </w:r>
    </w:p>
    <w:p w:rsidR="00000000" w:rsidDel="00000000" w:rsidP="00000000" w:rsidRDefault="00000000" w:rsidRPr="00000000" w14:paraId="00000049">
      <w:pPr>
        <w:spacing w:after="240" w:before="240" w:lineRule="auto"/>
        <w:ind w:left="283.4645669291339"/>
        <w:rPr>
          <w:rFonts w:ascii="Cambria" w:cs="Cambria" w:eastAsia="Cambria" w:hAnsi="Cambria"/>
        </w:rPr>
      </w:pPr>
      <w:r w:rsidDel="00000000" w:rsidR="00000000" w:rsidRPr="00000000">
        <w:rPr>
          <w:rFonts w:ascii="Cambria" w:cs="Cambria" w:eastAsia="Cambria" w:hAnsi="Cambria"/>
          <w:rtl w:val="0"/>
        </w:rPr>
        <w:t xml:space="preserve">Braud, William, and Rosemarie Anderson, </w:t>
      </w:r>
      <w:r w:rsidDel="00000000" w:rsidR="00000000" w:rsidRPr="00000000">
        <w:rPr>
          <w:rFonts w:ascii="Cambria" w:cs="Cambria" w:eastAsia="Cambria" w:hAnsi="Cambria"/>
          <w:i w:val="1"/>
          <w:iCs w:val="1"/>
          <w:rtl w:val="0"/>
        </w:rPr>
        <w:t xml:space="preserve">Transpersonal Research Methods for the Social Sciences: Honouring Human Experience </w:t>
      </w:r>
      <w:r w:rsidDel="00000000" w:rsidR="00000000" w:rsidRPr="00000000">
        <w:rPr>
          <w:rFonts w:ascii="Cambria" w:cs="Cambria" w:eastAsia="Cambria" w:hAnsi="Cambria"/>
          <w:rtl w:val="0"/>
        </w:rPr>
        <w:t xml:space="preserve">(Thousand Oaks, CA: SAGE, 1998).</w:t>
      </w:r>
    </w:p>
    <w:p w:rsidR="00000000" w:rsidDel="00000000" w:rsidP="00000000" w:rsidRDefault="00000000" w:rsidRPr="00000000" w14:paraId="0000004A">
      <w:pPr>
        <w:spacing w:after="240" w:before="240" w:lineRule="auto"/>
        <w:ind w:left="283.4645669291339"/>
        <w:rPr>
          <w:rFonts w:ascii="Cambria" w:cs="Cambria" w:eastAsia="Cambria" w:hAnsi="Cambria"/>
        </w:rPr>
      </w:pPr>
      <w:r w:rsidDel="00000000" w:rsidR="00000000" w:rsidRPr="00000000">
        <w:rPr>
          <w:rFonts w:ascii="Cambria" w:cs="Cambria" w:eastAsia="Cambria" w:hAnsi="Cambria"/>
          <w:rtl w:val="0"/>
        </w:rPr>
        <w:t xml:space="preserve">Campion, Nicholas, </w:t>
      </w:r>
      <w:r w:rsidDel="00000000" w:rsidR="00000000" w:rsidRPr="00000000">
        <w:rPr>
          <w:rFonts w:ascii="Cambria" w:cs="Cambria" w:eastAsia="Cambria" w:hAnsi="Cambria"/>
          <w:i w:val="1"/>
          <w:iCs w:val="1"/>
          <w:rtl w:val="0"/>
        </w:rPr>
        <w:t xml:space="preserve">Astrology and Cosmology in the World’s Religions</w:t>
      </w:r>
      <w:r w:rsidDel="00000000" w:rsidR="00000000" w:rsidRPr="00000000">
        <w:rPr>
          <w:rFonts w:ascii="Cambria" w:cs="Cambria" w:eastAsia="Cambria" w:hAnsi="Cambria"/>
          <w:rtl w:val="0"/>
        </w:rPr>
        <w:t xml:space="preserve"> (New York: NYU Press, 2012).</w:t>
      </w:r>
    </w:p>
    <w:p w:rsidR="00000000" w:rsidDel="00000000" w:rsidP="00000000" w:rsidRDefault="00000000" w:rsidRPr="00000000" w14:paraId="0000004B">
      <w:pPr>
        <w:spacing w:after="240" w:before="240" w:lineRule="auto"/>
        <w:ind w:left="283.4645669291339"/>
        <w:rPr>
          <w:rFonts w:ascii="Cambria" w:cs="Cambria" w:eastAsia="Cambria" w:hAnsi="Cambria"/>
          <w:b w:val="1"/>
          <w:bCs w:val="1"/>
        </w:rPr>
      </w:pPr>
      <w:r w:rsidDel="00000000" w:rsidR="00000000" w:rsidRPr="00000000">
        <w:rPr>
          <w:rFonts w:ascii="Cambria" w:cs="Cambria" w:eastAsia="Cambria" w:hAnsi="Cambria"/>
          <w:rtl w:val="0"/>
        </w:rPr>
        <w:t xml:space="preserve">Matthews, Freya, </w:t>
      </w:r>
      <w:r w:rsidDel="00000000" w:rsidR="00000000" w:rsidRPr="00000000">
        <w:rPr>
          <w:rFonts w:ascii="Cambria" w:cs="Cambria" w:eastAsia="Cambria" w:hAnsi="Cambria"/>
          <w:i w:val="1"/>
          <w:iCs w:val="1"/>
          <w:rtl w:val="0"/>
        </w:rPr>
        <w:t xml:space="preserve">The Ecological Self</w:t>
      </w:r>
      <w:r w:rsidDel="00000000" w:rsidR="00000000" w:rsidRPr="00000000">
        <w:rPr>
          <w:rFonts w:ascii="Cambria" w:cs="Cambria" w:eastAsia="Cambria" w:hAnsi="Cambria"/>
          <w:rtl w:val="0"/>
        </w:rPr>
        <w:t xml:space="preserve"> (London: Routledge, 1991).</w:t>
      </w:r>
      <w:r w:rsidDel="00000000" w:rsidR="00000000" w:rsidRPr="00000000">
        <w:rPr>
          <w:rtl w:val="0"/>
        </w:rPr>
      </w:r>
    </w:p>
    <w:p w:rsidR="00000000" w:rsidDel="00000000" w:rsidP="00000000" w:rsidRDefault="00000000" w:rsidRPr="00000000" w14:paraId="0000004C">
      <w:pPr>
        <w:spacing w:after="240" w:before="240" w:lineRule="auto"/>
        <w:ind w:left="283.4645669291339"/>
        <w:rPr>
          <w:rFonts w:ascii="Cambria" w:cs="Cambria" w:eastAsia="Cambria" w:hAnsi="Cambria"/>
          <w:b w:val="1"/>
          <w:bCs w:val="1"/>
        </w:rPr>
      </w:pPr>
      <w:r w:rsidDel="00000000" w:rsidR="00000000" w:rsidRPr="00000000">
        <w:rPr>
          <w:rtl w:val="0"/>
        </w:rPr>
      </w:r>
    </w:p>
    <w:p w:rsidR="00000000" w:rsidDel="00000000" w:rsidP="00000000" w:rsidRDefault="00000000" w:rsidRPr="00000000" w14:paraId="0000004D">
      <w:pPr>
        <w:spacing w:after="240" w:before="240" w:lineRule="auto"/>
        <w:ind w:left="283.4645669291339"/>
        <w:rPr>
          <w:rFonts w:ascii="Cambria" w:cs="Cambria" w:eastAsia="Cambria" w:hAnsi="Cambria"/>
        </w:rPr>
      </w:pPr>
      <w:r w:rsidDel="00000000" w:rsidR="00000000" w:rsidRPr="00000000">
        <w:rPr>
          <w:rtl w:val="0"/>
        </w:rPr>
      </w:r>
    </w:p>
    <w:p w:rsidR="00000000" w:rsidDel="00000000" w:rsidP="00000000" w:rsidRDefault="00000000" w:rsidRPr="00000000" w14:paraId="0000004E">
      <w:pPr>
        <w:rPr>
          <w:rFonts w:ascii="Cambria" w:cs="Cambria" w:eastAsia="Cambria" w:hAnsi="Cambria"/>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jc w:val="right"/>
      <w:rPr>
        <w:rFonts w:ascii="Cambria" w:cs="Cambria" w:eastAsia="Cambria" w:hAnsi="Cambria"/>
        <w:sz w:val="20"/>
        <w:szCs w:val="20"/>
      </w:rPr>
    </w:pPr>
    <w:r w:rsidDel="00000000" w:rsidR="00000000" w:rsidRPr="00000000">
      <w:rPr>
        <w:rFonts w:ascii="Cambria" w:cs="Cambria" w:eastAsia="Cambria" w:hAnsi="Cambria"/>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50">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z w:val="20"/>
          <w:szCs w:val="20"/>
          <w:rtl w:val="0"/>
        </w:rPr>
        <w:t xml:space="preserve">Gillian Bennett, “‘If I Knew You Were Coming I’d Have Baked a Cake,’” in Barbara Walker (ed.), </w:t>
      </w:r>
      <w:r w:rsidDel="00000000" w:rsidR="00000000" w:rsidRPr="00000000">
        <w:rPr>
          <w:rFonts w:ascii="Cambria" w:cs="Cambria" w:eastAsia="Cambria" w:hAnsi="Cambria"/>
          <w:i w:val="1"/>
          <w:iCs w:val="1"/>
          <w:sz w:val="20"/>
          <w:szCs w:val="20"/>
          <w:rtl w:val="0"/>
        </w:rPr>
        <w:t xml:space="preserve">Out of the Ordinary: Folklore and the Supernatural</w:t>
      </w:r>
      <w:r w:rsidDel="00000000" w:rsidR="00000000" w:rsidRPr="00000000">
        <w:rPr>
          <w:rFonts w:ascii="Cambria" w:cs="Cambria" w:eastAsia="Cambria" w:hAnsi="Cambria"/>
          <w:sz w:val="20"/>
          <w:szCs w:val="20"/>
          <w:rtl w:val="0"/>
        </w:rPr>
        <w:t xml:space="preserve"> (Logan, Utah: Utah State University Press, 1995), p. 127.</w:t>
      </w:r>
    </w:p>
  </w:footnote>
  <w:footnote w:id="2">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mbria" w:cs="Cambria" w:eastAsia="Cambria" w:hAnsi="Cambria"/>
          <w:sz w:val="20"/>
          <w:szCs w:val="20"/>
          <w:rtl w:val="0"/>
        </w:rPr>
        <w:t xml:space="preserve">Freya Matthews, </w:t>
      </w:r>
      <w:r w:rsidDel="00000000" w:rsidR="00000000" w:rsidRPr="00000000">
        <w:rPr>
          <w:rFonts w:ascii="Cambria" w:cs="Cambria" w:eastAsia="Cambria" w:hAnsi="Cambria"/>
          <w:i w:val="1"/>
          <w:iCs w:val="1"/>
          <w:sz w:val="20"/>
          <w:szCs w:val="20"/>
          <w:rtl w:val="0"/>
        </w:rPr>
        <w:t xml:space="preserve">The Ecological Self</w:t>
      </w:r>
      <w:r w:rsidDel="00000000" w:rsidR="00000000" w:rsidRPr="00000000">
        <w:rPr>
          <w:rFonts w:ascii="Cambria" w:cs="Cambria" w:eastAsia="Cambria" w:hAnsi="Cambria"/>
          <w:sz w:val="20"/>
          <w:szCs w:val="20"/>
          <w:rtl w:val="0"/>
        </w:rPr>
        <w:t xml:space="preserve"> (London: Routledge, 1991), p. 109.</w:t>
      </w:r>
      <w:r w:rsidDel="00000000" w:rsidR="00000000" w:rsidRPr="00000000">
        <w:rPr>
          <w:rtl w:val="0"/>
        </w:rPr>
      </w:r>
    </w:p>
  </w:footnote>
  <w:footnote w:id="5">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mbria" w:cs="Cambria" w:eastAsia="Cambria" w:hAnsi="Cambria"/>
          <w:sz w:val="20"/>
          <w:szCs w:val="20"/>
          <w:rtl w:val="0"/>
        </w:rPr>
        <w:t xml:space="preserve">William Brady and Rosemarie Anderson, </w:t>
      </w:r>
      <w:r w:rsidDel="00000000" w:rsidR="00000000" w:rsidRPr="00000000">
        <w:rPr>
          <w:rFonts w:ascii="Cambria" w:cs="Cambria" w:eastAsia="Cambria" w:hAnsi="Cambria"/>
          <w:i w:val="1"/>
          <w:iCs w:val="1"/>
          <w:sz w:val="20"/>
          <w:szCs w:val="20"/>
          <w:rtl w:val="0"/>
        </w:rPr>
        <w:t xml:space="preserve">Transpersonal Research Methods for the Social Sciences: Honouring Human Experience </w:t>
      </w:r>
      <w:r w:rsidDel="00000000" w:rsidR="00000000" w:rsidRPr="00000000">
        <w:rPr>
          <w:rFonts w:ascii="Cambria" w:cs="Cambria" w:eastAsia="Cambria" w:hAnsi="Cambria"/>
          <w:sz w:val="20"/>
          <w:szCs w:val="20"/>
          <w:rtl w:val="0"/>
        </w:rPr>
        <w:t xml:space="preserve">(Thousand Oaks, CA: SAGE, 1998), p. 274.</w:t>
      </w:r>
      <w:r w:rsidDel="00000000" w:rsidR="00000000" w:rsidRPr="00000000">
        <w:rPr>
          <w:rtl w:val="0"/>
        </w:rPr>
      </w:r>
    </w:p>
  </w:footnote>
  <w:footnote w:id="6">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mbria" w:cs="Cambria" w:eastAsia="Cambria" w:hAnsi="Cambria"/>
          <w:sz w:val="20"/>
          <w:szCs w:val="20"/>
          <w:rtl w:val="0"/>
        </w:rPr>
        <w:t xml:space="preserve">Ibid., p. 275.</w:t>
      </w:r>
      <w:r w:rsidDel="00000000" w:rsidR="00000000" w:rsidRPr="00000000">
        <w:rPr>
          <w:rtl w:val="0"/>
        </w:rPr>
      </w:r>
    </w:p>
  </w:footnote>
  <w:footnote w:id="4">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mbria" w:cs="Cambria" w:eastAsia="Cambria" w:hAnsi="Cambria"/>
          <w:sz w:val="20"/>
          <w:szCs w:val="20"/>
          <w:rtl w:val="0"/>
        </w:rPr>
        <w:t xml:space="preserve">Ibid</w:t>
      </w:r>
      <w:r w:rsidDel="00000000" w:rsidR="00000000" w:rsidRPr="00000000">
        <w:rPr>
          <w:rFonts w:ascii="Cambria" w:cs="Cambria" w:eastAsia="Cambria" w:hAnsi="Cambria"/>
          <w:i w:val="1"/>
          <w:iCs w:val="1"/>
          <w:sz w:val="20"/>
          <w:szCs w:val="20"/>
          <w:rtl w:val="0"/>
        </w:rPr>
        <w:t xml:space="preserve">.</w:t>
      </w:r>
      <w:r w:rsidDel="00000000" w:rsidR="00000000" w:rsidRPr="00000000">
        <w:rPr>
          <w:rFonts w:ascii="Cambria" w:cs="Cambria" w:eastAsia="Cambria" w:hAnsi="Cambria"/>
          <w:sz w:val="20"/>
          <w:szCs w:val="20"/>
          <w:rtl w:val="0"/>
        </w:rPr>
        <w:t xml:space="preserve">,</w:t>
      </w:r>
      <w:r w:rsidDel="00000000" w:rsidR="00000000" w:rsidRPr="00000000">
        <w:rPr>
          <w:rFonts w:ascii="Cambria" w:cs="Cambria" w:eastAsia="Cambria" w:hAnsi="Cambria"/>
          <w:sz w:val="20"/>
          <w:szCs w:val="20"/>
          <w:rtl w:val="0"/>
        </w:rPr>
        <w:t xml:space="preserve"> p. 140.</w:t>
      </w:r>
      <w:r w:rsidDel="00000000" w:rsidR="00000000" w:rsidRPr="00000000">
        <w:rPr>
          <w:rtl w:val="0"/>
        </w:rPr>
      </w:r>
    </w:p>
  </w:footnote>
  <w:footnote w:id="3">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mbria" w:cs="Cambria" w:eastAsia="Cambria" w:hAnsi="Cambria"/>
          <w:sz w:val="20"/>
          <w:szCs w:val="20"/>
          <w:rtl w:val="0"/>
        </w:rPr>
        <w:t xml:space="preserve">Bennett, “‘If I Knew You Were Coming,’” p. 140.</w:t>
      </w:r>
      <w:r w:rsidDel="00000000" w:rsidR="00000000" w:rsidRPr="00000000">
        <w:rPr>
          <w:rtl w:val="0"/>
        </w:rPr>
      </w:r>
    </w:p>
  </w:footnote>
  <w:footnote w:id="0">
    <w:p w:rsidR="00000000" w:rsidDel="00000000" w:rsidP="00000000" w:rsidRDefault="00000000" w:rsidRPr="00000000" w14:paraId="00000056">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mbria" w:cs="Cambria" w:eastAsia="Cambria" w:hAnsi="Cambria"/>
          <w:sz w:val="20"/>
          <w:szCs w:val="20"/>
          <w:rtl w:val="0"/>
        </w:rPr>
        <w:t xml:space="preserve">Marcus Aurelius, </w:t>
      </w:r>
      <w:r w:rsidDel="00000000" w:rsidR="00000000" w:rsidRPr="00000000">
        <w:rPr>
          <w:rFonts w:ascii="Cambria" w:cs="Cambria" w:eastAsia="Cambria" w:hAnsi="Cambria"/>
          <w:i w:val="1"/>
          <w:iCs w:val="1"/>
          <w:sz w:val="20"/>
          <w:szCs w:val="20"/>
          <w:rtl w:val="0"/>
        </w:rPr>
        <w:t xml:space="preserve">Meditations</w:t>
      </w:r>
      <w:r w:rsidDel="00000000" w:rsidR="00000000" w:rsidRPr="00000000">
        <w:rPr>
          <w:rFonts w:ascii="Cambria" w:cs="Cambria" w:eastAsia="Cambria" w:hAnsi="Cambria"/>
          <w:sz w:val="20"/>
          <w:szCs w:val="20"/>
          <w:rtl w:val="0"/>
        </w:rPr>
        <w:t xml:space="preserve">, trans. Maxwell Staniforth (Harmondsworth: Penguin, 1964), 112, V.47; see also 114, IX.29. See Plato, </w:t>
      </w:r>
      <w:r w:rsidDel="00000000" w:rsidR="00000000" w:rsidRPr="00000000">
        <w:rPr>
          <w:rFonts w:ascii="Cambria" w:cs="Cambria" w:eastAsia="Cambria" w:hAnsi="Cambria"/>
          <w:i w:val="1"/>
          <w:iCs w:val="1"/>
          <w:sz w:val="20"/>
          <w:szCs w:val="20"/>
          <w:rtl w:val="0"/>
        </w:rPr>
        <w:t xml:space="preserve">Republic</w:t>
      </w:r>
      <w:r w:rsidDel="00000000" w:rsidR="00000000" w:rsidRPr="00000000">
        <w:rPr>
          <w:rFonts w:ascii="Cambria" w:cs="Cambria" w:eastAsia="Cambria" w:hAnsi="Cambria"/>
          <w:sz w:val="20"/>
          <w:szCs w:val="20"/>
          <w:rtl w:val="0"/>
        </w:rPr>
        <w:t xml:space="preserve">, 2 vols., trans. Paul Shirley (Cambridge, MA: Harvard University Press, 1937), 516B, as cited in Nicholas Campion, </w:t>
      </w:r>
      <w:r w:rsidDel="00000000" w:rsidR="00000000" w:rsidRPr="00000000">
        <w:rPr>
          <w:rFonts w:ascii="Cambria" w:cs="Cambria" w:eastAsia="Cambria" w:hAnsi="Cambria"/>
          <w:i w:val="1"/>
          <w:iCs w:val="1"/>
          <w:sz w:val="20"/>
          <w:szCs w:val="20"/>
          <w:rtl w:val="0"/>
        </w:rPr>
        <w:t xml:space="preserve">Astrology and Cosmology in the World’s Religions</w:t>
      </w:r>
      <w:r w:rsidDel="00000000" w:rsidR="00000000" w:rsidRPr="00000000">
        <w:rPr>
          <w:rFonts w:ascii="Cambria" w:cs="Cambria" w:eastAsia="Cambria" w:hAnsi="Cambria"/>
          <w:sz w:val="20"/>
          <w:szCs w:val="20"/>
          <w:rtl w:val="0"/>
        </w:rPr>
        <w:t xml:space="preserve"> (New York: NYU Press, 2012), p. 148.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