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125BD20">
      <w:pPr>
        <w:rPr>
          <w:b/>
          <w:bCs/>
          <w:color w:val="000000" w:themeColor="text1"/>
          <w:sz w:val="32"/>
          <w:szCs w:val="32"/>
          <w14:textFill>
            <w14:solidFill>
              <w14:schemeClr w14:val="tx1"/>
            </w14:solidFill>
          </w14:textFill>
        </w:rPr>
      </w:pPr>
    </w:p>
    <w:p w14:paraId="4646D05C">
      <w:pPr>
        <w:rPr>
          <w:b/>
          <w:bCs/>
          <w:color w:val="000000" w:themeColor="text1"/>
          <w:sz w:val="32"/>
          <w:szCs w:val="32"/>
          <w14:textFill>
            <w14:solidFill>
              <w14:schemeClr w14:val="tx1"/>
            </w14:solidFill>
          </w14:textFill>
        </w:rPr>
      </w:pPr>
    </w:p>
    <w:p w14:paraId="0AA41F99">
      <w:pPr>
        <w:rPr>
          <w:b/>
          <w:bCs/>
          <w:color w:val="000000" w:themeColor="text1"/>
          <w:sz w:val="32"/>
          <w:szCs w:val="32"/>
          <w14:textFill>
            <w14:solidFill>
              <w14:schemeClr w14:val="tx1"/>
            </w14:solidFill>
          </w14:textFill>
        </w:rPr>
      </w:pPr>
    </w:p>
    <w:p w14:paraId="7516DBB5">
      <w:pPr>
        <w:rPr>
          <w:b/>
          <w:bCs/>
          <w:color w:val="000000" w:themeColor="text1"/>
          <w:sz w:val="32"/>
          <w:szCs w:val="32"/>
          <w14:textFill>
            <w14:solidFill>
              <w14:schemeClr w14:val="tx1"/>
            </w14:solidFill>
          </w14:textFill>
        </w:rPr>
      </w:pPr>
    </w:p>
    <w:p w14:paraId="1D81DDF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drawing>
          <wp:anchor distT="0" distB="0" distL="114300" distR="114300" simplePos="0" relativeHeight="251660288"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t>Assignment Title: Ethical Hacking</w:t>
      </w:r>
    </w:p>
    <w:p w14:paraId="3DDBFD57">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Student Number: 2434330</w:t>
      </w:r>
    </w:p>
    <w:p w14:paraId="3B92B7E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Ishika Pravinbhai Shiyani</w:t>
      </w:r>
    </w:p>
    <w:p w14:paraId="06A66686">
      <w:pPr>
        <w:spacing w:after="0" w:line="360" w:lineRule="auto"/>
        <w:rPr>
          <w:b/>
          <w:bCs/>
          <w:color w:val="000000" w:themeColor="text1"/>
          <w:sz w:val="32"/>
          <w:szCs w:val="32"/>
          <w:lang w:val="en-GB"/>
          <w14:textFill>
            <w14:solidFill>
              <w14:schemeClr w14:val="tx1"/>
            </w14:solidFill>
          </w14:textFill>
        </w:rPr>
      </w:pPr>
      <w:r>
        <w:rPr>
          <w:b/>
          <w:bCs/>
          <w:color w:val="000000" w:themeColor="text1"/>
          <w:sz w:val="32"/>
          <w:szCs w:val="32"/>
          <w14:textFill>
            <w14:solidFill>
              <w14:schemeClr w14:val="tx1"/>
            </w14:solidFill>
          </w14:textFill>
        </w:rPr>
        <w:t>Module: MSc Cybersecurity and Digital Forensics</w:t>
      </w:r>
    </w:p>
    <w:p w14:paraId="38B7E657">
      <w:pPr>
        <w:spacing w:after="0" w:line="360" w:lineRule="auto"/>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Module Code: ACCA7033</w:t>
      </w:r>
    </w:p>
    <w:p w14:paraId="020C7246">
      <w:pPr>
        <w:spacing w:after="0" w:line="360" w:lineRule="auto"/>
      </w:pPr>
      <w:r>
        <w:rPr>
          <w:b/>
          <w:bCs/>
          <w:color w:val="000000" w:themeColor="text1"/>
          <w:sz w:val="32"/>
          <w:szCs w:val="32"/>
          <w14:textFill>
            <w14:solidFill>
              <w14:schemeClr w14:val="tx1"/>
            </w14:solidFill>
          </w14:textFill>
        </w:rPr>
        <w:t>Lecturer: Dr. Mohamed Ghanem</w:t>
      </w:r>
    </w:p>
    <w:p w14:paraId="328892A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Internal Verifier: Munyaradzi Murira</w:t>
      </w:r>
    </w:p>
    <w:p w14:paraId="12C24598">
      <w:pPr>
        <w:rPr>
          <w:rFonts w:ascii="Times New Roman" w:hAnsi="Times New Roman" w:eastAsia="Times New Roman" w:cs="Times New Roman"/>
          <w:color w:val="000000" w:themeColor="text1"/>
          <w:kern w:val="0"/>
          <w:sz w:val="24"/>
          <w:szCs w:val="24"/>
          <w14:textFill>
            <w14:solidFill>
              <w14:schemeClr w14:val="tx1"/>
            </w14:solidFill>
          </w14:textFill>
        </w:rPr>
      </w:pPr>
      <w:r>
        <w:rPr>
          <w:color w:val="000000" w:themeColor="text1"/>
          <w14:textFill>
            <w14:solidFill>
              <w14:schemeClr w14:val="tx1"/>
            </w14:solidFill>
          </w14:textFill>
        </w:rPr>
        <w:br w:type="page"/>
      </w:r>
    </w:p>
    <w:sdt>
      <w:sdtPr>
        <w:rPr>
          <w:rFonts w:ascii="Times New Roman" w:hAnsi="Times New Roman" w:cs="Times New Roman" w:eastAsiaTheme="minorHAnsi"/>
          <w:color w:val="000000" w:themeColor="text1"/>
          <w:kern w:val="2"/>
          <w:sz w:val="24"/>
          <w:szCs w:val="24"/>
          <w14:textFill>
            <w14:solidFill>
              <w14:schemeClr w14:val="tx1"/>
            </w14:solidFill>
          </w14:textFill>
          <w14:ligatures w14:val="standardContextual"/>
        </w:rPr>
        <w:id w:val="-324975642"/>
        <w:docPartObj>
          <w:docPartGallery w:val="Table of Contents"/>
          <w:docPartUnique/>
        </w:docPartObj>
      </w:sdtPr>
      <w:sdtEndPr>
        <w:rPr>
          <w:rFonts w:ascii="Times New Roman" w:hAnsi="Times New Roman" w:cs="Times New Roman" w:eastAsiaTheme="minorHAnsi"/>
          <w:b/>
          <w:bCs/>
          <w:color w:val="000000" w:themeColor="text1"/>
          <w:kern w:val="2"/>
          <w:sz w:val="24"/>
          <w:szCs w:val="24"/>
          <w14:textFill>
            <w14:solidFill>
              <w14:schemeClr w14:val="tx1"/>
            </w14:solidFill>
          </w14:textFill>
          <w14:ligatures w14:val="standardContextual"/>
        </w:rPr>
      </w:sdtEndPr>
      <w:sdtContent>
        <w:p w14:paraId="3C3C65AA">
          <w:pPr>
            <w:pStyle w:val="13"/>
            <w:spacing w:line="360" w:lineRule="auto"/>
            <w:jc w:val="center"/>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14:paraId="4D380B74">
          <w:pPr>
            <w:pStyle w:val="10"/>
            <w:tabs>
              <w:tab w:val="right" w:leader="dot" w:pos="9350"/>
            </w:tabs>
            <w:spacing w:line="360" w:lineRule="auto"/>
            <w:jc w:val="both"/>
            <w:rPr>
              <w:rFonts w:ascii="Times New Roman" w:hAnsi="Times New Roman" w:cs="Times New Roman" w:eastAsiaTheme="minorEastAsia"/>
              <w:kern w:val="0"/>
              <w:sz w:val="24"/>
              <w14:ligatures w14:val="none"/>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"_Toc216179606" </w:instrText>
          </w:r>
          <w:r>
            <w:fldChar w:fldCharType="separate"/>
          </w:r>
          <w:r>
            <w:rPr>
              <w:rStyle w:val="7"/>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_Toc216179606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7A1C367B">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"_Toc216179607" </w:instrText>
          </w:r>
          <w:r>
            <w:fldChar w:fldCharType="separate"/>
          </w:r>
          <w:r>
            <w:rPr>
              <w:rStyle w:val="7"/>
              <w:rFonts w:ascii="Times New Roman" w:hAnsi="Times New Roman" w:eastAsia="Times New Roman" w:cs="Times New Roman"/>
              <w:sz w:val="24"/>
            </w:rPr>
            <w:t>Task 1: Strategic Threat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_Toc216179607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14:paraId="2763089E">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"_Toc216179608" </w:instrText>
          </w:r>
          <w:r>
            <w:fldChar w:fldCharType="separate"/>
          </w:r>
          <w:r>
            <w:rPr>
              <w:rStyle w:val="7"/>
              <w:rFonts w:ascii="Times New Roman" w:hAnsi="Times New Roman" w:eastAsia="Times New Roman" w:cs="Times New Roman"/>
              <w:sz w:val="24"/>
            </w:rPr>
            <w:t>Task 2: Red Team Engagement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_Toc216179608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14:paraId="1D4E59A9">
          <w:pPr>
            <w:pStyle w:val="10"/>
            <w:tabs>
              <w:tab w:val="right" w:leader="dot" w:pos="9350"/>
            </w:tabs>
            <w:spacing w:line="360" w:lineRule="auto"/>
            <w:jc w:val="both"/>
            <w:rPr>
              <w:rFonts w:ascii="Times New Roman" w:hAnsi="Times New Roman" w:cs="Times New Roman" w:eastAsiaTheme="minorEastAsia"/>
              <w:kern w:val="0"/>
              <w:sz w:val="24"/>
              <w14:ligatures w14:val="none"/>
            </w:rPr>
          </w:pPr>
          <w:r>
            <w:fldChar w:fldCharType="begin"/>
          </w:r>
          <w:r>
            <w:instrText xml:space="preserve"> HYPERLINK \l "_Toc216179609" </w:instrText>
          </w:r>
          <w:r>
            <w:fldChar w:fldCharType="separate"/>
          </w:r>
          <w:r>
            <w:rPr>
              <w:rStyle w:val="7"/>
              <w:rFonts w:ascii="Times New Roman" w:hAnsi="Times New Roman" w:eastAsia="Times New Roman" w:cs="Times New Roman"/>
              <w:sz w:val="24"/>
            </w:rPr>
            <w:t>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_Toc216179609 \h </w:instrText>
          </w:r>
          <w:r>
            <w:rPr>
              <w:rFonts w:ascii="Times New Roman" w:hAnsi="Times New Roman" w:cs="Times New Roman"/>
              <w:sz w:val="24"/>
            </w:rPr>
            <w:fldChar w:fldCharType="separate"/>
          </w:r>
          <w:r>
            <w:rPr>
              <w:rFonts w:ascii="Times New Roman" w:hAnsi="Times New Roman" w:cs="Times New Roman"/>
              <w:sz w:val="24"/>
            </w:rPr>
            <w:t>23</w:t>
          </w:r>
          <w:r>
            <w:rPr>
              <w:rFonts w:ascii="Times New Roman" w:hAnsi="Times New Roman" w:cs="Times New Roman"/>
              <w:sz w:val="24"/>
            </w:rPr>
            <w:fldChar w:fldCharType="end"/>
          </w:r>
          <w:r>
            <w:rPr>
              <w:rFonts w:ascii="Times New Roman" w:hAnsi="Times New Roman" w:cs="Times New Roman"/>
              <w:sz w:val="24"/>
            </w:rPr>
            <w:fldChar w:fldCharType="end"/>
          </w:r>
        </w:p>
        <w:p w14:paraId="61D26E13">
          <w:pPr>
            <w:pStyle w:val="10"/>
            <w:tabs>
              <w:tab w:val="right" w:leader="dot" w:pos="9350"/>
            </w:tabs>
            <w:spacing w:line="360" w:lineRule="auto"/>
            <w:jc w:val="both"/>
            <w:rPr>
              <w:rFonts w:eastAsiaTheme="minorEastAsia"/>
              <w:kern w:val="0"/>
              <w14:ligatures w14:val="none"/>
            </w:rPr>
          </w:pPr>
          <w:r>
            <w:fldChar w:fldCharType="begin"/>
          </w:r>
          <w:r>
            <w:instrText xml:space="preserve"> HYPERLINK \l "_Toc216179610" </w:instrText>
          </w:r>
          <w:r>
            <w:fldChar w:fldCharType="separate"/>
          </w:r>
          <w:r>
            <w:rPr>
              <w:rStyle w:val="7"/>
              <w:rFonts w:ascii="Times New Roman" w:hAnsi="Times New Roman" w:eastAsia="Times New Roman" w:cs="Times New Roman"/>
              <w:sz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_Toc216179610 \h </w:instrText>
          </w:r>
          <w:r>
            <w:rPr>
              <w:rFonts w:ascii="Times New Roman" w:hAnsi="Times New Roman" w:cs="Times New Roman"/>
              <w:sz w:val="24"/>
            </w:rPr>
            <w:fldChar w:fldCharType="separate"/>
          </w:r>
          <w:r>
            <w:rPr>
              <w:rFonts w:ascii="Times New Roman" w:hAnsi="Times New Roman" w:cs="Times New Roman"/>
              <w:sz w:val="24"/>
            </w:rPr>
            <w:t>25</w:t>
          </w:r>
          <w:r>
            <w:rPr>
              <w:rFonts w:ascii="Times New Roman" w:hAnsi="Times New Roman" w:cs="Times New Roman"/>
              <w:sz w:val="24"/>
            </w:rPr>
            <w:fldChar w:fldCharType="end"/>
          </w:r>
          <w:r>
            <w:rPr>
              <w:rFonts w:ascii="Times New Roman" w:hAnsi="Times New Roman" w:cs="Times New Roman"/>
              <w:sz w:val="24"/>
            </w:rPr>
            <w:fldChar w:fldCharType="end"/>
          </w:r>
        </w:p>
        <w:p w14:paraId="741505A5">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14:paraId="5CA18A05">
      <w:pPr>
        <w:pStyle w:val="8"/>
        <w:jc w:val="center"/>
        <w:rPr>
          <w:color w:val="000000" w:themeColor="text1"/>
          <w14:textFill>
            <w14:solidFill>
              <w14:schemeClr w14:val="tx1"/>
            </w14:solidFill>
          </w14:textFill>
        </w:rPr>
      </w:pPr>
    </w:p>
    <w:p w14:paraId="2FBABD37">
      <w:pPr>
        <w:rPr>
          <w:rFonts w:ascii="Times New Roman" w:hAnsi="Times New Roman" w:eastAsia="Times New Roman" w:cs="Times New Roman"/>
          <w:color w:val="000000" w:themeColor="text1"/>
          <w:kern w:val="0"/>
          <w:sz w:val="24"/>
          <w:szCs w:val="24"/>
          <w14:textFill>
            <w14:solidFill>
              <w14:schemeClr w14:val="tx1"/>
            </w14:solidFill>
          </w14:textFill>
        </w:rPr>
      </w:pPr>
      <w:r>
        <w:rPr>
          <w:color w:val="000000" w:themeColor="text1"/>
          <w14:textFill>
            <w14:solidFill>
              <w14:schemeClr w14:val="tx1"/>
            </w14:solidFill>
          </w14:textFill>
        </w:rPr>
        <w:br w:type="page"/>
      </w:r>
    </w:p>
    <w:p w14:paraId="0A5D62E4">
      <w:pPr>
        <w:spacing w:before="100" w:beforeAutospacing="1" w:after="100" w:afterAutospacing="1" w:line="24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Abstract</w:t>
      </w:r>
    </w:p>
    <w:p w14:paraId="090E2CF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present report assesses the cybersecurity posture of Cureton Pharmaceutical Company (CPC) based on a simulated red team exercise, which is aimed to test CPC defenses against a complex Advanced Persistent Threat (APT) attack. Using the MITRE ATT&amp;CK framework, the red team used a number of tactics such as phishing, lateral movement, privilege escalation, and data exfiltration. The results point to serious security weak points of email, network segmentation, and endpoint detection. On the basis of these findings, the report offers strategic advice on how to improve the defenses of CPC, which will make it have a stronger and more active approach to cybersecurity in the future.</w:t>
      </w:r>
    </w:p>
    <w:p w14:paraId="4B2C5770">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3BA78D96">
      <w:pPr>
        <w:pStyle w:val="2"/>
        <w:rPr>
          <w:rFonts w:eastAsia="Times New Roman"/>
        </w:rPr>
      </w:pPr>
      <w:bookmarkStart w:id="0" w:name="_Toc216179606"/>
      <w:r>
        <w:t>Introduction</w:t>
      </w:r>
      <w:bookmarkEnd w:id="0"/>
    </w:p>
    <w:p w14:paraId="533B593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current landscape of cybersecurity threats is changing very fast and as such, organizations, particularly those in the high-risk industry as witnessed in healthcare and pharmaceuticals, need to implement a strong security system. Among the recent trends that have been the most troubling is the increasing prevalence of ransomware attacks that affect vital infrastructures, steal valuable information, and disrupt normal business. These attacks have been made more sophisticated and they normally consist of advanced persistent threats (APTs) that mimic the tactics, techniques and procedures (TTPs) of actual adversaries. The present report is devoted to Inotiv, a pharmaceutical research firm, which fell victim to a ransomware attack in August 2025. The violation leaked more than 176 GB of personal information, such as intellectual property and employee details, and underscored the fact that the company had serious weaknesses in its cybersecurity. This was implemented by the Qilin Gang, a well-known cybercriminal, which used phishing emails as a prelude to the main attack, which was the theft of data and the encryption of the system after gaining access.The aim of the report is a two-fold, as it will prepare strategic threat analysis of the Inotiv ransomware breach, plotting the attack per the MITRE ATT&amp;CK Framework and examining the core elements of the breach. Second, this report will present a list of strategic recommendations that will be used to prevent the recurrence of a similar attack in the future. The recommendations are aimed at enhancing the technical defenses, enhancing cybersecurity awareness, and introducing proactive response to risk management as a method of dealing with advanced cyber threats. This report intends to offer an all-inclusive view of how organizations can be better defended against the dynamic cyber threats especially in the pharmaceutical and healthcare industry whose stakes are very high through critically evaluating the incident and offering actionable insights to the matter.</w:t>
      </w:r>
    </w:p>
    <w:p w14:paraId="25EF7548">
      <w:pPr>
        <w:pStyle w:val="2"/>
        <w:rPr>
          <w:rFonts w:eastAsia="Times New Roman"/>
        </w:rPr>
      </w:pPr>
      <w:bookmarkStart w:id="1" w:name="_Toc216179607"/>
      <w:r>
        <w:rPr>
          <w:rFonts w:eastAsia="Times New Roman"/>
        </w:rPr>
        <w:t>Task 1: Strategic Threat Analysis</w:t>
      </w:r>
      <w:bookmarkEnd w:id="1"/>
    </w:p>
    <w:p w14:paraId="2A22A2A4">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1</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Overview of Recent Cybersecurity Attack</w:t>
      </w:r>
    </w:p>
    <w:p w14:paraId="57A3284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In August 2025, the Inotiv pharmaceutical research company fell victim to a ransomware attack organized by the Qilin Gang, a highly organized cybercriminal organization with a history of attacking the high value industries. The intrusion led to the theft of more than 176 GB of data, including 162,000 files with sensitive intellectual property, research data and employee information. The attack entry point was a phishing campaign because Inotiv employee employees received fraudulent emails through the mail, which contained malicious attachments that were intended to take advantage of the existing vulnerabilities in the email protection of the company. After accessing the network, the attackers elevated their privileges and traveled laterally through the hybrid environment of the organization that consisted of on-premises networks of the Active Directory and an AWS Virtual Private Cloud (VPC) containing clinical trial data. The attackers used ransomware to encrypt important files, in effect putting the access to important research and operational data out of reach (Yulianto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 xml:space="preserve">et al.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2025). The systems used by Inotiv were brought down leading to a major operational hitch and a fairly good financial blow. Also, the hackers threatened to spread the stolen information publicly unless they received a ransom. This attack shows the weakness of the healthcare and pharmaceutical institutions, in which the sensitive information and intellectual property are the most sought-after victims by the intruders aiming to achieve the profit on the ransomware attacks (Georgiadou, Mouzakitis and Askounis, 2021).</w:t>
      </w:r>
    </w:p>
    <w:p w14:paraId="4F627EB5">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1</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Mapping the Attack to the MITRE ATT&amp;CK® Framework</w:t>
      </w:r>
    </w:p>
    <w:tbl>
      <w:tblPr>
        <w:tblStyle w:val="1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616"/>
        <w:gridCol w:w="1804"/>
        <w:gridCol w:w="1711"/>
        <w:gridCol w:w="4445"/>
      </w:tblGrid>
      <w:tr w14:paraId="7884170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5753ED3">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Tactic</w:t>
            </w:r>
          </w:p>
        </w:tc>
        <w:tc>
          <w:tcPr>
            <w:tcW w:w="0" w:type="auto"/>
          </w:tcPr>
          <w:p w14:paraId="1DF7EDDC">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Technique</w:t>
            </w:r>
          </w:p>
        </w:tc>
        <w:tc>
          <w:tcPr>
            <w:tcW w:w="0" w:type="auto"/>
          </w:tcPr>
          <w:p w14:paraId="4B6CD628">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MITRE ATT&amp;CK® ID</w:t>
            </w:r>
          </w:p>
        </w:tc>
        <w:tc>
          <w:tcPr>
            <w:tcW w:w="0" w:type="auto"/>
          </w:tcPr>
          <w:p w14:paraId="29609014">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Description</w:t>
            </w:r>
          </w:p>
        </w:tc>
      </w:tr>
      <w:tr w14:paraId="128D94A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E7501A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Initial Access</w:t>
            </w:r>
          </w:p>
        </w:tc>
        <w:tc>
          <w:tcPr>
            <w:tcW w:w="0" w:type="auto"/>
          </w:tcPr>
          <w:p w14:paraId="69CD127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Phishing Emails</w:t>
            </w:r>
          </w:p>
        </w:tc>
        <w:tc>
          <w:tcPr>
            <w:tcW w:w="0" w:type="auto"/>
          </w:tcPr>
          <w:p w14:paraId="7B4B803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T1071</w:t>
            </w:r>
          </w:p>
        </w:tc>
        <w:tc>
          <w:tcPr>
            <w:tcW w:w="0" w:type="auto"/>
          </w:tcPr>
          <w:p w14:paraId="1A82449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phishing emails with malicious attachments to gain initial access to Inotiv’s network.</w:t>
            </w:r>
          </w:p>
        </w:tc>
      </w:tr>
      <w:tr w14:paraId="6EFA902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C8C3E3A">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Execution</w:t>
            </w:r>
          </w:p>
        </w:tc>
        <w:tc>
          <w:tcPr>
            <w:tcW w:w="0" w:type="auto"/>
          </w:tcPr>
          <w:p w14:paraId="0B3C316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PowerShell</w:t>
            </w:r>
          </w:p>
        </w:tc>
        <w:tc>
          <w:tcPr>
            <w:tcW w:w="0" w:type="auto"/>
          </w:tcPr>
          <w:p w14:paraId="1F41143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T1059</w:t>
            </w:r>
          </w:p>
        </w:tc>
        <w:tc>
          <w:tcPr>
            <w:tcW w:w="0" w:type="auto"/>
          </w:tcPr>
          <w:p w14:paraId="1EB05D5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attackers to execute commands on compromised systems and further escalate the attack used PowerShell.</w:t>
            </w:r>
          </w:p>
        </w:tc>
      </w:tr>
      <w:tr w14:paraId="15E0E36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D78FA1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Persistence</w:t>
            </w:r>
          </w:p>
        </w:tc>
        <w:tc>
          <w:tcPr>
            <w:tcW w:w="0" w:type="auto"/>
          </w:tcPr>
          <w:p w14:paraId="451E262F">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Scheduled Task/Job</w:t>
            </w:r>
          </w:p>
        </w:tc>
        <w:tc>
          <w:tcPr>
            <w:tcW w:w="0" w:type="auto"/>
          </w:tcPr>
          <w:p w14:paraId="30ABA1E8">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T1098</w:t>
            </w:r>
          </w:p>
        </w:tc>
        <w:tc>
          <w:tcPr>
            <w:tcW w:w="0" w:type="auto"/>
          </w:tcPr>
          <w:p w14:paraId="436F0A0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created scheduled tasks to ensure persistent access to the compromised systems even after reboot.</w:t>
            </w:r>
          </w:p>
        </w:tc>
      </w:tr>
      <w:tr w14:paraId="3455BB0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F816C2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Privilege Escalation</w:t>
            </w:r>
          </w:p>
        </w:tc>
        <w:tc>
          <w:tcPr>
            <w:tcW w:w="0" w:type="auto"/>
          </w:tcPr>
          <w:p w14:paraId="531E8CF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Valid Accounts</w:t>
            </w:r>
          </w:p>
        </w:tc>
        <w:tc>
          <w:tcPr>
            <w:tcW w:w="0" w:type="auto"/>
          </w:tcPr>
          <w:p w14:paraId="56131BE0">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T1078</w:t>
            </w:r>
          </w:p>
        </w:tc>
        <w:tc>
          <w:tcPr>
            <w:tcW w:w="0" w:type="auto"/>
          </w:tcPr>
          <w:p w14:paraId="36213E0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valid credentials obtained through phishing to escalate privileges and gain access to additional systems within the network.</w:t>
            </w:r>
          </w:p>
        </w:tc>
      </w:tr>
      <w:tr w14:paraId="0C13AF7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7F5F57B">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Defense Evasion</w:t>
            </w:r>
          </w:p>
        </w:tc>
        <w:tc>
          <w:tcPr>
            <w:tcW w:w="0" w:type="auto"/>
          </w:tcPr>
          <w:p w14:paraId="11D7510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Obfuscated Files or Information</w:t>
            </w:r>
          </w:p>
        </w:tc>
        <w:tc>
          <w:tcPr>
            <w:tcW w:w="0" w:type="auto"/>
          </w:tcPr>
          <w:p w14:paraId="0C4BDE6C">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T1027</w:t>
            </w:r>
          </w:p>
        </w:tc>
        <w:tc>
          <w:tcPr>
            <w:tcW w:w="0" w:type="auto"/>
          </w:tcPr>
          <w:p w14:paraId="55A09226">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obfuscated files and scripts to evade detection, employing legitimate tools like PowerShell to avoid triggering security defenses.</w:t>
            </w:r>
          </w:p>
        </w:tc>
      </w:tr>
      <w:tr w14:paraId="1A58D57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A405FF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Credential Dumping</w:t>
            </w:r>
          </w:p>
        </w:tc>
        <w:tc>
          <w:tcPr>
            <w:tcW w:w="0" w:type="auto"/>
          </w:tcPr>
          <w:p w14:paraId="42AF90B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Credential Dumping</w:t>
            </w:r>
          </w:p>
        </w:tc>
        <w:tc>
          <w:tcPr>
            <w:tcW w:w="0" w:type="auto"/>
          </w:tcPr>
          <w:p w14:paraId="644F25C6">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T1003</w:t>
            </w:r>
          </w:p>
        </w:tc>
        <w:tc>
          <w:tcPr>
            <w:tcW w:w="0" w:type="auto"/>
          </w:tcPr>
          <w:p w14:paraId="4B691BB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Tools like Mimikatz were likely used to dump credentials from compromised systems, enabling further lateral movement.</w:t>
            </w:r>
          </w:p>
        </w:tc>
      </w:tr>
      <w:tr w14:paraId="08E23DA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D02AAA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Lateral Movement</w:t>
            </w:r>
          </w:p>
        </w:tc>
        <w:tc>
          <w:tcPr>
            <w:tcW w:w="0" w:type="auto"/>
          </w:tcPr>
          <w:p w14:paraId="4A59696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Remote Desktop Protocol (RDP)</w:t>
            </w:r>
          </w:p>
        </w:tc>
        <w:tc>
          <w:tcPr>
            <w:tcW w:w="0" w:type="auto"/>
          </w:tcPr>
          <w:p w14:paraId="632DC971">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T1076</w:t>
            </w:r>
          </w:p>
        </w:tc>
        <w:tc>
          <w:tcPr>
            <w:tcW w:w="0" w:type="auto"/>
          </w:tcPr>
          <w:p w14:paraId="6E95EE42">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leveraged RDP to move laterally within the network, gaining access to more systems.</w:t>
            </w:r>
          </w:p>
        </w:tc>
      </w:tr>
      <w:tr w14:paraId="177A34D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A6339C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Collection</w:t>
            </w:r>
          </w:p>
        </w:tc>
        <w:tc>
          <w:tcPr>
            <w:tcW w:w="0" w:type="auto"/>
          </w:tcPr>
          <w:p w14:paraId="7BAD7863">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Automated Collection</w:t>
            </w:r>
          </w:p>
        </w:tc>
        <w:tc>
          <w:tcPr>
            <w:tcW w:w="0" w:type="auto"/>
          </w:tcPr>
          <w:p w14:paraId="48F06507">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T1119</w:t>
            </w:r>
          </w:p>
        </w:tc>
        <w:tc>
          <w:tcPr>
            <w:tcW w:w="0" w:type="auto"/>
          </w:tcPr>
          <w:p w14:paraId="49608925">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Attackers used Windows Management Instrumentation (WMI) and other built-in tools to collect sensitive research data and intellectual property.</w:t>
            </w:r>
          </w:p>
        </w:tc>
      </w:tr>
      <w:tr w14:paraId="35C4D37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64A2B98">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Exfiltration</w:t>
            </w:r>
          </w:p>
        </w:tc>
        <w:tc>
          <w:tcPr>
            <w:tcW w:w="0" w:type="auto"/>
          </w:tcPr>
          <w:p w14:paraId="267739F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Over C2 Channel</w:t>
            </w:r>
          </w:p>
        </w:tc>
        <w:tc>
          <w:tcPr>
            <w:tcW w:w="0" w:type="auto"/>
          </w:tcPr>
          <w:p w14:paraId="46F87B99">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T1041</w:t>
            </w:r>
          </w:p>
        </w:tc>
        <w:tc>
          <w:tcPr>
            <w:tcW w:w="0" w:type="auto"/>
          </w:tcPr>
          <w:p w14:paraId="45AA6A82">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stolen data was exfiltrated through a Command and Control (C2) channel to an external server controlled by the attackers.</w:t>
            </w:r>
          </w:p>
        </w:tc>
      </w:tr>
      <w:tr w14:paraId="1DE9003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AF17F0E">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Impact</w:t>
            </w:r>
          </w:p>
        </w:tc>
        <w:tc>
          <w:tcPr>
            <w:tcW w:w="0" w:type="auto"/>
          </w:tcPr>
          <w:p w14:paraId="7DA41B77">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Data Encrypted for Impact</w:t>
            </w:r>
          </w:p>
        </w:tc>
        <w:tc>
          <w:tcPr>
            <w:tcW w:w="0" w:type="auto"/>
          </w:tcPr>
          <w:p w14:paraId="1BBEAD34">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T1486</w:t>
            </w:r>
          </w:p>
        </w:tc>
        <w:tc>
          <w:tcPr>
            <w:tcW w:w="0" w:type="auto"/>
          </w:tcPr>
          <w:p w14:paraId="7D0758DD">
            <w:pPr>
              <w:spacing w:after="0"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Ransomware was deployed to encrypt critical data, rendering it inaccessible and demanding a ransom for decryption.</w:t>
            </w:r>
          </w:p>
        </w:tc>
      </w:tr>
    </w:tbl>
    <w:p w14:paraId="50934F90">
      <w:pPr>
        <w:spacing w:before="100" w:beforeAutospacing="1" w:after="100" w:afterAutospacing="1" w:line="24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Table 1: MITRE ATT&amp;CK® tactics and technique</w:t>
      </w:r>
    </w:p>
    <w:p w14:paraId="1EE5A53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Inotiv ransomware attack was a sequence of complex tactics and methods as plotted to</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MITRE ATT&amp;CK Framework. Human error provided an initial access to the network by the attackers using phishing emails (T1071). They were executed using PowerShell (T1059) and persisted using scheduled tasks (T1098). They expanded their privileges with valid accounts (T1078) gained after phishing and transferred laterally in the network with RDP (T1076). The attackers used obfuscated files (T1027), and credential dumping (T1003) to obtain sensitive information in order to avoid detection. They gathered information by use of WMI (T1119) and leaked it out through a C2 channel (T1041). Lastly, they used ransomware (T1486) to encrypt important files, and offered ransom in order to decrypt (Van Buggenhout, 2024). All these techniques underscore the sophisticated nature of the attackers as they used human and technical exploits to weaken the organization defenses.</w:t>
      </w:r>
    </w:p>
    <w:p w14:paraId="10A3D52D">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1</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Root Cause Analysis</w:t>
      </w:r>
    </w:p>
    <w:p w14:paraId="52BB14E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Inotiv ransomware attack is an advanced intrusion that takes advantage of a human factor, technical and a compromise on cybersecurity measures. The reasons that led to the attack lie in some major factors which enable the attackers to intrude, conduct the movement laterally and steal sensitive data with relative ease.</w:t>
      </w:r>
    </w:p>
    <w:p w14:paraId="6FF8EDA6">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Inadequate Awareness and Human Error</w:t>
      </w:r>
    </w:p>
    <w:p w14:paraId="1BEF7D9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originates with a phishing attack, in which the attackers send conflicting emails containing harmful attachments and by using loopholes in the email security of Inotiv. Phishing remains among the most frequently used attack vectors and its effectiveness depends on the awareness of the employees to a significant extent. The phishing emails do not go through security filters implying that the employees have not been trained sufficiently to identify such attacks (Peltola, 2025). Even though Inotiv might have email security systems, it could be assumed that the absence of training of its employees in detecting phishing cases poses a serious vulnerability. By clicking on the unscrupulous links or downloading poisonous attachments, employees inadvertently leave the gate open to the assailants.</w:t>
      </w:r>
    </w:p>
    <w:p w14:paraId="2873BBED">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Poor Email security and Filtration.</w:t>
      </w:r>
    </w:p>
    <w:p w14:paraId="5FBD248B">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Inotiv does not have a robust email security system that can prevent advanced phishing attacks despite the threats associated with phishing. Higher phishing schemes tend to employ customized messages which bypass the conventional spam and antivirus programs. It can be argued that the attackers were able to send malicious emails to employees which indicates that email filtering systems installed at Inotiv do not work entirely to detect such malicious emails. The use of outpaced or poorly working email security technologies leaves a major rift through which attackers can gain access to the network.</w:t>
      </w:r>
    </w:p>
    <w:p w14:paraId="3DDDDE84">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23055A7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Weak Network Segmentation and Micro-Segmentation.</w:t>
      </w:r>
    </w:p>
    <w:p w14:paraId="32EAB751">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After gaining access to the network, attackers can move laterally through the infrastructure of Inotiv and compromise key systems. Such a lateral motion takes place because of poor network segmentation and lack of micro-segmentation between sensitive and non-sensitive parts of the network (Sreejith and Swarup, 2024). The attackers can upgrade privileges and steal sensitive research data because systems are interconnected. Better network segmentation would decrease the lateral movement and prevent the attackers to develop their assault further.</w:t>
      </w:r>
    </w:p>
    <w:p w14:paraId="75DB51D6">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 Weak Endpoint Protection and Avoidance of Detection.</w:t>
      </w:r>
    </w:p>
    <w:p w14:paraId="0D80626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Hackers make use of the legal utilities of PowerShell and Windows Management Instrumentation (WMI) to run commands on the compromised systems and hence they are able to avoid any detection. This method is referred to as Living-Off-the-Land Binaries (LOLBins) which allows an attacker to execute the attack without raising the alarm of the endpoint security systems. These built-in tools may remain unspotted by the attackers because of the absence of effective Endpoint Detection and Response (EDR) solutions. More sophisticated EDR systems would be able to detect suspicious activity and signal security teams more promptly, which may be the way to stop the attack (Al-Sada, Sadighian and Oligeri, 2023).</w:t>
      </w:r>
    </w:p>
    <w:p w14:paraId="0EF6C58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5. Expired Patching and Vulnerability Management</w:t>
      </w:r>
    </w:p>
    <w:p w14:paraId="05E27F1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hackers use known vulnerabilities in the systems of Inotiv indicating a patch management and vulnerability management failing. The unpatched systems are a major security risk since they are frequently the target of cybercriminals, who will exploit the established vulnerability in software and operating systems. Inotiv is vulnerable to exploitation because there is no effective and timely patching process (Rajesh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2022). These vulnerabilities present a critical threat to ensure that the attackers do not take advantage of them. It is important to address them by ensuring that the patch management process is done regularly.</w:t>
      </w:r>
    </w:p>
    <w:p w14:paraId="7835D6A4">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1</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 Strategic Recommendations for Prevention and Detection</w:t>
      </w:r>
    </w:p>
    <w:p w14:paraId="685DF86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In order to avert such cases of ransomware attacks as was experienced by Inotiv, a multi-layered method of cybersecurity is necessary. Such a strategy must focus on human factors, technical vulnerabilities and defensive measures to make sure that such an organization is able to detect and prevent and respond well to the potential threats. The below strategic suggestions are essential in enhancing the cybersecurity position of Inotiv.</w:t>
      </w:r>
    </w:p>
    <w:p w14:paraId="2AEF108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Enhance Email security and Anti-Phishing</w:t>
      </w:r>
    </w:p>
    <w:p w14:paraId="7B31658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phishing attack that had caused the Inotiv breach highlights the necessity of better email security. Inotiv should address this weakness by:</w:t>
      </w:r>
    </w:p>
    <w:p w14:paraId="03A86AC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Install Modern Email Filters:</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Invest in the better email security systems, which are capable of identifying and preventing phishing, malicious attachments and links before they land in the inboxes of users. These tools ought to apply algorithms based on machine learning and AI to detect advanced tricks of social engineering.</w:t>
      </w:r>
    </w:p>
    <w:p w14:paraId="388FA6D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Implement Anti-Phishing Education:</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Organize periodic employee trainings and exercises in order to increase the awareness of employees on the subject of phishing attacks. They should educate the employees to identify suspicious emails, check on the senders, and treat the possible malicious attachments (Sawant and Chopra, 2023). Such training must be included in a continuous cybersecurity awareness program that would aid in keeping the employees on the alert of upcoming threats.</w:t>
      </w:r>
    </w:p>
    <w:p w14:paraId="0E4ABF52">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Use Multi-Factor Authentication (MFA):</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Use phishing resistant MFA in all significant systems, particularly email accounts and remote access. This will provide an added security and it will be harder to compromise stolen credentials and have access to the network unauthorised.</w:t>
      </w:r>
    </w:p>
    <w:p w14:paraId="146E3FB8">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Improve Network Segmentation and Micro-Segmentation</w:t>
      </w:r>
    </w:p>
    <w:p w14:paraId="6456334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When hackers penetrate into a network, they tend to spread laterally in order to increase their coverage. To avoid the lateral movement and prevent the effects of a breach, Inotiv needs to enhance the network segmentation:</w:t>
      </w:r>
    </w:p>
    <w:p w14:paraId="5C3F0EE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Segment Critical Systems: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Keep sensitive data and systems including research data and intellectual property off of less sensitive parts of the network. This will restrict the freedom of the attackers when they penetrate the network (Al-Sada, Sadighian and Oligeri, 2024).</w:t>
      </w:r>
    </w:p>
    <w:p w14:paraId="58B8166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Use Micro-Segmentation: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Micro-segmentation is a practice of making small and isolated areas within the network, which makes it harder to allow the attackers to propagate privileges and gain access to the critical systems. This would greatly limit movement in the network laterally, limiting the effects of any intrusion.</w:t>
      </w:r>
    </w:p>
    <w:p w14:paraId="7AADC549">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Segment-to-Segment Control: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Firewalls, intrusion detection systems (IDS), and virtual private networks (VPN) should be used to provide access control between areas of a segmented network. Traffic monitoring and strong access control will eliminate unwarranted access and minimize vulnerability to possible attacks (Jiang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1827AA49">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Implement Advanced Endpoint Detection and Response (EDR) Solutions</w:t>
      </w:r>
    </w:p>
    <w:p w14:paraId="0B3CF25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picked LOLBins such as PowerShell and WMI in order to avoid detection. To solve this, Inotiv is advised to deploy and streamline EDR solutions:</w:t>
      </w:r>
    </w:p>
    <w:p w14:paraId="14D05C88">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Deploy Next-Generation EDR Tools: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Implement next-generation EDR tools, which are aimed at tracking endpoint activities, such as the use of system tools, such as PowerShell and WMI. Such solutions must be capable of raising red flags on suspicious activities, like unauthorized access to privileged accounts or when unusual commands are executed.</w:t>
      </w:r>
    </w:p>
    <w:p w14:paraId="3291C307">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Ongoing Monitoring and Analysis of Behaviors: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EDR systems are required to employ behavioral analysis in order to identify abnormal patterns like using legitimate tools in an abnormal manner. Active surveillance should also be instituted in terms of real-time notification of security personnel in case of any indication of suspicious behaviour (Winkler and Sharma, 2025).</w:t>
      </w:r>
    </w:p>
    <w:p w14:paraId="2CA75237">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Automated Incident Response:</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These are automated incident response processes that are able to rapidly contain and mitigate attacks after they are detected. This involves isolating infected endpoints, blocking the IP addresses of malware as well as launching the investigation process.</w:t>
      </w:r>
    </w:p>
    <w:p w14:paraId="533DABDC">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4. Periodic Patching and Scanning of Vulnerability</w:t>
      </w:r>
    </w:p>
    <w:p w14:paraId="3FF23557">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attack has taken advantage of the vulnerabilities that are familiar which underscores the need to uphold the process of patching:</w:t>
      </w:r>
    </w:p>
    <w:p w14:paraId="5AC38F4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Create a Comprehensive Patch Management Program: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Have a well-organized and automated patch management program so that the operating system, applications and network device security patches are installed in a timely manner. Patching should be done regularly to seal the vulnerabilities that are known to avoid exploitation by attackers (Maleh, 2025).</w:t>
      </w:r>
    </w:p>
    <w:p w14:paraId="2BE52232">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Perform Frequent Vulnerability Scanning: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Automated vulnerability scanning tools can be used to determine the vulnerabilities of the network infrastructure. These scans must be done on a regular basis with special attention on key systems and high-risk use. After identifying the vulnerabilities, there should be remediation plan to prevent the vulnerabilities in time.</w:t>
      </w:r>
    </w:p>
    <w:p w14:paraId="753DA523">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 xml:space="preserve">Take Advantage of Zero-Day Protection Tools: </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With zero-day exploit protection, one can identify and stop the threats that are based on vulnerabilities that have not been patched or reported yet. This can be used to reduce the threat of vulnerabilities that have been discovered.</w:t>
      </w:r>
    </w:p>
    <w:p w14:paraId="447853BB">
      <w:pPr>
        <w:pStyle w:val="2"/>
        <w:rPr>
          <w:rFonts w:eastAsia="Times New Roman"/>
        </w:rPr>
      </w:pPr>
      <w:bookmarkStart w:id="2" w:name="_Toc216179608"/>
      <w:r>
        <w:rPr>
          <w:rFonts w:eastAsia="Times New Roman"/>
        </w:rPr>
        <w:t>Task 2: Red Team Engagement</w:t>
      </w:r>
      <w:bookmarkEnd w:id="2"/>
    </w:p>
    <w:p w14:paraId="3B9781FF">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 Campaign Design</w:t>
      </w:r>
    </w:p>
    <w:p w14:paraId="0B754BA6">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red team activity is aimed at simulating an Advanced Persistent Threat (APT) against Cureton Pharmaceutical Company (CPC). The attack will aim at simulating a complex threat actor trying to steal intellectual property and valuable research information out of the hybrid infrastructure of CPC. The interaction will be such that it simulates the defenses of CPC and finds weak points that may be used in an actual cyberattack.</w:t>
      </w:r>
    </w:p>
    <w:p w14:paraId="1556F4AA">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.1.1 Rules of Engagement (RoE)</w:t>
      </w:r>
    </w:p>
    <w:p w14:paraId="237E8BC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Rules of Engagement (RoE) are meant to enable the activities of the red team to be clear and that the testing does not go out of hand or even beyond the agreed upon boundaries. The active component will focus on the hybrid structure of CPC, which comprises of an on-premise Active Directory (AD) network that the research and development uses, an AWS Virtual Private Cloud (VPC) that is utilized to store clinical trial data, and CI/CD pipelines, including GitHub actions to deploy applications. The aim is to simulate an attacker who would be looking to steal and leak important research information without the internal defense measures noticing this.</w:t>
      </w:r>
    </w:p>
    <w:p w14:paraId="5B549BE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Ethical hacking tools and methods that the red team is allowed to use include phishing, social engineering, vulnerability exploitation, credential harvesting, and command and control (C2) frameworks, to name a few. Nevertheless, the group cannot inflict any damaging harm or perform an activity that will interfere with the business activities of CPC or lead to the loss of any actual information (Saarainen, 2021).</w:t>
      </w:r>
    </w:p>
    <w:p w14:paraId="7EF9707B">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interaction will be carried out within a period of two weeks. The objectives of the red team in the first week will be reconnaissance, initial access and persistence in the network. During the second week, the team will extend privileges, travel within the network and start exfiltrating data. The red team will maintain a consistent communication with the Blue Team of CPC so that any possible real-life incident is detected and addressed as soon as possible.</w:t>
      </w:r>
    </w:p>
    <w:p w14:paraId="067CFE9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will also have the responsibility of giving weekly progress reports on the tactics, techniques and procedures (TTPs) employed during the engagement. At the end of the engagement, the red team will present two reports: the Technical Report containing the attack chain and the gaps in detection, and the Executive Brief containing the summative of the business risks and the suggestions regarding the improvement of security defenses.</w:t>
      </w:r>
    </w:p>
    <w:p w14:paraId="6DC6FC14">
      <w:pPr>
        <w:spacing w:before="100" w:beforeAutospacing="1" w:after="100" w:afterAutospacing="1" w:line="360" w:lineRule="auto"/>
        <w:jc w:val="both"/>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.1.2 Threat Emulation Plan</w:t>
      </w:r>
    </w:p>
    <w:p w14:paraId="6CF0ADB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Threat Emulation Plan presents the red team strategy of emulating an attack on CPC, using the MITRE ATT&amp;CK Framework. The main task is to evaluate the capability of CPC to identify and react to an APT with a particular emphasis on exfiltrating valuable research information without being spotted by the current security systems.</w:t>
      </w:r>
    </w:p>
    <w:p w14:paraId="178B42D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attack will be divided into multiple stages as it will start by reconnaissance to obtain data about the infrastructure of CPC. The red team will collect open-source intelligence (OSINT) of the network, domain names, staff, and other technologies available to CPC, which will contribute to finding its possible entry points. When the initial information gathering is finished, the team will start with the initial access through launching a phishing campaign to target the CPC employees. The emails will have malicious attachments or links that can be used to carry out the attacks to exploit the email security of the organization (Virk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57AE26E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Once the initial access is successful, the red team will advance to the execution phase where they will use tools such as PowerShell or other legitimate tools of the system to run commands and gain footholds on the network. At this stage, the red team will then develop persistence, which will consist of creating timed tasks or reverse shells in order to keep in touch with the systems that have been compromised. Simultaneously, the red team will be working on privilege escalation, where they will use their vulnerabilities or credential dumping methods to be able to access the network at elevated levels.</w:t>
      </w:r>
    </w:p>
    <w:p w14:paraId="546FE6D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Once persistence is established, the red team will initiate lateral movement, which involves the application of the Remote Desktop Protocol (RDP) or Server Message Block (SMB) in order to move around the network to attack high-value properties, including clinical trial data and R&amp;D systems. The team will also assail in exfiltrating data through the C2 channels which will mimic an actual APT in exfiltration of sensitive data.</w:t>
      </w:r>
    </w:p>
    <w:p w14:paraId="244E655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During the engagement, the red team will consider evasion, and it will employ obfuscation tools and techniques such as Windows Management Instrumentation (WMI) to evade detection by Endpoint Detection and Response (EDR) systems and Security Information and Event Management (SIEM) solutions of CPC. The main objective of the red team is to go as far as possible without being detected and this imitates an advanced attack that employs the use of living-off-the-land binaries (LOLBins) and legitimate tools to compromise security measures.</w:t>
      </w:r>
    </w:p>
    <w:p w14:paraId="139DD39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of the data will be taken as the final stage of the engagement. The red team will move dummy research data of compromised systems to an outside server through the laid down C2 channels. After the exfiltration is done, the red team will make sure that it leaves no trace of their activity in the network to seal their tracks and it becomes more difficult to detect them by the Blue Team. Regarding the Tactics and Techniques, which can be aligned with the MITRE ATT &amp;CK Framework, the red team will pay attention to:</w:t>
      </w:r>
    </w:p>
    <w:tbl>
      <w:tblPr>
        <w:tblStyle w:val="11"/>
        <w:tblW w:w="0" w:type="auto"/>
        <w:jc w:val="cente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249"/>
        <w:gridCol w:w="4009"/>
        <w:gridCol w:w="2649"/>
      </w:tblGrid>
      <w:tr w14:paraId="2073854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45AFDB06">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Tactic</w:t>
            </w:r>
          </w:p>
        </w:tc>
        <w:tc>
          <w:tcPr>
            <w:tcW w:w="0" w:type="auto"/>
          </w:tcPr>
          <w:p w14:paraId="0672516C">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Technique</w:t>
            </w:r>
          </w:p>
        </w:tc>
        <w:tc>
          <w:tcPr>
            <w:tcW w:w="0" w:type="auto"/>
          </w:tcPr>
          <w:p w14:paraId="6AAA4059">
            <w:pPr>
              <w:spacing w:after="0"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MITRE ATT&amp;CK® ID</w:t>
            </w:r>
          </w:p>
        </w:tc>
      </w:tr>
      <w:tr w14:paraId="1961D4A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0ACDB531">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Initial Access</w:t>
            </w:r>
          </w:p>
        </w:tc>
        <w:tc>
          <w:tcPr>
            <w:tcW w:w="0" w:type="auto"/>
          </w:tcPr>
          <w:p w14:paraId="10ACC097">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Phishing</w:t>
            </w:r>
          </w:p>
        </w:tc>
        <w:tc>
          <w:tcPr>
            <w:tcW w:w="0" w:type="auto"/>
          </w:tcPr>
          <w:p w14:paraId="4E6525A4">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T1071</w:t>
            </w:r>
          </w:p>
        </w:tc>
      </w:tr>
      <w:tr w14:paraId="66EA931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928D15B">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Execution</w:t>
            </w:r>
          </w:p>
        </w:tc>
        <w:tc>
          <w:tcPr>
            <w:tcW w:w="0" w:type="auto"/>
          </w:tcPr>
          <w:p w14:paraId="0DF4681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PowerShell / LOLBins</w:t>
            </w:r>
          </w:p>
        </w:tc>
        <w:tc>
          <w:tcPr>
            <w:tcW w:w="0" w:type="auto"/>
          </w:tcPr>
          <w:p w14:paraId="744A7154">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T1059 / T1027</w:t>
            </w:r>
          </w:p>
        </w:tc>
      </w:tr>
      <w:tr w14:paraId="64948C4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019784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Persistence</w:t>
            </w:r>
          </w:p>
        </w:tc>
        <w:tc>
          <w:tcPr>
            <w:tcW w:w="0" w:type="auto"/>
          </w:tcPr>
          <w:p w14:paraId="7C28FC7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Scheduled Task/Job</w:t>
            </w:r>
          </w:p>
        </w:tc>
        <w:tc>
          <w:tcPr>
            <w:tcW w:w="0" w:type="auto"/>
          </w:tcPr>
          <w:p w14:paraId="4B6B0B1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T1098</w:t>
            </w:r>
          </w:p>
        </w:tc>
      </w:tr>
      <w:tr w14:paraId="05D83852">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31D6585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Privilege Escalation</w:t>
            </w:r>
          </w:p>
        </w:tc>
        <w:tc>
          <w:tcPr>
            <w:tcW w:w="0" w:type="auto"/>
          </w:tcPr>
          <w:p w14:paraId="07088FB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Valid Accounts</w:t>
            </w:r>
          </w:p>
        </w:tc>
        <w:tc>
          <w:tcPr>
            <w:tcW w:w="0" w:type="auto"/>
          </w:tcPr>
          <w:p w14:paraId="6E7E7EE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T1078</w:t>
            </w:r>
          </w:p>
        </w:tc>
      </w:tr>
      <w:tr w14:paraId="60705A3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2F55CC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Lateral Movement</w:t>
            </w:r>
          </w:p>
        </w:tc>
        <w:tc>
          <w:tcPr>
            <w:tcW w:w="0" w:type="auto"/>
          </w:tcPr>
          <w:p w14:paraId="29F45672">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RDP / SMB</w:t>
            </w:r>
          </w:p>
        </w:tc>
        <w:tc>
          <w:tcPr>
            <w:tcW w:w="0" w:type="auto"/>
          </w:tcPr>
          <w:p w14:paraId="1DA51055">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T1076 / T1021</w:t>
            </w:r>
          </w:p>
        </w:tc>
      </w:tr>
      <w:tr w14:paraId="357FB44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5141681D">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Exfiltration</w:t>
            </w:r>
          </w:p>
        </w:tc>
        <w:tc>
          <w:tcPr>
            <w:tcW w:w="0" w:type="auto"/>
          </w:tcPr>
          <w:p w14:paraId="5543F79A">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Exfiltration Over C2 Channel</w:t>
            </w:r>
          </w:p>
        </w:tc>
        <w:tc>
          <w:tcPr>
            <w:tcW w:w="0" w:type="auto"/>
          </w:tcPr>
          <w:p w14:paraId="2B7EAB55">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T1041</w:t>
            </w:r>
          </w:p>
        </w:tc>
      </w:tr>
      <w:tr w14:paraId="04CA75A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jc w:val="center"/>
        </w:trPr>
        <w:tc>
          <w:tcPr>
            <w:tcW w:w="0" w:type="auto"/>
          </w:tcPr>
          <w:p w14:paraId="7F3487F8">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Evasion</w:t>
            </w:r>
          </w:p>
        </w:tc>
        <w:tc>
          <w:tcPr>
            <w:tcW w:w="0" w:type="auto"/>
          </w:tcPr>
          <w:p w14:paraId="1D51366C">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Obfuscated Files or Information / WMI</w:t>
            </w:r>
          </w:p>
        </w:tc>
        <w:tc>
          <w:tcPr>
            <w:tcW w:w="0" w:type="auto"/>
          </w:tcPr>
          <w:p w14:paraId="4FA1947E">
            <w:pPr>
              <w:spacing w:after="0" w:line="360" w:lineRule="auto"/>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T1027 / T1047</w:t>
            </w:r>
          </w:p>
        </w:tc>
      </w:tr>
    </w:tbl>
    <w:p w14:paraId="28AFBA46">
      <w:pPr>
        <w:spacing w:before="100" w:beforeAutospacing="1" w:after="100" w:afterAutospacing="1" w:line="360" w:lineRule="auto"/>
        <w:jc w:val="cente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Table 2: Tactics and Techniques</w:t>
      </w:r>
    </w:p>
    <w:p w14:paraId="773CEC93">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Such a plan will help to simulate a real-life APT attack based on the advanced strategies that can be used to determine the efficiency of CPC defenses and identify the possible flaws that will have to be corrected.</w:t>
      </w:r>
    </w:p>
    <w:p w14:paraId="7C18BAC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 Environment &amp; Execution</w:t>
      </w:r>
    </w:p>
    <w:p w14:paraId="5BC22E19">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.2.1 Virtualized Lab Environment Design</w:t>
      </w:r>
    </w:p>
    <w:p w14:paraId="6269CBEC">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virtualized lab environment used in this red team engagement will be modelled to represent the hybrid infrastructure of Cureton Pharmaceutical Company (CPC). The environment will be represented by on-premises Active Directory (AD) networks, an AWS Virtual Private Cloud (VPC) to host the data of clinical trials, and CI/CD pipelines (e.g., GitHub Actions) to be used to deploy the application. This configuration will enable the red team to experiment with several attack vectors and mimic the dynamics of an actual attack on the systems of CPC. </w:t>
      </w:r>
    </w:p>
    <w:p w14:paraId="5B10FCE8">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3729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943600" cy="2372995"/>
                    </a:xfrm>
                    <a:prstGeom prst="rect">
                      <a:avLst/>
                    </a:prstGeom>
                  </pic:spPr>
                </pic:pic>
              </a:graphicData>
            </a:graphic>
          </wp:inline>
        </w:drawing>
      </w:r>
    </w:p>
    <w:p w14:paraId="0E2DDC1E">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 MITRE ATT&amp;CK Framework Overview</w:t>
      </w:r>
    </w:p>
    <w:p w14:paraId="3C84CC0F">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is a summary of the MITRE ATT&amp;CK Framework that shows the various tactics and techniques that the adversaries employ in cyberattacks. It identifies the major stages like Initial Access, Execution, Persistence, and Exfiltration that were witnessed in the red team engagement. This flow chart offers a formal way of tracing enemy behaviors and it is applied to evaluate the defense shortcomings and security stance.</w:t>
      </w:r>
    </w:p>
    <w:p w14:paraId="7178F7D2">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943600" cy="2324100"/>
                    </a:xfrm>
                    <a:prstGeom prst="rect">
                      <a:avLst/>
                    </a:prstGeom>
                  </pic:spPr>
                </pic:pic>
              </a:graphicData>
            </a:graphic>
          </wp:inline>
        </w:drawing>
      </w:r>
    </w:p>
    <w:p w14:paraId="0C58B3E5">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2: Phishing Email Detection</w:t>
      </w:r>
    </w:p>
    <w:p w14:paraId="2A5F98D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above figure demonstrates the example of a phishing email that was used at the stage of the attack which is the Initial Access. The email has been engineered to take advantage of the weaknesses in the email filtering systems of the target whereby the targeted email has obviously deceived the recipient to open a malicious file. This technique of attack enabled the red team to have unauthorized access to the system and start the process of compromise.</w:t>
      </w:r>
    </w:p>
    <w:p w14:paraId="102A0EB0">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7349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943600" cy="2734945"/>
                    </a:xfrm>
                    <a:prstGeom prst="rect">
                      <a:avLst/>
                    </a:prstGeom>
                  </pic:spPr>
                </pic:pic>
              </a:graphicData>
            </a:graphic>
          </wp:inline>
        </w:drawing>
      </w:r>
    </w:p>
    <w:p w14:paraId="7DE36447">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3: PowerShell Running in Attack</w:t>
      </w:r>
    </w:p>
    <w:p w14:paraId="72882480">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number demonstrates how the red team used PowerShell to run the commands on the compromised computers. The malicious scripts were executed using PowerShell and escalated privileges and sustained access into the network. Being a legitimate system tool, it assisted the attackers in avoiding being detected by the security software at the point of the attack that was the Execution phase.</w:t>
      </w:r>
    </w:p>
    <w:p w14:paraId="436F4BC6">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.2.2 Execution of Campaign and Techniques Used</w:t>
      </w:r>
    </w:p>
    <w:p w14:paraId="3645915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The implementation part of the red team engagement is the implementation of the planned attack through a set of techniques that are used to simulate the action of a sophisticated adversary and test the readiness of Cureton Pharmaceutical Company (CPC) against it. </w:t>
      </w:r>
    </w:p>
    <w:p w14:paraId="4A15B34B">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595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5943600" cy="2595245"/>
                    </a:xfrm>
                    <a:prstGeom prst="rect">
                      <a:avLst/>
                    </a:prstGeom>
                  </pic:spPr>
                </pic:pic>
              </a:graphicData>
            </a:graphic>
          </wp:inline>
        </w:drawing>
      </w:r>
    </w:p>
    <w:p w14:paraId="0D68CF3B">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4: Persistence Task Scheduled</w:t>
      </w:r>
    </w:p>
    <w:p w14:paraId="2B55014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 shows how a planned task was created on the systems compromised so that the red team could be able to sustain access to them in the end. It is a very useful method of Persistence in a cyberattack since scheduled tasks are usually relied upon to maintain control of a system even following a reboot.</w:t>
      </w:r>
    </w:p>
    <w:p w14:paraId="5C145501">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867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5943600" cy="2867025"/>
                    </a:xfrm>
                    <a:prstGeom prst="rect">
                      <a:avLst/>
                    </a:prstGeom>
                  </pic:spPr>
                </pic:pic>
              </a:graphicData>
            </a:graphic>
          </wp:inline>
        </w:drawing>
      </w:r>
    </w:p>
    <w:p w14:paraId="7F3EFBDD">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5: Privilege Escalation through Valid Accounts</w:t>
      </w:r>
    </w:p>
    <w:p w14:paraId="6AAB855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 demonstrates the privilege escalation with valid accounts. The credentials were stolen, and the red team gained privileges and access to restricted systems by using the stolen credentials obtained through phishing. The attackers used the legitimate accounts to gain deeper access into the network and increase their access to valuable resources.</w:t>
      </w:r>
    </w:p>
    <w:p w14:paraId="481B7CAC">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34810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tretch>
                      <a:fillRect/>
                    </a:stretch>
                  </pic:blipFill>
                  <pic:spPr>
                    <a:xfrm>
                      <a:off x="0" y="0"/>
                      <a:ext cx="5943600" cy="3481070"/>
                    </a:xfrm>
                    <a:prstGeom prst="rect">
                      <a:avLst/>
                    </a:prstGeom>
                  </pic:spPr>
                </pic:pic>
              </a:graphicData>
            </a:graphic>
          </wp:inline>
        </w:drawing>
      </w:r>
    </w:p>
    <w:p w14:paraId="6FD8F9EE">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6: Lateral Movement using RDP</w:t>
      </w:r>
    </w:p>
    <w:p w14:paraId="58ADB15A">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illustrates the application of Remote Desktop Protocol (RDP) in the lateral moving in the network. The red team was able to remotely control and use other systems in the environment with RDP so that the team could extend their control and gain access to even more sensitive data. Once entry is made into the network, a common tool used to move around the network is RDP.</w:t>
      </w:r>
    </w:p>
    <w:p w14:paraId="5E3D6995">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31978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4"/>
                    <a:stretch>
                      <a:fillRect/>
                    </a:stretch>
                  </pic:blipFill>
                  <pic:spPr>
                    <a:xfrm>
                      <a:off x="0" y="0"/>
                      <a:ext cx="5943600" cy="3197860"/>
                    </a:xfrm>
                    <a:prstGeom prst="rect">
                      <a:avLst/>
                    </a:prstGeom>
                  </pic:spPr>
                </pic:pic>
              </a:graphicData>
            </a:graphic>
          </wp:inline>
        </w:drawing>
      </w:r>
    </w:p>
    <w:p w14:paraId="707F465B">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7: Credential Dumping Process</w:t>
      </w:r>
    </w:p>
    <w:p w14:paraId="4C2A2ED4">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characterization demonstrates the way in which the red team took credentials dumping software such as Mimikatz to recover the login details of the infected systems. The valid credentials gave the attackers the power to increase their privileges and gain entry into other sections of the network, which would have been restricted otherwise, and exploit and gain access to others.</w:t>
      </w:r>
    </w:p>
    <w:p w14:paraId="0BE85982">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276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5"/>
                    <a:stretch>
                      <a:fillRect/>
                    </a:stretch>
                  </pic:blipFill>
                  <pic:spPr>
                    <a:xfrm>
                      <a:off x="0" y="0"/>
                      <a:ext cx="5943600" cy="2276475"/>
                    </a:xfrm>
                    <a:prstGeom prst="rect">
                      <a:avLst/>
                    </a:prstGeom>
                  </pic:spPr>
                </pic:pic>
              </a:graphicData>
            </a:graphic>
          </wp:inline>
        </w:drawing>
      </w:r>
    </w:p>
    <w:p w14:paraId="07BD2724">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8: Exfiltration of Data through C2 Channel</w:t>
      </w:r>
    </w:p>
    <w:p w14:paraId="1F1453B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number demonstrates how the red team relied on Command and Control (C2) channel to steal data that was stolen by the hacked systems. The attackers had uploaded sensitive files on a third-party server and stayed in contact with their command infrastructure. This technique was used to evade the conventional security systems at the stage of Exfiltration.</w:t>
      </w:r>
    </w:p>
    <w:p w14:paraId="447644D1">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9171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6"/>
                    <a:stretch>
                      <a:fillRect/>
                    </a:stretch>
                  </pic:blipFill>
                  <pic:spPr>
                    <a:xfrm>
                      <a:off x="0" y="0"/>
                      <a:ext cx="5943600" cy="2917190"/>
                    </a:xfrm>
                    <a:prstGeom prst="rect">
                      <a:avLst/>
                    </a:prstGeom>
                  </pic:spPr>
                </pic:pic>
              </a:graphicData>
            </a:graphic>
          </wp:inline>
        </w:drawing>
      </w:r>
    </w:p>
    <w:p w14:paraId="5034DB2C">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9: Ransomware Deployment and Impact</w:t>
      </w:r>
    </w:p>
    <w:p w14:paraId="44ACC0C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This number illustrates the process of implementing ransomware to encrypt important files in the target system. The ransomware accessed and encrypted the files once it got activated so that they are no longer available to legitimate users. The attackers further required a ransom on the decryption key, which in effect interfered with the operations, and the security of the data held by the organization (Virk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2025).</w:t>
      </w:r>
    </w:p>
    <w:p w14:paraId="2174EEE5">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514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7"/>
                    <a:stretch>
                      <a:fillRect/>
                    </a:stretch>
                  </pic:blipFill>
                  <pic:spPr>
                    <a:xfrm>
                      <a:off x="0" y="0"/>
                      <a:ext cx="5943600" cy="2514600"/>
                    </a:xfrm>
                    <a:prstGeom prst="rect">
                      <a:avLst/>
                    </a:prstGeom>
                  </pic:spPr>
                </pic:pic>
              </a:graphicData>
            </a:graphic>
          </wp:inline>
        </w:drawing>
      </w:r>
    </w:p>
    <w:p w14:paraId="1E4BD3CA">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10: End to end attack simulation</w:t>
      </w:r>
    </w:p>
    <w:p w14:paraId="2A11A827">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This figure offers a graphical overview of the overall red team engagement, which shows how the attack is executed through the stages of the initial access, data exfiltration, and ransomware installation. It demonstrates the major attack methods and the way the red team used the vulnerabilities on different stages to complete the attack simulation successfully.</w:t>
      </w:r>
    </w:p>
    <w:p w14:paraId="0A79BC3A">
      <w:pPr>
        <w:spacing w:before="100" w:beforeAutospacing="1" w:after="100" w:afterAutospacing="1" w:line="360" w:lineRule="auto"/>
        <w:jc w:val="center"/>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drawing>
          <wp:inline distT="0" distB="0" distL="0" distR="0">
            <wp:extent cx="5943600" cy="29978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8"/>
                    <a:stretch>
                      <a:fillRect/>
                    </a:stretch>
                  </pic:blipFill>
                  <pic:spPr>
                    <a:xfrm>
                      <a:off x="0" y="0"/>
                      <a:ext cx="5943600" cy="2997835"/>
                    </a:xfrm>
                    <a:prstGeom prst="rect">
                      <a:avLst/>
                    </a:prstGeom>
                  </pic:spPr>
                </pic:pic>
              </a:graphicData>
            </a:graphic>
          </wp:inline>
        </w:drawing>
      </w:r>
    </w:p>
    <w:p w14:paraId="0A60C150">
      <w:pPr>
        <w:spacing w:before="100" w:beforeAutospacing="1" w:after="100" w:afterAutospacing="1" w:line="360" w:lineRule="auto"/>
        <w:jc w:val="cente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color w:val="000000" w:themeColor="text1"/>
          <w:kern w:val="0"/>
          <w:sz w:val="24"/>
          <w:szCs w:val="24"/>
          <w14:textFill>
            <w14:solidFill>
              <w14:schemeClr w14:val="tx1"/>
            </w14:solidFill>
          </w14:textFill>
          <w14:ligatures w14:val="none"/>
        </w:rPr>
        <w:t>Figure 11: Detection security gaps</w:t>
      </w:r>
    </w:p>
    <w:p w14:paraId="12F22E5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figure illustrates critical areas of detection lapses during the red team engagement. It points to the vulnerability in email security, network segmentation, and endpoint protection, indicating where the defenses of the Blue Team were unable to identify the initiatives of the red team. These loopholes played a vital role in ensuring that the attack had gone through without anyone noticing it, pointing to areas that CPC security system needs to work on.</w:t>
      </w:r>
    </w:p>
    <w:p w14:paraId="1FBACAD7">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 Reporting &amp; Analysis</w:t>
      </w:r>
    </w:p>
    <w:p w14:paraId="5C0460C3">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.3.1 Technical Report for the Blue Team</w:t>
      </w:r>
    </w:p>
    <w:p w14:paraId="146C18B5">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Technical Report provides an in-depth insight into the red team operation with Cureton Pharmaceutical Company (CPC), including the tactics, techniques, and procedures (TTPs) used during the attack. The initial value of the report is to offer objective assessment of the Blue Team current cybersecurity defenses and vulnerabilities along with strength and weaknesses of the detecting and responding mechanisms (Blair, 2023).</w:t>
      </w:r>
    </w:p>
    <w:p w14:paraId="22EBABC9">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interaction starts with a clear explanation of how the red team attacked, as they first gained access by attacking with a spear-phishing campaign. The red team was able to hack into the network using advanced social engineering methods and resembled an attack by a nation-state actor or a sophisticated cybercriminal. The report highlights that not only is the use of stronger email filtering necessary, but also employee awareness should be enhanced, since the initial point of attack was the absence of email security systems and inadequate employee knowledge on phishing.</w:t>
      </w:r>
    </w:p>
    <w:p w14:paraId="54CBA828">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Finding the access point, the red team transitioned to the execution step by means of PowerShell (T1059) and WMI (T1047) to create a persistence demonstrating that the Endpoint Detection and Response (EDR) solution of the Blue Team did not detect these natural tools that are used inappropriately. The report states the significance of administrative tools such as PowerShell requiring to be monitored more and suggests that scripting detection should be implemented to observe abnormal script execution patterns (Rege </w:t>
      </w:r>
      <w:r>
        <w:rPr>
          <w:rFonts w:ascii="Times New Roman" w:hAnsi="Times New Roman" w:eastAsia="Times New Roman" w:cs="Times New Roman"/>
          <w:i/>
          <w:iCs/>
          <w:color w:val="000000" w:themeColor="text1"/>
          <w:kern w:val="0"/>
          <w:sz w:val="24"/>
          <w:szCs w:val="24"/>
          <w14:textFill>
            <w14:solidFill>
              <w14:schemeClr w14:val="tx1"/>
            </w14:solidFill>
          </w14:textFill>
          <w14:ligatures w14:val="none"/>
        </w:rPr>
        <w:t>et al.</w:t>
      </w: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 xml:space="preserve"> 2023).</w:t>
      </w:r>
    </w:p>
    <w:p w14:paraId="2467DA6D">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lateral movement phase uncovered the network segmentation vulnerabilities, where the red team could find it very easy to navigate between the systems via Remote Desktop Protocol (RDP) (T1076) and SMB (T1021). The insufficiency of the segmentation conducted by the Blue Team between the vital systems and the non-crucial ones enabled the attackers to multiply their privileges and get access to the most valuable resources, including clinical trial data. The report recommends the use of more network segmentation and the introduction of micro-segmentation to restrict the movement across the network (Diogenes and Ozkaya, 2022). Finally, the red team was able to steal information circumventing the Security Information and Event Management (SIEM) system of the Blue Team, which shows that there is a critical gap in the detection of data exfiltration. The report highlights the necessity to improve C2 traffic analysis and further monitor the outbound data in order to avoid the occurrence of such outflows.</w:t>
      </w:r>
    </w:p>
    <w:p w14:paraId="2F00FDB2">
      <w:pPr>
        <w:spacing w:before="100" w:beforeAutospacing="1" w:after="100" w:afterAutospacing="1" w:line="240" w:lineRule="auto"/>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hint="default" w:ascii="Times New Roman" w:hAnsi="Times New Roman" w:eastAsia="Times New Roman" w:cs="Times New Roman"/>
          <w:b/>
          <w:bCs/>
          <w:color w:val="000000" w:themeColor="text1"/>
          <w:kern w:val="0"/>
          <w:sz w:val="24"/>
          <w:szCs w:val="24"/>
          <w:lang w:val="en-GB"/>
          <w14:textFill>
            <w14:solidFill>
              <w14:schemeClr w14:val="tx1"/>
            </w14:solidFill>
          </w14:textFill>
          <w14:ligatures w14:val="none"/>
        </w:rPr>
        <w:t>2</w:t>
      </w:r>
      <w:bookmarkStart w:id="5" w:name="_GoBack"/>
      <w:bookmarkEnd w:id="5"/>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t>.3.2 Executive Brief for the Board</w:t>
      </w:r>
    </w:p>
    <w:p w14:paraId="7E675606">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simulation with the Cureton Pharmaceutical Company (CPC) was an exercise that simulated a sophisticated cyberattack to determine how the organization would respond to a sophisticated adversary. The red team was able to access with the help of phishing and used a number of vulnerabilities in the network of CPC to gain access to the network, lateral movement, privileged escalation, and steal sensitive information. The gaps in email security, network segmentation, and endpoint detection are found to be the key weaknesses. The consequences of such an attack may result in severe losses of finances, intellectual property and damages to reputation (Sadeghian, 2024). These weaknesses need to be overcome by CPC to safeguard important research information and to enable business continuity. The Executive Team can minimize these risks through the investment in state-of-the-art email filtering, network separation, endpoint detection and response (EDR), and training of its employees. Positive cybersecurity will protect the assets of CPC and increase the resilience to cyber-attacks in the future.</w:t>
      </w:r>
    </w:p>
    <w:p w14:paraId="54115BDF">
      <w:pPr>
        <w:pStyle w:val="2"/>
        <w:rPr>
          <w:rFonts w:eastAsia="Times New Roman"/>
        </w:rPr>
      </w:pPr>
      <w:bookmarkStart w:id="3" w:name="_Toc216179609"/>
      <w:r>
        <w:rPr>
          <w:rFonts w:eastAsia="Times New Roman"/>
        </w:rPr>
        <w:t>Conclusion</w:t>
      </w:r>
      <w:bookmarkEnd w:id="3"/>
    </w:p>
    <w:p w14:paraId="53A6518E">
      <w:pPr>
        <w:spacing w:before="100" w:beforeAutospacing="1" w:after="100" w:afterAutospacing="1" w:line="360" w:lineRule="auto"/>
        <w:jc w:val="both"/>
        <w:rPr>
          <w:rFonts w:ascii="Times New Roman" w:hAnsi="Times New Roman" w:eastAsia="Times New Roman" w:cs="Times New Roman"/>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color w:val="000000" w:themeColor="text1"/>
          <w:kern w:val="0"/>
          <w:sz w:val="24"/>
          <w:szCs w:val="24"/>
          <w14:textFill>
            <w14:solidFill>
              <w14:schemeClr w14:val="tx1"/>
            </w14:solidFill>
          </w14:textFill>
          <w14:ligatures w14:val="none"/>
        </w:rPr>
        <w:t>The red team engagement at Cureton Pharmaceutical Company (CPC) offered useful information about the cybersecurity posture of the company, which has some critical areas of weaknesses and improvement. Using a mock Advanced Persistent Threat (APT) assault, the red team was able to bypass vulnerabilities in the CPC defenses such as email security vulnerabilities, network segmentation vulnerabilities and endpoint detection vulnerabilities. These results show that, although CPC has the basic security measures established, there are major areas that expose the organization to advanced cyber threats. The interaction demonstrated that social engineering and credential harvesting coupled with lateral movement and data exfiltration can be used successfully to circumvent the existing defense controls used by CPC. The impacts of such attack can be disastrous as the intellectual property can be stolen, activities halted, and the financial and reputation losses may occur. In order to counter these vulnerabilities, it is essential that CPC will adopt innovative email filtering, create better network segmentation, install powerful endpoint detection solutions, and train its personnel to be more aware of cybersecurity issues. Enhancement of these spheres will lead to a poorer chance of a successful attack, and CPC will be able to react to the threat more productively. Implementing these suggestions will help CPC to be more resilient to the dynamic cyber threats, have its sensitive data, intellectual property, and business continuity under protection.</w:t>
      </w:r>
    </w:p>
    <w:p w14:paraId="70D31CF8">
      <w:pP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pPr>
      <w:r>
        <w:rPr>
          <w:rFonts w:ascii="Times New Roman" w:hAnsi="Times New Roman" w:eastAsia="Times New Roman" w:cs="Times New Roman"/>
          <w:b/>
          <w:bCs/>
          <w:color w:val="000000" w:themeColor="text1"/>
          <w:kern w:val="0"/>
          <w:sz w:val="24"/>
          <w:szCs w:val="24"/>
          <w14:textFill>
            <w14:solidFill>
              <w14:schemeClr w14:val="tx1"/>
            </w14:solidFill>
          </w14:textFill>
          <w14:ligatures w14:val="none"/>
        </w:rPr>
        <w:br w:type="page"/>
      </w:r>
    </w:p>
    <w:p w14:paraId="38FE5B6B">
      <w:pPr>
        <w:pStyle w:val="2"/>
        <w:rPr>
          <w:rFonts w:eastAsia="Times New Roman"/>
        </w:rPr>
      </w:pPr>
      <w:bookmarkStart w:id="4" w:name="_Toc216179610"/>
      <w:r>
        <w:rPr>
          <w:rFonts w:eastAsia="Times New Roman"/>
        </w:rPr>
        <w:t>References</w:t>
      </w:r>
      <w:bookmarkEnd w:id="4"/>
    </w:p>
    <w:p w14:paraId="08A36B09">
      <w:r>
        <w:t>[1] B. Al-Sada, A. Sadighian, and G. Oligeri, "Analysis and characterization of cyber threats leveraging the MITRE ATT&amp;CK database," IEEE Access, vol. 12, pp. 1217–1234, 2023.</w:t>
      </w:r>
    </w:p>
    <w:p w14:paraId="1EEF2C55">
      <w:r>
        <w:t>[2] B. Al-Sada, A. Sadighian, and G. Oligeri, "MITRE ATT&amp;CK: State of the art and way forward," ACM Computing Surveys, vol. 57, no. 1, pp. 1–37, 2024.</w:t>
      </w:r>
    </w:p>
    <w:p w14:paraId="2A190EED">
      <w:r>
        <w:t>[3] R. Blair, Aligning Security Operations with the MITRE ATT&amp;CK Framework. Birmingham, UK: Packt Publishing, 2023.</w:t>
      </w:r>
    </w:p>
    <w:p w14:paraId="2C2B1D57">
      <w:r>
        <w:t>[4] Y. Diogenes and E. Ozkaya, Cybersecurity—Attack and Defense Strategies. Birmingham, UK: Packt Publishing Ltd., 2022.</w:t>
      </w:r>
    </w:p>
    <w:p w14:paraId="3D5067A5">
      <w:r>
        <w:t>[5] A. Georgiadou, S. Mouzakitis, and D. Askounis, "Assessing MITRE ATT&amp;CK risk using a cyber-security culture framework," Sensors, vol. 21, no. 9, p. 3267, 2021.</w:t>
      </w:r>
    </w:p>
    <w:p w14:paraId="67EFCB4F">
      <w:r>
        <w:t>[6] Y. Jiang et al., "MITRE ATT&amp;CK applications in cybersecurity and the way forward," arXiv preprint arXiv:2502.10825, 2025.</w:t>
      </w:r>
    </w:p>
    <w:p w14:paraId="2976C644">
      <w:r>
        <w:t>[7] Y. Maleh, "Generative AI-driven penetration testing," in Generative AI for Cybersecurity and Privacy. Cham, Switzerland: Springer, 2025.</w:t>
      </w:r>
    </w:p>
    <w:p w14:paraId="432821C8">
      <w:r>
        <w:t>[8] S. Peltola, Threat Detection Analysis Using MITRE ATT&amp;CK Framework, 2025.</w:t>
      </w:r>
    </w:p>
    <w:p w14:paraId="2C77C9AE">
      <w:r>
        <w:t>[9] P. Rajesh et al., "Analysis of cyber threat detection and emulation using MITRE ATT&amp;CK framework," in Proc. IDSTA, Sep. 2022, pp. 4–12.</w:t>
      </w:r>
    </w:p>
    <w:p w14:paraId="38619C2F">
      <w:r>
        <w:t>[10] A. Rege et al., "Students’ application of the MITRE ATT&amp;CK framework via a real-time cybersecurity exercise," in Proc. ECCWS, Jun. 2023.</w:t>
      </w:r>
    </w:p>
    <w:p w14:paraId="50394D59">
      <w:r>
        <w:t>[11] V. Saarainen, Red Teaming: Regulatory and Non-Regulatory Frameworks Used in Adversarial Simulations, 2021.</w:t>
      </w:r>
    </w:p>
    <w:p w14:paraId="79E882EF">
      <w:r>
        <w:t>[12] A. Sadeghian, "Detecting the most vulnerable nodes in the AND-OR graph using MITRE ATT&amp;CK," 2024.</w:t>
      </w:r>
    </w:p>
    <w:p w14:paraId="64A0DCBF">
      <w:r>
        <w:t>[13] M. R. Sawant and S. Chopra, "Red teaming vs. blue teaming," 2023.</w:t>
      </w:r>
    </w:p>
    <w:p w14:paraId="7742E048">
      <w:r>
        <w:t>[14] A. Sreejith and K. S. Shanti Swarup, "MITRE ATT&amp;CK for smart grid cyber-security," in Cyber-Security for Smart Grid Control. Singapore: Springer, pp. 59–73, 2024.</w:t>
      </w:r>
    </w:p>
    <w:p w14:paraId="29BD2413">
      <w:r>
        <w:t>[15] E. Van Buggenhout, "Purple teaming," Cyber Security: A Peer-Reviewed Journal, vol. 7, no. 3, pp. 207–216, 2024.</w:t>
      </w:r>
    </w:p>
    <w:p w14:paraId="05F65D1F">
      <w:r>
        <w:t>[16] S. G. Virk et al., "Advancing security operations centers," Journal of Computing &amp; Biomedical Informatics, vol. 9, no. 2, 2025.</w:t>
      </w:r>
    </w:p>
    <w:p w14:paraId="119000DC">
      <w:r>
        <w:t>[17] A. M. Winkler and P. Sharma, "Proactive threat detection," Computers &amp; Security, p. 104702, 2025.</w:t>
      </w:r>
    </w:p>
    <w:p w14:paraId="3F67117B">
      <w:r>
        <w:t>[18] S. Yulianto et al., "Enhancing cybersecurity resilience," Cyber Security and Applications, vol. 3, p. 100077, 2025.</w:t>
      </w:r>
    </w:p>
    <w:p w14:paraId="402B0F2B">
      <w:pPr>
        <w:pStyle w:val="8"/>
        <w:spacing w:line="360" w:lineRule="auto"/>
        <w:jc w:val="both"/>
        <w:rPr>
          <w:color w:val="000000" w:themeColor="text1"/>
          <w14:textFill>
            <w14:solidFill>
              <w14:schemeClr w14:val="tx1"/>
            </w14:solidFill>
          </w14:textFill>
        </w:rPr>
      </w:pPr>
    </w:p>
    <w:p w14:paraId="3632AF25">
      <w:pPr>
        <w:rPr>
          <w:color w:val="000000" w:themeColor="text1"/>
          <w14:textFill>
            <w14:solidFill>
              <w14:schemeClr w14:val="tx1"/>
            </w14:solidFill>
          </w14:textFill>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90081200"/>
      <w:docPartObj>
        <w:docPartGallery w:val="autotext"/>
      </w:docPartObj>
    </w:sdtPr>
    <w:sdtEndPr>
      <w:rPr>
        <w:rFonts w:ascii="Times New Roman" w:hAnsi="Times New Roman" w:cs="Times New Roman"/>
        <w:sz w:val="20"/>
        <w:szCs w:val="20"/>
      </w:rPr>
    </w:sdtEndPr>
    <w:sdtContent>
      <w:p w14:paraId="4E786658">
        <w:pPr>
          <w:pStyle w:val="5"/>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sz w:val="20"/>
            <w:szCs w:val="20"/>
          </w:rPr>
          <w:t>25</w:t>
        </w:r>
        <w:r>
          <w:rPr>
            <w:rFonts w:ascii="Times New Roman" w:hAnsi="Times New Roman" w:cs="Times New Roman"/>
            <w:sz w:val="20"/>
            <w:szCs w:val="20"/>
          </w:rPr>
          <w:fldChar w:fldCharType="end"/>
        </w:r>
      </w:p>
    </w:sdtContent>
  </w:sdt>
  <w:p w14:paraId="00BD846A">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F9C"/>
    <w:rsid w:val="000001F8"/>
    <w:rsid w:val="00063017"/>
    <w:rsid w:val="00065B3B"/>
    <w:rsid w:val="00075237"/>
    <w:rsid w:val="000844D6"/>
    <w:rsid w:val="000862B3"/>
    <w:rsid w:val="0009583C"/>
    <w:rsid w:val="000A129F"/>
    <w:rsid w:val="000D4C36"/>
    <w:rsid w:val="000F3771"/>
    <w:rsid w:val="0010477D"/>
    <w:rsid w:val="001135DE"/>
    <w:rsid w:val="00137014"/>
    <w:rsid w:val="00142CBA"/>
    <w:rsid w:val="00175850"/>
    <w:rsid w:val="001F1C5A"/>
    <w:rsid w:val="00210FF9"/>
    <w:rsid w:val="00242CA9"/>
    <w:rsid w:val="002A560A"/>
    <w:rsid w:val="00320C6B"/>
    <w:rsid w:val="003600B2"/>
    <w:rsid w:val="0038505F"/>
    <w:rsid w:val="00390F4F"/>
    <w:rsid w:val="003A016C"/>
    <w:rsid w:val="003F76DC"/>
    <w:rsid w:val="004028C1"/>
    <w:rsid w:val="00430B34"/>
    <w:rsid w:val="004446EB"/>
    <w:rsid w:val="004C6C83"/>
    <w:rsid w:val="004C7C16"/>
    <w:rsid w:val="004D4695"/>
    <w:rsid w:val="004F1669"/>
    <w:rsid w:val="00515692"/>
    <w:rsid w:val="00532751"/>
    <w:rsid w:val="005B04BC"/>
    <w:rsid w:val="005B6A15"/>
    <w:rsid w:val="005D511A"/>
    <w:rsid w:val="0062405A"/>
    <w:rsid w:val="00696848"/>
    <w:rsid w:val="00696966"/>
    <w:rsid w:val="006A0950"/>
    <w:rsid w:val="006C207F"/>
    <w:rsid w:val="006D245E"/>
    <w:rsid w:val="006E157C"/>
    <w:rsid w:val="006F259C"/>
    <w:rsid w:val="007D0E2C"/>
    <w:rsid w:val="008017D0"/>
    <w:rsid w:val="00805AD5"/>
    <w:rsid w:val="00820639"/>
    <w:rsid w:val="00853156"/>
    <w:rsid w:val="008B4E55"/>
    <w:rsid w:val="008C0F30"/>
    <w:rsid w:val="008D4F9C"/>
    <w:rsid w:val="008F7470"/>
    <w:rsid w:val="00906783"/>
    <w:rsid w:val="00906E03"/>
    <w:rsid w:val="009319EA"/>
    <w:rsid w:val="00957D1D"/>
    <w:rsid w:val="00992244"/>
    <w:rsid w:val="009B0B17"/>
    <w:rsid w:val="009C3922"/>
    <w:rsid w:val="009D46D8"/>
    <w:rsid w:val="00A01EB6"/>
    <w:rsid w:val="00A123CC"/>
    <w:rsid w:val="00A95250"/>
    <w:rsid w:val="00AF16A0"/>
    <w:rsid w:val="00B04950"/>
    <w:rsid w:val="00B171E7"/>
    <w:rsid w:val="00B21144"/>
    <w:rsid w:val="00B336F4"/>
    <w:rsid w:val="00B563B7"/>
    <w:rsid w:val="00B974FA"/>
    <w:rsid w:val="00BA1A8A"/>
    <w:rsid w:val="00BB390F"/>
    <w:rsid w:val="00BC2B79"/>
    <w:rsid w:val="00BE421B"/>
    <w:rsid w:val="00C21284"/>
    <w:rsid w:val="00C85FF3"/>
    <w:rsid w:val="00C950AF"/>
    <w:rsid w:val="00CC6425"/>
    <w:rsid w:val="00CD4514"/>
    <w:rsid w:val="00CE6B80"/>
    <w:rsid w:val="00D21A9A"/>
    <w:rsid w:val="00D406AC"/>
    <w:rsid w:val="00D528C6"/>
    <w:rsid w:val="00DA75F9"/>
    <w:rsid w:val="00DC0A69"/>
    <w:rsid w:val="00DF4763"/>
    <w:rsid w:val="00E02E4A"/>
    <w:rsid w:val="00E0592C"/>
    <w:rsid w:val="00E3334D"/>
    <w:rsid w:val="00E5798B"/>
    <w:rsid w:val="00EB5B8C"/>
    <w:rsid w:val="00EE2F02"/>
    <w:rsid w:val="00F01BB9"/>
    <w:rsid w:val="00F445D9"/>
    <w:rsid w:val="00F44BCF"/>
    <w:rsid w:val="00F75D14"/>
    <w:rsid w:val="00F86A43"/>
    <w:rsid w:val="00FC6150"/>
    <w:rsid w:val="00FE508B"/>
    <w:rsid w:val="00FF6E13"/>
    <w:rsid w:val="26340A60"/>
    <w:rsid w:val="4AFE62C7"/>
    <w:rsid w:val="618B79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2"/>
    <w:qFormat/>
    <w:uiPriority w:val="9"/>
    <w:pPr>
      <w:keepNext/>
      <w:keepLines/>
      <w:spacing w:before="240" w:after="0" w:line="360" w:lineRule="auto"/>
      <w:jc w:val="both"/>
      <w:outlineLvl w:val="0"/>
    </w:pPr>
    <w:rPr>
      <w:rFonts w:ascii="Times New Roman" w:hAnsi="Times New Roman" w:eastAsiaTheme="majorEastAsia" w:cstheme="majorBidi"/>
      <w:b/>
      <w:color w:val="000000" w:themeColor="text1"/>
      <w:sz w:val="24"/>
      <w:szCs w:val="32"/>
      <w14:textFill>
        <w14:solidFill>
          <w14:schemeClr w14:val="tx1"/>
        </w14:solidFill>
      </w14:textFill>
    </w:rPr>
  </w:style>
  <w:style w:type="character" w:default="1" w:styleId="3">
    <w:name w:val="Default Paragraph Font"/>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5"/>
    <w:unhideWhenUsed/>
    <w:qFormat/>
    <w:uiPriority w:val="99"/>
    <w:pPr>
      <w:tabs>
        <w:tab w:val="center" w:pos="4680"/>
        <w:tab w:val="right" w:pos="9360"/>
      </w:tabs>
      <w:spacing w:after="0" w:line="240" w:lineRule="auto"/>
    </w:pPr>
  </w:style>
  <w:style w:type="paragraph" w:styleId="6">
    <w:name w:val="header"/>
    <w:basedOn w:val="1"/>
    <w:link w:val="14"/>
    <w:unhideWhenUsed/>
    <w:qFormat/>
    <w:uiPriority w:val="99"/>
    <w:pPr>
      <w:tabs>
        <w:tab w:val="center" w:pos="4680"/>
        <w:tab w:val="right" w:pos="9360"/>
      </w:tabs>
      <w:spacing w:after="0" w:line="240" w:lineRule="auto"/>
    </w:pPr>
  </w:style>
  <w:style w:type="character" w:styleId="7">
    <w:name w:val="Hyperlink"/>
    <w:basedOn w:val="3"/>
    <w:unhideWhenUsed/>
    <w:qFormat/>
    <w:uiPriority w:val="99"/>
    <w:rPr>
      <w:color w:val="0000FF" w:themeColor="hyperlink"/>
      <w:u w:val="single"/>
      <w14:textFill>
        <w14:solidFill>
          <w14:schemeClr w14:val="hlink"/>
        </w14:solidFill>
      </w14:textFill>
    </w:rPr>
  </w:style>
  <w:style w:type="paragraph" w:styleId="8">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rPr>
  </w:style>
  <w:style w:type="character" w:styleId="9">
    <w:name w:val="Strong"/>
    <w:basedOn w:val="3"/>
    <w:qFormat/>
    <w:uiPriority w:val="22"/>
    <w:rPr>
      <w:b/>
      <w:bCs/>
    </w:rPr>
  </w:style>
  <w:style w:type="paragraph" w:styleId="10">
    <w:name w:val="toc 1"/>
    <w:basedOn w:val="1"/>
    <w:next w:val="1"/>
    <w:autoRedefine/>
    <w:unhideWhenUsed/>
    <w:qFormat/>
    <w:uiPriority w:val="39"/>
    <w:pPr>
      <w:spacing w:after="100"/>
    </w:pPr>
  </w:style>
  <w:style w:type="table" w:customStyle="1" w:styleId="11">
    <w:name w:val="Grid Table Light"/>
    <w:basedOn w:val="4"/>
    <w:qFormat/>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
    <w:name w:val="Heading 1 Char"/>
    <w:basedOn w:val="3"/>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paragraph" w:customStyle="1" w:styleId="13">
    <w:name w:val="TOC Heading"/>
    <w:basedOn w:val="2"/>
    <w:next w:val="1"/>
    <w:unhideWhenUsed/>
    <w:qFormat/>
    <w:uiPriority w:val="39"/>
    <w:pPr>
      <w:spacing w:line="259" w:lineRule="auto"/>
      <w:jc w:val="left"/>
      <w:outlineLvl w:val="9"/>
    </w:pPr>
    <w:rPr>
      <w:rFonts w:asciiTheme="majorHAnsi" w:hAnsiTheme="majorHAnsi"/>
      <w:b w:val="0"/>
      <w:color w:val="376092" w:themeColor="accent1" w:themeShade="BF"/>
      <w:kern w:val="0"/>
      <w:sz w:val="32"/>
      <w14:ligatures w14:val="none"/>
    </w:rPr>
  </w:style>
  <w:style w:type="character" w:customStyle="1" w:styleId="14">
    <w:name w:val="Header Char"/>
    <w:basedOn w:val="3"/>
    <w:link w:val="6"/>
    <w:qFormat/>
    <w:uiPriority w:val="99"/>
  </w:style>
  <w:style w:type="character" w:customStyle="1" w:styleId="15">
    <w:name w:val="Footer Char"/>
    <w:basedOn w:val="3"/>
    <w:link w:val="5"/>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C61B8-9961-4A20-BA52-34DE2C5E82B3}">
  <ds:schemaRefs/>
</ds:datastoreItem>
</file>

<file path=docProps/app.xml><?xml version="1.0" encoding="utf-8"?>
<Properties xmlns="http://schemas.openxmlformats.org/officeDocument/2006/extended-properties" xmlns:vt="http://schemas.openxmlformats.org/officeDocument/2006/docPropsVTypes">
  <Template>Normal</Template>
  <Pages>26</Pages>
  <Words>5606</Words>
  <Characters>31957</Characters>
  <Lines>266</Lines>
  <Paragraphs>74</Paragraphs>
  <TotalTime>2</TotalTime>
  <ScaleCrop>false</ScaleCrop>
  <LinksUpToDate>false</LinksUpToDate>
  <CharactersWithSpaces>37489</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2025-12-09T05:51:00Z</dcterms:created>
  <dc:creator>Windows User</dc:creator>
  <cp:lastModifiedBy>DELL</cp:lastModifiedBy>
  <dcterms:modified xsi:type="dcterms:W3CDTF">2025-12-16T17:13:58Z</dcterms:modified>
  <cp:revision>81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7F5975DBD3864C0B8D8C68A4E2D26946_12</vt:lpwstr>
  </property>
</Properties>
</file>