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6122" w:rsidRDefault="004E142B" w:rsidP="005618B3">
      <w:pPr>
        <w:pStyle w:val="normal0"/>
        <w:jc w:val="center"/>
        <w:rPr>
          <w:rFonts w:eastAsia="Times New Roman" w:cs="Times New Roman"/>
          <w:b/>
          <w:sz w:val="32"/>
          <w:szCs w:val="32"/>
          <w:u w:val="single"/>
        </w:rPr>
      </w:pPr>
      <w:r>
        <w:rPr>
          <w:rFonts w:eastAsia="Times New Roman" w:cs="Times New Roman"/>
          <w:b/>
          <w:sz w:val="32"/>
          <w:szCs w:val="32"/>
          <w:u w:val="single"/>
        </w:rPr>
        <w:t xml:space="preserve">Accounting Fundamentals </w:t>
      </w:r>
      <w:r>
        <w:br w:type="page"/>
      </w:r>
    </w:p>
    <w:sdt>
      <w:sdtPr>
        <w:rPr>
          <w:rFonts w:ascii="Arial" w:eastAsia="Arial" w:hAnsi="Arial" w:cs="Arial"/>
          <w:b w:val="0"/>
          <w:bCs w:val="0"/>
          <w:color w:val="auto"/>
          <w:sz w:val="22"/>
          <w:szCs w:val="22"/>
        </w:rPr>
        <w:id w:val="22771997"/>
        <w:docPartObj>
          <w:docPartGallery w:val="Table of Contents"/>
          <w:docPartUnique/>
        </w:docPartObj>
      </w:sdtPr>
      <w:sdtEndPr>
        <w:rPr>
          <w:rFonts w:ascii="Times New Roman" w:hAnsi="Times New Roman" w:cs="Times New Roman"/>
          <w:sz w:val="24"/>
        </w:rPr>
      </w:sdtEndPr>
      <w:sdtContent>
        <w:p w:rsidR="005618B3" w:rsidRDefault="005618B3" w:rsidP="005618B3">
          <w:pPr>
            <w:pStyle w:val="TOCHeading"/>
            <w:jc w:val="center"/>
          </w:pPr>
          <w:r w:rsidRPr="005618B3">
            <w:rPr>
              <w:rFonts w:ascii="Times New Roman" w:hAnsi="Times New Roman" w:cs="Times New Roman"/>
              <w:color w:val="auto"/>
              <w:sz w:val="24"/>
            </w:rPr>
            <w:t>Table of Contents</w:t>
          </w:r>
        </w:p>
        <w:p w:rsidR="005618B3" w:rsidRPr="005618B3" w:rsidRDefault="00FE789E">
          <w:pPr>
            <w:pStyle w:val="TOC1"/>
            <w:tabs>
              <w:tab w:val="right" w:leader="dot" w:pos="9350"/>
            </w:tabs>
            <w:rPr>
              <w:rFonts w:ascii="Times New Roman" w:hAnsi="Times New Roman" w:cs="Times New Roman"/>
              <w:noProof/>
              <w:sz w:val="24"/>
            </w:rPr>
          </w:pPr>
          <w:r w:rsidRPr="005618B3">
            <w:rPr>
              <w:rFonts w:ascii="Times New Roman" w:hAnsi="Times New Roman" w:cs="Times New Roman"/>
              <w:sz w:val="24"/>
            </w:rPr>
            <w:fldChar w:fldCharType="begin"/>
          </w:r>
          <w:r w:rsidR="005618B3" w:rsidRPr="005618B3">
            <w:rPr>
              <w:rFonts w:ascii="Times New Roman" w:hAnsi="Times New Roman" w:cs="Times New Roman"/>
              <w:sz w:val="24"/>
            </w:rPr>
            <w:instrText xml:space="preserve"> TOC \o "1-3" \h \z \u </w:instrText>
          </w:r>
          <w:r w:rsidRPr="005618B3">
            <w:rPr>
              <w:rFonts w:ascii="Times New Roman" w:hAnsi="Times New Roman" w:cs="Times New Roman"/>
              <w:sz w:val="24"/>
            </w:rPr>
            <w:fldChar w:fldCharType="separate"/>
          </w:r>
          <w:hyperlink w:anchor="_Toc112682703" w:history="1">
            <w:r w:rsidR="005618B3" w:rsidRPr="005618B3">
              <w:rPr>
                <w:rStyle w:val="Hyperlink"/>
                <w:rFonts w:ascii="Times New Roman" w:hAnsi="Times New Roman" w:cs="Times New Roman"/>
                <w:noProof/>
                <w:sz w:val="24"/>
              </w:rPr>
              <w:t>Introduction</w:t>
            </w:r>
            <w:r w:rsidR="005618B3" w:rsidRPr="005618B3">
              <w:rPr>
                <w:rFonts w:ascii="Times New Roman" w:hAnsi="Times New Roman" w:cs="Times New Roman"/>
                <w:noProof/>
                <w:webHidden/>
                <w:sz w:val="24"/>
              </w:rPr>
              <w:tab/>
            </w:r>
            <w:r w:rsidRPr="005618B3">
              <w:rPr>
                <w:rFonts w:ascii="Times New Roman" w:hAnsi="Times New Roman" w:cs="Times New Roman"/>
                <w:noProof/>
                <w:webHidden/>
                <w:sz w:val="24"/>
              </w:rPr>
              <w:fldChar w:fldCharType="begin"/>
            </w:r>
            <w:r w:rsidR="005618B3" w:rsidRPr="005618B3">
              <w:rPr>
                <w:rFonts w:ascii="Times New Roman" w:hAnsi="Times New Roman" w:cs="Times New Roman"/>
                <w:noProof/>
                <w:webHidden/>
                <w:sz w:val="24"/>
              </w:rPr>
              <w:instrText xml:space="preserve"> PAGEREF _Toc112682703 \h </w:instrText>
            </w:r>
            <w:r w:rsidRPr="005618B3">
              <w:rPr>
                <w:rFonts w:ascii="Times New Roman" w:hAnsi="Times New Roman" w:cs="Times New Roman"/>
                <w:noProof/>
                <w:webHidden/>
                <w:sz w:val="24"/>
              </w:rPr>
            </w:r>
            <w:r w:rsidRPr="005618B3">
              <w:rPr>
                <w:rFonts w:ascii="Times New Roman" w:hAnsi="Times New Roman" w:cs="Times New Roman"/>
                <w:noProof/>
                <w:webHidden/>
                <w:sz w:val="24"/>
              </w:rPr>
              <w:fldChar w:fldCharType="separate"/>
            </w:r>
            <w:r w:rsidR="005618B3" w:rsidRPr="005618B3">
              <w:rPr>
                <w:rFonts w:ascii="Times New Roman" w:hAnsi="Times New Roman" w:cs="Times New Roman"/>
                <w:noProof/>
                <w:webHidden/>
                <w:sz w:val="24"/>
              </w:rPr>
              <w:t>3</w:t>
            </w:r>
            <w:r w:rsidRPr="005618B3">
              <w:rPr>
                <w:rFonts w:ascii="Times New Roman" w:hAnsi="Times New Roman" w:cs="Times New Roman"/>
                <w:noProof/>
                <w:webHidden/>
                <w:sz w:val="24"/>
              </w:rPr>
              <w:fldChar w:fldCharType="end"/>
            </w:r>
          </w:hyperlink>
        </w:p>
        <w:p w:rsidR="005618B3" w:rsidRPr="005618B3" w:rsidRDefault="00FE789E">
          <w:pPr>
            <w:pStyle w:val="TOC1"/>
            <w:tabs>
              <w:tab w:val="right" w:leader="dot" w:pos="9350"/>
            </w:tabs>
            <w:rPr>
              <w:rFonts w:ascii="Times New Roman" w:hAnsi="Times New Roman" w:cs="Times New Roman"/>
              <w:noProof/>
              <w:sz w:val="24"/>
            </w:rPr>
          </w:pPr>
          <w:hyperlink w:anchor="_Toc112682704" w:history="1">
            <w:r w:rsidR="005618B3" w:rsidRPr="005618B3">
              <w:rPr>
                <w:rStyle w:val="Hyperlink"/>
                <w:rFonts w:ascii="Times New Roman" w:hAnsi="Times New Roman" w:cs="Times New Roman"/>
                <w:noProof/>
                <w:sz w:val="24"/>
              </w:rPr>
              <w:t>Question 1</w:t>
            </w:r>
            <w:r w:rsidR="005618B3" w:rsidRPr="005618B3">
              <w:rPr>
                <w:rFonts w:ascii="Times New Roman" w:hAnsi="Times New Roman" w:cs="Times New Roman"/>
                <w:noProof/>
                <w:webHidden/>
                <w:sz w:val="24"/>
              </w:rPr>
              <w:tab/>
            </w:r>
            <w:r w:rsidRPr="005618B3">
              <w:rPr>
                <w:rFonts w:ascii="Times New Roman" w:hAnsi="Times New Roman" w:cs="Times New Roman"/>
                <w:noProof/>
                <w:webHidden/>
                <w:sz w:val="24"/>
              </w:rPr>
              <w:fldChar w:fldCharType="begin"/>
            </w:r>
            <w:r w:rsidR="005618B3" w:rsidRPr="005618B3">
              <w:rPr>
                <w:rFonts w:ascii="Times New Roman" w:hAnsi="Times New Roman" w:cs="Times New Roman"/>
                <w:noProof/>
                <w:webHidden/>
                <w:sz w:val="24"/>
              </w:rPr>
              <w:instrText xml:space="preserve"> PAGEREF _Toc112682704 \h </w:instrText>
            </w:r>
            <w:r w:rsidRPr="005618B3">
              <w:rPr>
                <w:rFonts w:ascii="Times New Roman" w:hAnsi="Times New Roman" w:cs="Times New Roman"/>
                <w:noProof/>
                <w:webHidden/>
                <w:sz w:val="24"/>
              </w:rPr>
            </w:r>
            <w:r w:rsidRPr="005618B3">
              <w:rPr>
                <w:rFonts w:ascii="Times New Roman" w:hAnsi="Times New Roman" w:cs="Times New Roman"/>
                <w:noProof/>
                <w:webHidden/>
                <w:sz w:val="24"/>
              </w:rPr>
              <w:fldChar w:fldCharType="separate"/>
            </w:r>
            <w:r w:rsidR="005618B3" w:rsidRPr="005618B3">
              <w:rPr>
                <w:rFonts w:ascii="Times New Roman" w:hAnsi="Times New Roman" w:cs="Times New Roman"/>
                <w:noProof/>
                <w:webHidden/>
                <w:sz w:val="24"/>
              </w:rPr>
              <w:t>4</w:t>
            </w:r>
            <w:r w:rsidRPr="005618B3">
              <w:rPr>
                <w:rFonts w:ascii="Times New Roman" w:hAnsi="Times New Roman" w:cs="Times New Roman"/>
                <w:noProof/>
                <w:webHidden/>
                <w:sz w:val="24"/>
              </w:rPr>
              <w:fldChar w:fldCharType="end"/>
            </w:r>
          </w:hyperlink>
        </w:p>
        <w:p w:rsidR="005618B3" w:rsidRPr="005618B3" w:rsidRDefault="00FE789E">
          <w:pPr>
            <w:pStyle w:val="TOC1"/>
            <w:tabs>
              <w:tab w:val="right" w:leader="dot" w:pos="9350"/>
            </w:tabs>
            <w:rPr>
              <w:rFonts w:ascii="Times New Roman" w:hAnsi="Times New Roman" w:cs="Times New Roman"/>
              <w:noProof/>
              <w:sz w:val="24"/>
            </w:rPr>
          </w:pPr>
          <w:hyperlink w:anchor="_Toc112682705" w:history="1">
            <w:r w:rsidR="005618B3" w:rsidRPr="005618B3">
              <w:rPr>
                <w:rStyle w:val="Hyperlink"/>
                <w:rFonts w:ascii="Times New Roman" w:hAnsi="Times New Roman" w:cs="Times New Roman"/>
                <w:noProof/>
                <w:sz w:val="24"/>
              </w:rPr>
              <w:t>Question 2</w:t>
            </w:r>
            <w:r w:rsidR="005618B3" w:rsidRPr="005618B3">
              <w:rPr>
                <w:rFonts w:ascii="Times New Roman" w:hAnsi="Times New Roman" w:cs="Times New Roman"/>
                <w:noProof/>
                <w:webHidden/>
                <w:sz w:val="24"/>
              </w:rPr>
              <w:tab/>
            </w:r>
            <w:r w:rsidRPr="005618B3">
              <w:rPr>
                <w:rFonts w:ascii="Times New Roman" w:hAnsi="Times New Roman" w:cs="Times New Roman"/>
                <w:noProof/>
                <w:webHidden/>
                <w:sz w:val="24"/>
              </w:rPr>
              <w:fldChar w:fldCharType="begin"/>
            </w:r>
            <w:r w:rsidR="005618B3" w:rsidRPr="005618B3">
              <w:rPr>
                <w:rFonts w:ascii="Times New Roman" w:hAnsi="Times New Roman" w:cs="Times New Roman"/>
                <w:noProof/>
                <w:webHidden/>
                <w:sz w:val="24"/>
              </w:rPr>
              <w:instrText xml:space="preserve"> PAGEREF _Toc112682705 \h </w:instrText>
            </w:r>
            <w:r w:rsidRPr="005618B3">
              <w:rPr>
                <w:rFonts w:ascii="Times New Roman" w:hAnsi="Times New Roman" w:cs="Times New Roman"/>
                <w:noProof/>
                <w:webHidden/>
                <w:sz w:val="24"/>
              </w:rPr>
            </w:r>
            <w:r w:rsidRPr="005618B3">
              <w:rPr>
                <w:rFonts w:ascii="Times New Roman" w:hAnsi="Times New Roman" w:cs="Times New Roman"/>
                <w:noProof/>
                <w:webHidden/>
                <w:sz w:val="24"/>
              </w:rPr>
              <w:fldChar w:fldCharType="separate"/>
            </w:r>
            <w:r w:rsidR="005618B3" w:rsidRPr="005618B3">
              <w:rPr>
                <w:rFonts w:ascii="Times New Roman" w:hAnsi="Times New Roman" w:cs="Times New Roman"/>
                <w:noProof/>
                <w:webHidden/>
                <w:sz w:val="24"/>
              </w:rPr>
              <w:t>10</w:t>
            </w:r>
            <w:r w:rsidRPr="005618B3">
              <w:rPr>
                <w:rFonts w:ascii="Times New Roman" w:hAnsi="Times New Roman" w:cs="Times New Roman"/>
                <w:noProof/>
                <w:webHidden/>
                <w:sz w:val="24"/>
              </w:rPr>
              <w:fldChar w:fldCharType="end"/>
            </w:r>
          </w:hyperlink>
        </w:p>
        <w:p w:rsidR="005618B3" w:rsidRPr="005618B3" w:rsidRDefault="00FE789E">
          <w:pPr>
            <w:pStyle w:val="TOC1"/>
            <w:tabs>
              <w:tab w:val="right" w:leader="dot" w:pos="9350"/>
            </w:tabs>
            <w:rPr>
              <w:rFonts w:ascii="Times New Roman" w:hAnsi="Times New Roman" w:cs="Times New Roman"/>
              <w:noProof/>
              <w:sz w:val="24"/>
            </w:rPr>
          </w:pPr>
          <w:hyperlink w:anchor="_Toc112682706" w:history="1">
            <w:r w:rsidR="005618B3" w:rsidRPr="005618B3">
              <w:rPr>
                <w:rStyle w:val="Hyperlink"/>
                <w:rFonts w:ascii="Times New Roman" w:hAnsi="Times New Roman" w:cs="Times New Roman"/>
                <w:noProof/>
                <w:sz w:val="24"/>
              </w:rPr>
              <w:t>Conclusion</w:t>
            </w:r>
            <w:r w:rsidR="005618B3" w:rsidRPr="005618B3">
              <w:rPr>
                <w:rFonts w:ascii="Times New Roman" w:hAnsi="Times New Roman" w:cs="Times New Roman"/>
                <w:noProof/>
                <w:webHidden/>
                <w:sz w:val="24"/>
              </w:rPr>
              <w:tab/>
            </w:r>
            <w:r w:rsidRPr="005618B3">
              <w:rPr>
                <w:rFonts w:ascii="Times New Roman" w:hAnsi="Times New Roman" w:cs="Times New Roman"/>
                <w:noProof/>
                <w:webHidden/>
                <w:sz w:val="24"/>
              </w:rPr>
              <w:fldChar w:fldCharType="begin"/>
            </w:r>
            <w:r w:rsidR="005618B3" w:rsidRPr="005618B3">
              <w:rPr>
                <w:rFonts w:ascii="Times New Roman" w:hAnsi="Times New Roman" w:cs="Times New Roman"/>
                <w:noProof/>
                <w:webHidden/>
                <w:sz w:val="24"/>
              </w:rPr>
              <w:instrText xml:space="preserve"> PAGEREF _Toc112682706 \h </w:instrText>
            </w:r>
            <w:r w:rsidRPr="005618B3">
              <w:rPr>
                <w:rFonts w:ascii="Times New Roman" w:hAnsi="Times New Roman" w:cs="Times New Roman"/>
                <w:noProof/>
                <w:webHidden/>
                <w:sz w:val="24"/>
              </w:rPr>
            </w:r>
            <w:r w:rsidRPr="005618B3">
              <w:rPr>
                <w:rFonts w:ascii="Times New Roman" w:hAnsi="Times New Roman" w:cs="Times New Roman"/>
                <w:noProof/>
                <w:webHidden/>
                <w:sz w:val="24"/>
              </w:rPr>
              <w:fldChar w:fldCharType="separate"/>
            </w:r>
            <w:r w:rsidR="005618B3" w:rsidRPr="005618B3">
              <w:rPr>
                <w:rFonts w:ascii="Times New Roman" w:hAnsi="Times New Roman" w:cs="Times New Roman"/>
                <w:noProof/>
                <w:webHidden/>
                <w:sz w:val="24"/>
              </w:rPr>
              <w:t>15</w:t>
            </w:r>
            <w:r w:rsidRPr="005618B3">
              <w:rPr>
                <w:rFonts w:ascii="Times New Roman" w:hAnsi="Times New Roman" w:cs="Times New Roman"/>
                <w:noProof/>
                <w:webHidden/>
                <w:sz w:val="24"/>
              </w:rPr>
              <w:fldChar w:fldCharType="end"/>
            </w:r>
          </w:hyperlink>
        </w:p>
        <w:p w:rsidR="005618B3" w:rsidRPr="005618B3" w:rsidRDefault="00FE789E">
          <w:pPr>
            <w:pStyle w:val="TOC1"/>
            <w:tabs>
              <w:tab w:val="right" w:leader="dot" w:pos="9350"/>
            </w:tabs>
            <w:rPr>
              <w:rFonts w:ascii="Times New Roman" w:hAnsi="Times New Roman" w:cs="Times New Roman"/>
              <w:noProof/>
              <w:sz w:val="24"/>
            </w:rPr>
          </w:pPr>
          <w:hyperlink w:anchor="_Toc112682707" w:history="1">
            <w:r w:rsidR="005618B3" w:rsidRPr="005618B3">
              <w:rPr>
                <w:rStyle w:val="Hyperlink"/>
                <w:rFonts w:ascii="Times New Roman" w:hAnsi="Times New Roman" w:cs="Times New Roman"/>
                <w:noProof/>
                <w:sz w:val="24"/>
              </w:rPr>
              <w:t>References</w:t>
            </w:r>
            <w:r w:rsidR="005618B3" w:rsidRPr="005618B3">
              <w:rPr>
                <w:rFonts w:ascii="Times New Roman" w:hAnsi="Times New Roman" w:cs="Times New Roman"/>
                <w:noProof/>
                <w:webHidden/>
                <w:sz w:val="24"/>
              </w:rPr>
              <w:tab/>
            </w:r>
            <w:r w:rsidRPr="005618B3">
              <w:rPr>
                <w:rFonts w:ascii="Times New Roman" w:hAnsi="Times New Roman" w:cs="Times New Roman"/>
                <w:noProof/>
                <w:webHidden/>
                <w:sz w:val="24"/>
              </w:rPr>
              <w:fldChar w:fldCharType="begin"/>
            </w:r>
            <w:r w:rsidR="005618B3" w:rsidRPr="005618B3">
              <w:rPr>
                <w:rFonts w:ascii="Times New Roman" w:hAnsi="Times New Roman" w:cs="Times New Roman"/>
                <w:noProof/>
                <w:webHidden/>
                <w:sz w:val="24"/>
              </w:rPr>
              <w:instrText xml:space="preserve"> PAGEREF _Toc112682707 \h </w:instrText>
            </w:r>
            <w:r w:rsidRPr="005618B3">
              <w:rPr>
                <w:rFonts w:ascii="Times New Roman" w:hAnsi="Times New Roman" w:cs="Times New Roman"/>
                <w:noProof/>
                <w:webHidden/>
                <w:sz w:val="24"/>
              </w:rPr>
            </w:r>
            <w:r w:rsidRPr="005618B3">
              <w:rPr>
                <w:rFonts w:ascii="Times New Roman" w:hAnsi="Times New Roman" w:cs="Times New Roman"/>
                <w:noProof/>
                <w:webHidden/>
                <w:sz w:val="24"/>
              </w:rPr>
              <w:fldChar w:fldCharType="separate"/>
            </w:r>
            <w:r w:rsidR="005618B3" w:rsidRPr="005618B3">
              <w:rPr>
                <w:rFonts w:ascii="Times New Roman" w:hAnsi="Times New Roman" w:cs="Times New Roman"/>
                <w:noProof/>
                <w:webHidden/>
                <w:sz w:val="24"/>
              </w:rPr>
              <w:t>16</w:t>
            </w:r>
            <w:r w:rsidRPr="005618B3">
              <w:rPr>
                <w:rFonts w:ascii="Times New Roman" w:hAnsi="Times New Roman" w:cs="Times New Roman"/>
                <w:noProof/>
                <w:webHidden/>
                <w:sz w:val="24"/>
              </w:rPr>
              <w:fldChar w:fldCharType="end"/>
            </w:r>
          </w:hyperlink>
        </w:p>
        <w:p w:rsidR="005618B3" w:rsidRPr="005618B3" w:rsidRDefault="00FE789E">
          <w:pPr>
            <w:rPr>
              <w:rFonts w:ascii="Times New Roman" w:hAnsi="Times New Roman" w:cs="Times New Roman"/>
              <w:sz w:val="24"/>
            </w:rPr>
          </w:pPr>
          <w:r w:rsidRPr="005618B3">
            <w:rPr>
              <w:rFonts w:ascii="Times New Roman" w:hAnsi="Times New Roman" w:cs="Times New Roman"/>
              <w:sz w:val="24"/>
            </w:rPr>
            <w:fldChar w:fldCharType="end"/>
          </w:r>
        </w:p>
      </w:sdtContent>
    </w:sdt>
    <w:p w:rsidR="005618B3" w:rsidRPr="005618B3" w:rsidRDefault="005618B3" w:rsidP="005618B3">
      <w:pPr>
        <w:pStyle w:val="normal0"/>
        <w:rPr>
          <w:rFonts w:cs="Times New Roman"/>
          <w:sz w:val="28"/>
        </w:rPr>
      </w:pPr>
      <w:r w:rsidRPr="005618B3">
        <w:rPr>
          <w:rFonts w:cs="Times New Roman"/>
          <w:sz w:val="28"/>
        </w:rPr>
        <w:br w:type="page"/>
      </w:r>
    </w:p>
    <w:p w:rsidR="000B6122" w:rsidRDefault="004E142B" w:rsidP="005618B3">
      <w:pPr>
        <w:pStyle w:val="Heading1"/>
      </w:pPr>
      <w:bookmarkStart w:id="0" w:name="_Toc112682703"/>
      <w:r>
        <w:lastRenderedPageBreak/>
        <w:t>Introduction</w:t>
      </w:r>
      <w:bookmarkEnd w:id="0"/>
      <w:r>
        <w:t xml:space="preserve"> </w:t>
      </w:r>
    </w:p>
    <w:p w:rsidR="000B6122" w:rsidRDefault="004E142B" w:rsidP="005618B3">
      <w:pPr>
        <w:pStyle w:val="normal0"/>
        <w:rPr>
          <w:rFonts w:eastAsia="Times New Roman" w:cs="Times New Roman"/>
          <w:szCs w:val="24"/>
        </w:rPr>
      </w:pPr>
      <w:r>
        <w:rPr>
          <w:rFonts w:eastAsia="Times New Roman" w:cs="Times New Roman"/>
          <w:szCs w:val="24"/>
        </w:rPr>
        <w:t>Accounting fundamentals involve all the procedures which are essential for assessing  the position and performance of the organisations in the market. It includes record keeping which is the primary and crucial function of accounting (</w:t>
      </w:r>
      <w:r>
        <w:rPr>
          <w:rFonts w:eastAsia="Times New Roman" w:cs="Times New Roman"/>
          <w:color w:val="222222"/>
          <w:szCs w:val="24"/>
          <w:highlight w:val="white"/>
        </w:rPr>
        <w:t>Caswell, 2019</w:t>
      </w:r>
      <w:r>
        <w:rPr>
          <w:rFonts w:eastAsia="Times New Roman" w:cs="Times New Roman"/>
          <w:szCs w:val="24"/>
        </w:rPr>
        <w:t xml:space="preserve">). In the report, the fiscal resorts will be computed to evaluate the performance of Wales plc in the UK marketplace. The ratio analysis of Sweets Plc will also be done to examine the real performance of the firm in the market. </w:t>
      </w:r>
    </w:p>
    <w:p w:rsidR="000B6122" w:rsidRDefault="000B6122" w:rsidP="005618B3">
      <w:pPr>
        <w:pStyle w:val="normal0"/>
        <w:rPr>
          <w:rFonts w:eastAsia="Times New Roman" w:cs="Times New Roman"/>
          <w:b/>
          <w:szCs w:val="24"/>
        </w:rPr>
      </w:pPr>
    </w:p>
    <w:p w:rsidR="000B6122" w:rsidRDefault="000B6122" w:rsidP="005618B3">
      <w:pPr>
        <w:pStyle w:val="normal0"/>
        <w:rPr>
          <w:rFonts w:eastAsia="Times New Roman" w:cs="Times New Roman"/>
          <w:b/>
          <w:szCs w:val="24"/>
        </w:rPr>
      </w:pPr>
    </w:p>
    <w:p w:rsidR="000B6122" w:rsidRDefault="004E142B" w:rsidP="005618B3">
      <w:pPr>
        <w:pStyle w:val="normal0"/>
        <w:rPr>
          <w:rFonts w:eastAsia="Times New Roman" w:cs="Times New Roman"/>
          <w:b/>
          <w:szCs w:val="24"/>
        </w:rPr>
      </w:pPr>
      <w:r>
        <w:br w:type="page"/>
      </w:r>
    </w:p>
    <w:p w:rsidR="000B6122" w:rsidRDefault="004E142B" w:rsidP="005618B3">
      <w:pPr>
        <w:pStyle w:val="Heading1"/>
      </w:pPr>
      <w:bookmarkStart w:id="1" w:name="_Toc112682704"/>
      <w:r>
        <w:lastRenderedPageBreak/>
        <w:t>Question 1</w:t>
      </w:r>
      <w:bookmarkEnd w:id="1"/>
    </w:p>
    <w:p w:rsidR="000B6122" w:rsidRDefault="005618B3" w:rsidP="005618B3">
      <w:pPr>
        <w:pStyle w:val="normal0"/>
        <w:rPr>
          <w:rFonts w:eastAsia="Times New Roman" w:cs="Times New Roman"/>
          <w:b/>
          <w:szCs w:val="24"/>
        </w:rPr>
      </w:pPr>
      <w:r>
        <w:rPr>
          <w:rFonts w:eastAsia="Times New Roman" w:cs="Times New Roman"/>
          <w:b/>
          <w:szCs w:val="24"/>
        </w:rPr>
        <w:t>a) Income</w:t>
      </w:r>
      <w:r w:rsidR="004E142B">
        <w:rPr>
          <w:rFonts w:eastAsia="Times New Roman" w:cs="Times New Roman"/>
          <w:b/>
          <w:szCs w:val="24"/>
        </w:rPr>
        <w:t xml:space="preserve"> Statement and Balance sheet of Wales Plc for the year ended 31st December 2021</w:t>
      </w:r>
    </w:p>
    <w:p w:rsidR="000B6122" w:rsidRDefault="004E142B" w:rsidP="005618B3">
      <w:pPr>
        <w:pStyle w:val="normal0"/>
        <w:shd w:val="clear" w:color="auto" w:fill="FFFFFF"/>
        <w:rPr>
          <w:rFonts w:eastAsia="Times New Roman" w:cs="Times New Roman"/>
          <w:szCs w:val="24"/>
        </w:rPr>
      </w:pPr>
      <w:r>
        <w:rPr>
          <w:rFonts w:eastAsia="Times New Roman" w:cs="Times New Roman"/>
          <w:color w:val="222222"/>
          <w:szCs w:val="24"/>
        </w:rPr>
        <w:t>Profit and loss accounts can be defined as those financial statements which are prepared and maintained in the company in order to comprehend the precise income, loss, profit, or expenditure incurred when conducting business over a specific period of time. The manager of Wales Plc should prepare a profit and loss account in their company because it is very important as this reveals the exact profit and loss incurred in their company (</w:t>
      </w:r>
      <w:r>
        <w:rPr>
          <w:rFonts w:eastAsia="Times New Roman" w:cs="Times New Roman"/>
          <w:color w:val="222222"/>
          <w:szCs w:val="24"/>
          <w:highlight w:val="white"/>
        </w:rPr>
        <w:t xml:space="preserve">Semenyshena </w:t>
      </w:r>
      <w:r>
        <w:rPr>
          <w:rFonts w:eastAsia="Times New Roman" w:cs="Times New Roman"/>
          <w:i/>
          <w:color w:val="222222"/>
          <w:szCs w:val="24"/>
          <w:highlight w:val="white"/>
        </w:rPr>
        <w:t>et al</w:t>
      </w:r>
      <w:r>
        <w:rPr>
          <w:rFonts w:eastAsia="Times New Roman" w:cs="Times New Roman"/>
          <w:color w:val="222222"/>
          <w:szCs w:val="24"/>
          <w:highlight w:val="white"/>
        </w:rPr>
        <w:t>., 2020</w:t>
      </w:r>
      <w:r>
        <w:rPr>
          <w:rFonts w:eastAsia="Times New Roman" w:cs="Times New Roman"/>
          <w:color w:val="222222"/>
          <w:szCs w:val="24"/>
        </w:rPr>
        <w:t>). As a result, they will be able to know whether their company is making profit or loss during a year. With the help of a profit and loss account, the manager of Wales Plc can make more informed decisions which will enable them to grow their business than their competitors. If the manager of Wales Plc performs better in the market place than their competitors, then they will be able to draw in consumers attention which may assist them to earn a huge amount of profit. One of the biggest advantages of preparing a profit and loss account in the company is that the manager of Wales Plc can know their total expenses because it gives information to them from which they can control their expenses and overspending (</w:t>
      </w:r>
      <w:r>
        <w:rPr>
          <w:rFonts w:eastAsia="Times New Roman" w:cs="Times New Roman"/>
          <w:color w:val="222222"/>
          <w:szCs w:val="24"/>
          <w:highlight w:val="white"/>
        </w:rPr>
        <w:t>Umbach, 2018</w:t>
      </w:r>
      <w:r>
        <w:rPr>
          <w:rFonts w:eastAsia="Times New Roman" w:cs="Times New Roman"/>
          <w:color w:val="222222"/>
          <w:szCs w:val="24"/>
        </w:rPr>
        <w:t>). As a result, by controlling overspending, the manager of Wales Plc can save some of their money which may help them for future transactions. The income statement of Wales Plc for the fiscal year is computed below:</w:t>
      </w:r>
    </w:p>
    <w:tbl>
      <w:tblPr>
        <w:tblStyle w:val="a"/>
        <w:tblW w:w="7680" w:type="dxa"/>
        <w:jc w:val="center"/>
        <w:tblInd w:w="-91" w:type="dxa"/>
        <w:tblBorders>
          <w:top w:val="nil"/>
          <w:left w:val="nil"/>
          <w:bottom w:val="nil"/>
          <w:right w:val="nil"/>
          <w:insideH w:val="nil"/>
          <w:insideV w:val="nil"/>
        </w:tblBorders>
        <w:tblLayout w:type="fixed"/>
        <w:tblLook w:val="0600"/>
      </w:tblPr>
      <w:tblGrid>
        <w:gridCol w:w="4680"/>
        <w:gridCol w:w="1500"/>
        <w:gridCol w:w="1500"/>
      </w:tblGrid>
      <w:tr w:rsidR="000B6122" w:rsidTr="005618B3">
        <w:trPr>
          <w:cantSplit/>
          <w:trHeight w:val="360"/>
          <w:tblHeader/>
          <w:jc w:val="center"/>
        </w:trPr>
        <w:tc>
          <w:tcPr>
            <w:tcW w:w="4680" w:type="dxa"/>
            <w:tcBorders>
              <w:top w:val="single" w:sz="7" w:space="0" w:color="000000"/>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rFonts w:eastAsia="Times New Roman" w:cs="Times New Roman"/>
                <w:b/>
                <w:szCs w:val="24"/>
              </w:rPr>
            </w:pPr>
            <w:r>
              <w:rPr>
                <w:rFonts w:eastAsia="Times New Roman" w:cs="Times New Roman"/>
                <w:b/>
                <w:szCs w:val="24"/>
              </w:rPr>
              <w:t>“Income Statement of Wales Plc for the Year ended 31st December 2021”</w:t>
            </w:r>
          </w:p>
        </w:tc>
        <w:tc>
          <w:tcPr>
            <w:tcW w:w="1500" w:type="dxa"/>
            <w:tcBorders>
              <w:top w:val="single" w:sz="7" w:space="0" w:color="000000"/>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000000"/>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“Particulars”</w:t>
            </w:r>
          </w:p>
        </w:tc>
        <w:tc>
          <w:tcPr>
            <w:tcW w:w="1500" w:type="dxa"/>
            <w:tcBorders>
              <w:top w:val="single" w:sz="7" w:space="0" w:color="CCCCCC"/>
              <w:left w:val="single" w:sz="7" w:space="0" w:color="CCCCCC"/>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“Amount (£)”</w:t>
            </w:r>
          </w:p>
        </w:tc>
        <w:tc>
          <w:tcPr>
            <w:tcW w:w="1500" w:type="dxa"/>
            <w:tcBorders>
              <w:top w:val="single" w:sz="7" w:space="0" w:color="CCCCCC"/>
              <w:left w:val="single" w:sz="7" w:space="0" w:color="CCCCCC"/>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“Amount (£)”</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“Sales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800000</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“Add: Unrecorded sales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980</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“Less: Cost of Sales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578650</w:t>
            </w:r>
          </w:p>
        </w:tc>
      </w:tr>
      <w:tr w:rsidR="000B6122" w:rsidTr="005618B3">
        <w:trPr>
          <w:cantSplit/>
          <w:trHeight w:val="315"/>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“Gross Profit”</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4E142B" w:rsidP="005618B3">
            <w:pPr>
              <w:pStyle w:val="normal0"/>
              <w:widowControl w:val="0"/>
              <w:jc w:val="right"/>
              <w:rPr>
                <w:sz w:val="20"/>
                <w:szCs w:val="20"/>
              </w:rPr>
            </w:pPr>
            <w:r>
              <w:rPr>
                <w:rFonts w:eastAsia="Times New Roman" w:cs="Times New Roman"/>
                <w:b/>
                <w:szCs w:val="24"/>
              </w:rPr>
              <w:t>222330</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“Less: Non-Manufacturing Expenses”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“Ordinary Dividend Paid”</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20000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“Preference Dividend Paid”</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30000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lastRenderedPageBreak/>
              <w:t>“Administrative Expenses”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30000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“Interest Paid”</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2000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“Directors Remuneration”</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5000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“Distribution Costs”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28000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“Outstanding Commission”</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3000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118000</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“Profit Before Tax”</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4E142B" w:rsidP="005618B3">
            <w:pPr>
              <w:pStyle w:val="normal0"/>
              <w:widowControl w:val="0"/>
              <w:jc w:val="right"/>
              <w:rPr>
                <w:sz w:val="20"/>
                <w:szCs w:val="20"/>
              </w:rPr>
            </w:pPr>
            <w:r>
              <w:rPr>
                <w:rFonts w:eastAsia="Times New Roman" w:cs="Times New Roman"/>
                <w:b/>
                <w:szCs w:val="24"/>
              </w:rPr>
              <w:t>104330</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“Less: Corporate Tax”</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100000</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“Profit After Tax”</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4E142B" w:rsidP="005618B3">
            <w:pPr>
              <w:pStyle w:val="normal0"/>
              <w:widowControl w:val="0"/>
              <w:jc w:val="right"/>
              <w:rPr>
                <w:sz w:val="20"/>
                <w:szCs w:val="20"/>
              </w:rPr>
            </w:pPr>
            <w:r>
              <w:rPr>
                <w:rFonts w:eastAsia="Times New Roman" w:cs="Times New Roman"/>
                <w:b/>
                <w:szCs w:val="24"/>
              </w:rPr>
              <w:t>4330</w:t>
            </w:r>
          </w:p>
        </w:tc>
      </w:tr>
    </w:tbl>
    <w:p w:rsidR="000B6122" w:rsidRDefault="004E142B" w:rsidP="005618B3">
      <w:pPr>
        <w:pStyle w:val="normal0"/>
        <w:jc w:val="center"/>
        <w:rPr>
          <w:rFonts w:eastAsia="Times New Roman" w:cs="Times New Roman"/>
          <w:b/>
          <w:szCs w:val="24"/>
        </w:rPr>
      </w:pPr>
      <w:r>
        <w:rPr>
          <w:rFonts w:eastAsia="Times New Roman" w:cs="Times New Roman"/>
          <w:b/>
          <w:szCs w:val="24"/>
        </w:rPr>
        <w:t>Table No.1: “Income Statement of Wales Plc”</w:t>
      </w:r>
    </w:p>
    <w:p w:rsidR="000B6122" w:rsidRDefault="004E142B" w:rsidP="005618B3">
      <w:pPr>
        <w:pStyle w:val="normal0"/>
        <w:jc w:val="center"/>
        <w:rPr>
          <w:rFonts w:eastAsia="Times New Roman" w:cs="Times New Roman"/>
          <w:szCs w:val="24"/>
        </w:rPr>
      </w:pPr>
      <w:r>
        <w:rPr>
          <w:rFonts w:eastAsia="Times New Roman" w:cs="Times New Roman"/>
          <w:szCs w:val="24"/>
        </w:rPr>
        <w:t>(Source: Created by learner)</w:t>
      </w:r>
    </w:p>
    <w:p w:rsidR="000B6122" w:rsidRDefault="000B6122" w:rsidP="005618B3">
      <w:pPr>
        <w:pStyle w:val="normal0"/>
        <w:jc w:val="center"/>
        <w:rPr>
          <w:rFonts w:eastAsia="Times New Roman" w:cs="Times New Roman"/>
          <w:b/>
          <w:szCs w:val="24"/>
        </w:rPr>
      </w:pPr>
    </w:p>
    <w:p w:rsidR="000B6122" w:rsidRDefault="004E142B" w:rsidP="005618B3">
      <w:pPr>
        <w:pStyle w:val="normal0"/>
        <w:rPr>
          <w:rFonts w:eastAsia="Times New Roman" w:cs="Times New Roman"/>
          <w:b/>
          <w:szCs w:val="24"/>
        </w:rPr>
      </w:pPr>
      <w:r>
        <w:rPr>
          <w:rFonts w:eastAsia="Times New Roman" w:cs="Times New Roman"/>
          <w:b/>
          <w:szCs w:val="24"/>
        </w:rPr>
        <w:t>Working Notes:</w:t>
      </w:r>
    </w:p>
    <w:p w:rsidR="000B6122" w:rsidRDefault="004E142B" w:rsidP="005618B3">
      <w:pPr>
        <w:pStyle w:val="normal0"/>
        <w:numPr>
          <w:ilvl w:val="0"/>
          <w:numId w:val="1"/>
        </w:numPr>
        <w:rPr>
          <w:rFonts w:eastAsia="Times New Roman" w:cs="Times New Roman"/>
          <w:szCs w:val="24"/>
        </w:rPr>
      </w:pPr>
      <w:r>
        <w:rPr>
          <w:rFonts w:eastAsia="Times New Roman" w:cs="Times New Roman"/>
          <w:szCs w:val="24"/>
        </w:rPr>
        <w:t>Total sales or turnover for the current fiscal year = £ (800000 + 980)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£800980</w:t>
      </w:r>
    </w:p>
    <w:p w:rsidR="000B6122" w:rsidRDefault="004E142B" w:rsidP="005618B3">
      <w:pPr>
        <w:pStyle w:val="normal0"/>
        <w:numPr>
          <w:ilvl w:val="0"/>
          <w:numId w:val="1"/>
        </w:numPr>
        <w:rPr>
          <w:rFonts w:eastAsia="Times New Roman" w:cs="Times New Roman"/>
          <w:szCs w:val="24"/>
        </w:rPr>
      </w:pPr>
      <w:r>
        <w:rPr>
          <w:rFonts w:eastAsia="Times New Roman" w:cs="Times New Roman"/>
          <w:szCs w:val="24"/>
        </w:rPr>
        <w:t>Gross Profit for the current fiscal year = £ (800980 - 578650)</w:t>
      </w:r>
    </w:p>
    <w:p w:rsidR="000B6122" w:rsidRDefault="004E142B" w:rsidP="005618B3">
      <w:pPr>
        <w:pStyle w:val="normal0"/>
        <w:rPr>
          <w:rFonts w:eastAsia="Times New Roman" w:cs="Times New Roman"/>
          <w:szCs w:val="24"/>
        </w:rPr>
      </w:pPr>
      <w:r>
        <w:rPr>
          <w:rFonts w:eastAsia="Times New Roman" w:cs="Times New Roman"/>
          <w:szCs w:val="24"/>
        </w:rPr>
        <w:t xml:space="preserve">                                                                          = £222330</w:t>
      </w:r>
    </w:p>
    <w:p w:rsidR="000B6122" w:rsidRDefault="004E142B" w:rsidP="005618B3">
      <w:pPr>
        <w:pStyle w:val="normal0"/>
        <w:numPr>
          <w:ilvl w:val="0"/>
          <w:numId w:val="1"/>
        </w:numPr>
        <w:rPr>
          <w:rFonts w:eastAsia="Times New Roman" w:cs="Times New Roman"/>
          <w:szCs w:val="24"/>
        </w:rPr>
      </w:pPr>
      <w:r>
        <w:rPr>
          <w:rFonts w:eastAsia="Times New Roman" w:cs="Times New Roman"/>
          <w:szCs w:val="24"/>
        </w:rPr>
        <w:t xml:space="preserve">Total non-manufacturing expenses of the business for the current fiscal year </w:t>
      </w:r>
    </w:p>
    <w:p w:rsidR="000B6122" w:rsidRDefault="004E142B" w:rsidP="005618B3">
      <w:pPr>
        <w:pStyle w:val="normal0"/>
        <w:ind w:left="720"/>
        <w:rPr>
          <w:rFonts w:eastAsia="Times New Roman" w:cs="Times New Roman"/>
          <w:szCs w:val="24"/>
        </w:rPr>
      </w:pPr>
      <w:r>
        <w:rPr>
          <w:rFonts w:eastAsia="Times New Roman" w:cs="Times New Roman"/>
          <w:szCs w:val="24"/>
        </w:rPr>
        <w:t>= £ (20000 + 30000 + 30000 + 2000 + 5000 + 28000 + 3000</w:t>
      </w:r>
    </w:p>
    <w:p w:rsidR="000B6122" w:rsidRDefault="004E142B" w:rsidP="005618B3">
      <w:pPr>
        <w:pStyle w:val="normal0"/>
        <w:ind w:left="720"/>
        <w:rPr>
          <w:rFonts w:eastAsia="Times New Roman" w:cs="Times New Roman"/>
          <w:szCs w:val="24"/>
        </w:rPr>
      </w:pPr>
      <w:r>
        <w:rPr>
          <w:rFonts w:eastAsia="Times New Roman" w:cs="Times New Roman"/>
          <w:szCs w:val="24"/>
        </w:rPr>
        <w:t>= £118000</w:t>
      </w:r>
    </w:p>
    <w:p w:rsidR="000B6122" w:rsidRDefault="004E142B" w:rsidP="005618B3">
      <w:pPr>
        <w:pStyle w:val="normal0"/>
        <w:numPr>
          <w:ilvl w:val="0"/>
          <w:numId w:val="1"/>
        </w:numPr>
        <w:rPr>
          <w:rFonts w:eastAsia="Times New Roman" w:cs="Times New Roman"/>
          <w:szCs w:val="24"/>
        </w:rPr>
      </w:pPr>
      <w:r>
        <w:rPr>
          <w:rFonts w:eastAsia="Times New Roman" w:cs="Times New Roman"/>
          <w:szCs w:val="24"/>
        </w:rPr>
        <w:t>Profit of Wales before corporate tax = £(222330 - 118000)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£104330</w:t>
      </w:r>
    </w:p>
    <w:p w:rsidR="000B6122" w:rsidRDefault="004E142B" w:rsidP="005618B3">
      <w:pPr>
        <w:pStyle w:val="normal0"/>
        <w:numPr>
          <w:ilvl w:val="0"/>
          <w:numId w:val="1"/>
        </w:numPr>
        <w:rPr>
          <w:rFonts w:eastAsia="Times New Roman" w:cs="Times New Roman"/>
          <w:szCs w:val="24"/>
        </w:rPr>
      </w:pPr>
      <w:r>
        <w:rPr>
          <w:rFonts w:eastAsia="Times New Roman" w:cs="Times New Roman"/>
          <w:szCs w:val="24"/>
        </w:rPr>
        <w:t>Profit of Wales after Tax or Net Profit of the business = £(104330 - 100000)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£4330</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Justification:</w:t>
      </w:r>
    </w:p>
    <w:p w:rsidR="000B6122" w:rsidRDefault="004E142B" w:rsidP="005618B3">
      <w:pPr>
        <w:pStyle w:val="normal0"/>
        <w:rPr>
          <w:rFonts w:eastAsia="Times New Roman" w:cs="Times New Roman"/>
          <w:szCs w:val="24"/>
        </w:rPr>
      </w:pPr>
      <w:r>
        <w:rPr>
          <w:rFonts w:eastAsia="Times New Roman" w:cs="Times New Roman"/>
          <w:szCs w:val="24"/>
        </w:rPr>
        <w:t xml:space="preserve">Wales </w:t>
      </w:r>
      <w:r>
        <w:rPr>
          <w:rFonts w:eastAsia="Times New Roman" w:cs="Times New Roman"/>
          <w:szCs w:val="24"/>
        </w:rPr>
        <w:tab/>
        <w:t>Plc is a company who mainly operates its business operations in the marketplace of the United Kingdom. In 2021, the company made a total sales of £800980. On the other hand, the total cost of sales of the business for the year 2021 was £57865. As a result of this, the gross profit of Wales Plc for 2021 was £222330. Along with this, the indirect or the non-</w:t>
      </w:r>
      <w:r>
        <w:rPr>
          <w:rFonts w:eastAsia="Times New Roman" w:cs="Times New Roman"/>
          <w:szCs w:val="24"/>
        </w:rPr>
        <w:lastRenderedPageBreak/>
        <w:t>manufacturing expenses of the business involves ordinary and preference dividend payments, administrative expenses, interest paid, directors remuneration, distribution costs and outstanding commission (</w:t>
      </w:r>
      <w:r>
        <w:rPr>
          <w:rFonts w:eastAsia="Times New Roman" w:cs="Times New Roman"/>
          <w:color w:val="222222"/>
          <w:szCs w:val="24"/>
          <w:highlight w:val="white"/>
        </w:rPr>
        <w:t xml:space="preserve">Allee </w:t>
      </w:r>
      <w:r>
        <w:rPr>
          <w:rFonts w:eastAsia="Times New Roman" w:cs="Times New Roman"/>
          <w:i/>
          <w:color w:val="222222"/>
          <w:szCs w:val="24"/>
          <w:highlight w:val="white"/>
        </w:rPr>
        <w:t>et al.</w:t>
      </w:r>
      <w:r>
        <w:rPr>
          <w:rFonts w:eastAsia="Times New Roman" w:cs="Times New Roman"/>
          <w:color w:val="222222"/>
          <w:szCs w:val="24"/>
          <w:highlight w:val="white"/>
        </w:rPr>
        <w:t>, 2022</w:t>
      </w:r>
      <w:r>
        <w:rPr>
          <w:rFonts w:eastAsia="Times New Roman" w:cs="Times New Roman"/>
          <w:szCs w:val="24"/>
        </w:rPr>
        <w:t>). The total indirect expenses of the business for the year was £118000. Therefore from their functions in the marketplace, the management of Wales Plc has earned a revenue of £4330. If the administration of Wales Plc wants to improve their performance then they have to reduce their operational expenses (</w:t>
      </w:r>
      <w:r>
        <w:rPr>
          <w:rFonts w:eastAsia="Times New Roman" w:cs="Times New Roman"/>
          <w:color w:val="222222"/>
          <w:szCs w:val="24"/>
          <w:highlight w:val="white"/>
        </w:rPr>
        <w:t>Xu, 2021</w:t>
      </w:r>
      <w:r>
        <w:rPr>
          <w:rFonts w:eastAsia="Times New Roman" w:cs="Times New Roman"/>
          <w:szCs w:val="24"/>
        </w:rPr>
        <w:t xml:space="preserve">). Apart from this, in the upcoming years they have to maximise their revenue levels as it is significant for their growth and development in the marketplace of the United Kingdom. </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br w:type="page"/>
      </w:r>
    </w:p>
    <w:p w:rsidR="000B6122" w:rsidRDefault="004E142B" w:rsidP="005618B3">
      <w:pPr>
        <w:pStyle w:val="normal0"/>
        <w:rPr>
          <w:rFonts w:eastAsia="Times New Roman" w:cs="Times New Roman"/>
          <w:b/>
          <w:szCs w:val="24"/>
        </w:rPr>
      </w:pPr>
      <w:r>
        <w:rPr>
          <w:rFonts w:eastAsia="Times New Roman" w:cs="Times New Roman"/>
          <w:b/>
          <w:szCs w:val="24"/>
        </w:rPr>
        <w:lastRenderedPageBreak/>
        <w:t>Balance Sheet of Wales Plc:</w:t>
      </w:r>
    </w:p>
    <w:p w:rsidR="000B6122" w:rsidRDefault="004E142B" w:rsidP="005618B3">
      <w:pPr>
        <w:pStyle w:val="normal0"/>
        <w:shd w:val="clear" w:color="auto" w:fill="FFFFFF"/>
        <w:rPr>
          <w:rFonts w:eastAsia="Times New Roman" w:cs="Times New Roman"/>
          <w:szCs w:val="24"/>
        </w:rPr>
      </w:pPr>
      <w:r>
        <w:rPr>
          <w:rFonts w:eastAsia="Times New Roman" w:cs="Times New Roman"/>
          <w:color w:val="222222"/>
          <w:szCs w:val="24"/>
        </w:rPr>
        <w:t>A balance sheet can be defined as a financial statement that includes specific information on the total assets, liabilities, shareholders equity as well as capital of a firm. Balance sheet provides a detailed summary of the assets and liabilities of the company, as well as the amount of investment made by its shareholders, all information disclosed on a single day. As a result, the manager of Wales Plc can better grasp their company's financial situation through which they can make more informed decisions (</w:t>
      </w:r>
      <w:r>
        <w:rPr>
          <w:rFonts w:eastAsia="Times New Roman" w:cs="Times New Roman"/>
          <w:color w:val="222222"/>
          <w:szCs w:val="24"/>
          <w:highlight w:val="white"/>
        </w:rPr>
        <w:t xml:space="preserve">Susanto </w:t>
      </w:r>
      <w:r>
        <w:rPr>
          <w:rFonts w:eastAsia="Times New Roman" w:cs="Times New Roman"/>
          <w:i/>
          <w:color w:val="222222"/>
          <w:szCs w:val="24"/>
          <w:highlight w:val="white"/>
        </w:rPr>
        <w:t>et al.</w:t>
      </w:r>
      <w:r>
        <w:rPr>
          <w:rFonts w:eastAsia="Times New Roman" w:cs="Times New Roman"/>
          <w:color w:val="222222"/>
          <w:szCs w:val="24"/>
          <w:highlight w:val="white"/>
        </w:rPr>
        <w:t>, 2021</w:t>
      </w:r>
      <w:r>
        <w:rPr>
          <w:rFonts w:eastAsia="Times New Roman" w:cs="Times New Roman"/>
          <w:color w:val="222222"/>
          <w:szCs w:val="24"/>
        </w:rPr>
        <w:t>). With the help of a balance sheet, the manager of Wales Plc can understand how well they are performing in the marketplace. Balance sheet also helps the manager of Wales Plc to calculate important financial ratios. By calculating financial ratios, the manager of Wales Plc can measure their profitability, liquidity as well as sustainability of their company. A balance sheet also helps the manager of Wales Plc because it gives specific details on the assets as well as liabilities for a certain accounting period (</w:t>
      </w:r>
      <w:r>
        <w:rPr>
          <w:rFonts w:eastAsia="Times New Roman" w:cs="Times New Roman"/>
          <w:color w:val="222222"/>
          <w:szCs w:val="24"/>
          <w:highlight w:val="white"/>
        </w:rPr>
        <w:t xml:space="preserve">Song </w:t>
      </w:r>
      <w:r>
        <w:rPr>
          <w:rFonts w:eastAsia="Times New Roman" w:cs="Times New Roman"/>
          <w:i/>
          <w:color w:val="222222"/>
          <w:szCs w:val="24"/>
          <w:highlight w:val="white"/>
        </w:rPr>
        <w:t>et al.</w:t>
      </w:r>
      <w:r>
        <w:rPr>
          <w:rFonts w:eastAsia="Times New Roman" w:cs="Times New Roman"/>
          <w:color w:val="222222"/>
          <w:szCs w:val="24"/>
          <w:highlight w:val="white"/>
        </w:rPr>
        <w:t>, 2019</w:t>
      </w:r>
      <w:r>
        <w:rPr>
          <w:rFonts w:eastAsia="Times New Roman" w:cs="Times New Roman"/>
          <w:color w:val="222222"/>
          <w:szCs w:val="24"/>
        </w:rPr>
        <w:t>). As a result, it will aid them in comprehending their company's solvency condition. So, these are some of the important reasons which entails that the balance sheet is very important in a company. The Balance sheet of Wales Plc for the current fiscal year is computed below:</w:t>
      </w:r>
    </w:p>
    <w:tbl>
      <w:tblPr>
        <w:tblStyle w:val="a0"/>
        <w:tblW w:w="7680" w:type="dxa"/>
        <w:jc w:val="center"/>
        <w:tblInd w:w="-91" w:type="dxa"/>
        <w:tblBorders>
          <w:top w:val="nil"/>
          <w:left w:val="nil"/>
          <w:bottom w:val="nil"/>
          <w:right w:val="nil"/>
          <w:insideH w:val="nil"/>
          <w:insideV w:val="nil"/>
        </w:tblBorders>
        <w:tblLayout w:type="fixed"/>
        <w:tblLook w:val="0600"/>
      </w:tblPr>
      <w:tblGrid>
        <w:gridCol w:w="4680"/>
        <w:gridCol w:w="1500"/>
        <w:gridCol w:w="1500"/>
      </w:tblGrid>
      <w:tr w:rsidR="000B6122" w:rsidTr="005618B3">
        <w:trPr>
          <w:cantSplit/>
          <w:trHeight w:val="360"/>
          <w:tblHeader/>
          <w:jc w:val="center"/>
        </w:trPr>
        <w:tc>
          <w:tcPr>
            <w:tcW w:w="4680" w:type="dxa"/>
            <w:tcBorders>
              <w:top w:val="single" w:sz="7" w:space="0" w:color="000000"/>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rFonts w:eastAsia="Times New Roman" w:cs="Times New Roman"/>
                <w:b/>
                <w:szCs w:val="24"/>
              </w:rPr>
            </w:pPr>
            <w:r>
              <w:rPr>
                <w:rFonts w:eastAsia="Times New Roman" w:cs="Times New Roman"/>
                <w:b/>
                <w:szCs w:val="24"/>
              </w:rPr>
              <w:t>“Balance Sheet of Wales Plc for the Year ended 31st December 2021”</w:t>
            </w:r>
          </w:p>
        </w:tc>
        <w:tc>
          <w:tcPr>
            <w:tcW w:w="1500" w:type="dxa"/>
            <w:tcBorders>
              <w:top w:val="single" w:sz="7" w:space="0" w:color="000000"/>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000000"/>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“Particulars”</w:t>
            </w:r>
          </w:p>
        </w:tc>
        <w:tc>
          <w:tcPr>
            <w:tcW w:w="1500" w:type="dxa"/>
            <w:tcBorders>
              <w:top w:val="single" w:sz="7" w:space="0" w:color="CCCCCC"/>
              <w:left w:val="single" w:sz="7" w:space="0" w:color="CCCCCC"/>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“Amount (£)”</w:t>
            </w:r>
          </w:p>
        </w:tc>
        <w:tc>
          <w:tcPr>
            <w:tcW w:w="1500" w:type="dxa"/>
            <w:tcBorders>
              <w:top w:val="single" w:sz="7" w:space="0" w:color="CCCCCC"/>
              <w:left w:val="single" w:sz="7" w:space="0" w:color="CCCCCC"/>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“Amount (£)”</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“Equity &amp; Liabilities”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“Shareholder's Fund”</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“Share Capital”</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700000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“Retained Earnings”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86330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“Non-Current Liabilities”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“4% Debenture”</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100000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“Current Liabilities”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“Trade Payable”</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188625</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“Corporation Tax”</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100000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“Outstanding Commission”</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3000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lastRenderedPageBreak/>
              <w:t>“Total”</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b/>
                <w:szCs w:val="24"/>
              </w:rPr>
              <w:t>1177955</w:t>
            </w: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“ASSETS”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“Non-Current Assets”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“Plant and Equipment”</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650000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0" w:type="dxa"/>
              <w:bottom w:w="40" w:type="dxa"/>
              <w:right w:w="0" w:type="dxa"/>
            </w:tcMar>
            <w:vAlign w:val="bottom"/>
          </w:tcPr>
          <w:p w:rsidR="000B6122" w:rsidRDefault="004E142B" w:rsidP="005618B3">
            <w:pPr>
              <w:pStyle w:val="normal0"/>
              <w:widowControl w:val="0"/>
              <w:rPr>
                <w:sz w:val="20"/>
                <w:szCs w:val="20"/>
              </w:rPr>
            </w:pPr>
            <w:r>
              <w:rPr>
                <w:rFonts w:eastAsia="Times New Roman" w:cs="Times New Roman"/>
                <w:b/>
                <w:szCs w:val="24"/>
              </w:rPr>
              <w:t>“Current Assets”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bottom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“Closing Stock”</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330600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“Trade Receivables”</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171105</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rPr>
                <w:sz w:val="20"/>
                <w:szCs w:val="20"/>
              </w:rPr>
            </w:pPr>
            <w:r>
              <w:rPr>
                <w:rFonts w:eastAsia="Times New Roman" w:cs="Times New Roman"/>
                <w:szCs w:val="24"/>
              </w:rPr>
              <w:t>“Cash and Bank”</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26250</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r>
      <w:tr w:rsidR="000B6122" w:rsidTr="005618B3">
        <w:trPr>
          <w:cantSplit/>
          <w:trHeight w:val="360"/>
          <w:tblHeader/>
          <w:jc w:val="center"/>
        </w:trPr>
        <w:tc>
          <w:tcPr>
            <w:tcW w:w="4680" w:type="dxa"/>
            <w:tcBorders>
              <w:top w:val="single" w:sz="7" w:space="0" w:color="CCCCCC"/>
              <w:left w:val="single" w:sz="7" w:space="0" w:color="000000"/>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szCs w:val="24"/>
              </w:rPr>
              <w:t>“Total”</w:t>
            </w: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0B6122" w:rsidP="005618B3">
            <w:pPr>
              <w:pStyle w:val="normal0"/>
              <w:widowControl w:val="0"/>
              <w:rPr>
                <w:sz w:val="20"/>
                <w:szCs w:val="20"/>
              </w:rPr>
            </w:pPr>
          </w:p>
        </w:tc>
        <w:tc>
          <w:tcPr>
            <w:tcW w:w="1500" w:type="dxa"/>
            <w:tcBorders>
              <w:top w:val="single" w:sz="7" w:space="0" w:color="CCCCCC"/>
              <w:left w:val="single" w:sz="7" w:space="0" w:color="CCCCCC"/>
              <w:bottom w:val="single" w:sz="7" w:space="0" w:color="000000"/>
              <w:right w:val="single" w:sz="7" w:space="0" w:color="000000"/>
            </w:tcBorders>
            <w:tcMar>
              <w:top w:w="40" w:type="dxa"/>
              <w:left w:w="40" w:type="dxa"/>
              <w:bottom w:w="40" w:type="dxa"/>
              <w:right w:w="40" w:type="dxa"/>
            </w:tcMar>
            <w:vAlign w:val="bottom"/>
          </w:tcPr>
          <w:p w:rsidR="000B6122" w:rsidRDefault="004E142B" w:rsidP="005618B3">
            <w:pPr>
              <w:pStyle w:val="normal0"/>
              <w:widowControl w:val="0"/>
              <w:jc w:val="right"/>
              <w:rPr>
                <w:sz w:val="20"/>
                <w:szCs w:val="20"/>
              </w:rPr>
            </w:pPr>
            <w:r>
              <w:rPr>
                <w:rFonts w:eastAsia="Times New Roman" w:cs="Times New Roman"/>
                <w:b/>
                <w:szCs w:val="24"/>
              </w:rPr>
              <w:t>1177955</w:t>
            </w:r>
          </w:p>
        </w:tc>
      </w:tr>
    </w:tbl>
    <w:p w:rsidR="000B6122" w:rsidRDefault="004E142B" w:rsidP="005618B3">
      <w:pPr>
        <w:pStyle w:val="normal0"/>
        <w:jc w:val="center"/>
        <w:rPr>
          <w:rFonts w:eastAsia="Times New Roman" w:cs="Times New Roman"/>
          <w:b/>
          <w:szCs w:val="24"/>
        </w:rPr>
      </w:pPr>
      <w:r>
        <w:rPr>
          <w:rFonts w:eastAsia="Times New Roman" w:cs="Times New Roman"/>
          <w:b/>
          <w:szCs w:val="24"/>
        </w:rPr>
        <w:t>Table No.2: “Balance Sheet of Wales Plc”</w:t>
      </w:r>
    </w:p>
    <w:p w:rsidR="000B6122" w:rsidRDefault="004E142B" w:rsidP="005618B3">
      <w:pPr>
        <w:pStyle w:val="normal0"/>
        <w:jc w:val="center"/>
        <w:rPr>
          <w:rFonts w:eastAsia="Times New Roman" w:cs="Times New Roman"/>
          <w:szCs w:val="24"/>
        </w:rPr>
      </w:pPr>
      <w:r>
        <w:rPr>
          <w:rFonts w:eastAsia="Times New Roman" w:cs="Times New Roman"/>
          <w:szCs w:val="24"/>
        </w:rPr>
        <w:t>(Source: Created by learner)</w:t>
      </w:r>
    </w:p>
    <w:p w:rsidR="000B6122" w:rsidRDefault="000B6122" w:rsidP="005618B3">
      <w:pPr>
        <w:pStyle w:val="normal0"/>
        <w:rPr>
          <w:rFonts w:eastAsia="Times New Roman" w:cs="Times New Roman"/>
          <w:b/>
          <w:szCs w:val="24"/>
        </w:rPr>
      </w:pPr>
    </w:p>
    <w:p w:rsidR="000B6122" w:rsidRDefault="004E142B" w:rsidP="005618B3">
      <w:pPr>
        <w:pStyle w:val="normal0"/>
        <w:rPr>
          <w:rFonts w:eastAsia="Times New Roman" w:cs="Times New Roman"/>
          <w:b/>
          <w:szCs w:val="24"/>
        </w:rPr>
      </w:pPr>
      <w:r>
        <w:rPr>
          <w:rFonts w:eastAsia="Times New Roman" w:cs="Times New Roman"/>
          <w:b/>
          <w:szCs w:val="24"/>
        </w:rPr>
        <w:t>Working Notes:</w:t>
      </w:r>
    </w:p>
    <w:p w:rsidR="000B6122" w:rsidRDefault="004E142B" w:rsidP="005618B3">
      <w:pPr>
        <w:pStyle w:val="normal0"/>
        <w:numPr>
          <w:ilvl w:val="0"/>
          <w:numId w:val="3"/>
        </w:numPr>
        <w:rPr>
          <w:rFonts w:eastAsia="Times New Roman" w:cs="Times New Roman"/>
          <w:szCs w:val="24"/>
        </w:rPr>
      </w:pPr>
      <w:r>
        <w:rPr>
          <w:rFonts w:eastAsia="Times New Roman" w:cs="Times New Roman"/>
          <w:szCs w:val="24"/>
        </w:rPr>
        <w:t>Share Capital of Wales Plc for the current fiscal year = £(500000 + 200000)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£ 700000</w:t>
      </w:r>
    </w:p>
    <w:p w:rsidR="000B6122" w:rsidRDefault="004E142B" w:rsidP="005618B3">
      <w:pPr>
        <w:pStyle w:val="normal0"/>
        <w:numPr>
          <w:ilvl w:val="0"/>
          <w:numId w:val="3"/>
        </w:numPr>
        <w:rPr>
          <w:rFonts w:eastAsia="Times New Roman" w:cs="Times New Roman"/>
          <w:szCs w:val="24"/>
        </w:rPr>
      </w:pPr>
      <w:r>
        <w:rPr>
          <w:rFonts w:eastAsia="Times New Roman" w:cs="Times New Roman"/>
          <w:szCs w:val="24"/>
        </w:rPr>
        <w:t xml:space="preserve">Retained </w:t>
      </w:r>
      <w:r w:rsidR="005618B3">
        <w:rPr>
          <w:rFonts w:eastAsia="Times New Roman" w:cs="Times New Roman"/>
          <w:szCs w:val="24"/>
        </w:rPr>
        <w:t>earnings</w:t>
      </w:r>
      <w:r>
        <w:rPr>
          <w:rFonts w:eastAsia="Times New Roman" w:cs="Times New Roman"/>
          <w:szCs w:val="24"/>
        </w:rPr>
        <w:t xml:space="preserve"> of the business for the current year = £ (132000 + 4330 - 50000)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£86330</w:t>
      </w:r>
    </w:p>
    <w:p w:rsidR="000B6122" w:rsidRDefault="004E142B" w:rsidP="005618B3">
      <w:pPr>
        <w:pStyle w:val="normal0"/>
        <w:numPr>
          <w:ilvl w:val="0"/>
          <w:numId w:val="3"/>
        </w:numPr>
        <w:rPr>
          <w:rFonts w:eastAsia="Times New Roman" w:cs="Times New Roman"/>
          <w:szCs w:val="24"/>
        </w:rPr>
      </w:pPr>
      <w:r>
        <w:rPr>
          <w:rFonts w:eastAsia="Times New Roman" w:cs="Times New Roman"/>
          <w:szCs w:val="24"/>
        </w:rPr>
        <w:t>Total liabilities and equity of Wales Plc = £ (700000 + 86330 + 100000 +  188625 + 100000 + 3000)</w:t>
      </w:r>
    </w:p>
    <w:p w:rsidR="000B6122" w:rsidRDefault="005618B3" w:rsidP="005618B3">
      <w:pPr>
        <w:pStyle w:val="normal0"/>
        <w:ind w:left="720"/>
        <w:rPr>
          <w:rFonts w:eastAsia="Times New Roman" w:cs="Times New Roman"/>
          <w:szCs w:val="24"/>
        </w:rPr>
      </w:pPr>
      <w:r>
        <w:rPr>
          <w:rFonts w:eastAsia="Times New Roman" w:cs="Times New Roman"/>
          <w:szCs w:val="24"/>
        </w:rPr>
        <w:t>= £</w:t>
      </w:r>
      <w:r w:rsidR="004E142B">
        <w:rPr>
          <w:rFonts w:eastAsia="Times New Roman" w:cs="Times New Roman"/>
          <w:szCs w:val="24"/>
        </w:rPr>
        <w:t xml:space="preserve"> </w:t>
      </w:r>
      <w:r w:rsidR="004E142B">
        <w:rPr>
          <w:rFonts w:eastAsia="Times New Roman" w:cs="Times New Roman"/>
          <w:b/>
          <w:szCs w:val="24"/>
        </w:rPr>
        <w:t>1177955</w:t>
      </w:r>
    </w:p>
    <w:p w:rsidR="000B6122" w:rsidRDefault="004E142B" w:rsidP="005618B3">
      <w:pPr>
        <w:pStyle w:val="normal0"/>
        <w:numPr>
          <w:ilvl w:val="0"/>
          <w:numId w:val="3"/>
        </w:numPr>
        <w:rPr>
          <w:rFonts w:eastAsia="Times New Roman" w:cs="Times New Roman"/>
          <w:szCs w:val="24"/>
        </w:rPr>
      </w:pPr>
      <w:r>
        <w:rPr>
          <w:rFonts w:eastAsia="Times New Roman" w:cs="Times New Roman"/>
          <w:szCs w:val="24"/>
        </w:rPr>
        <w:t>Trade Receivables/Debtors of the business = £ (170125 + 980)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£ 171105</w:t>
      </w:r>
    </w:p>
    <w:p w:rsidR="000B6122" w:rsidRDefault="004E142B" w:rsidP="005618B3">
      <w:pPr>
        <w:pStyle w:val="normal0"/>
        <w:numPr>
          <w:ilvl w:val="0"/>
          <w:numId w:val="3"/>
        </w:numPr>
        <w:rPr>
          <w:rFonts w:eastAsia="Times New Roman" w:cs="Times New Roman"/>
          <w:szCs w:val="24"/>
        </w:rPr>
      </w:pPr>
      <w:r>
        <w:rPr>
          <w:rFonts w:eastAsia="Times New Roman" w:cs="Times New Roman"/>
          <w:szCs w:val="24"/>
        </w:rPr>
        <w:t>Bank and Cash balance of the business by the end of the year = £(76250 - 50000)</w:t>
      </w:r>
    </w:p>
    <w:p w:rsidR="000B6122" w:rsidRDefault="004E142B" w:rsidP="005618B3">
      <w:pPr>
        <w:pStyle w:val="normal0"/>
        <w:ind w:left="720"/>
        <w:rPr>
          <w:rFonts w:eastAsia="Times New Roman" w:cs="Times New Roman"/>
          <w:szCs w:val="24"/>
        </w:rPr>
      </w:pPr>
      <w:r>
        <w:rPr>
          <w:rFonts w:eastAsia="Times New Roman" w:cs="Times New Roman"/>
          <w:szCs w:val="24"/>
        </w:rPr>
        <w:t xml:space="preserve">                                                                                                   =  £ 26250</w:t>
      </w:r>
    </w:p>
    <w:p w:rsidR="000B6122" w:rsidRDefault="004E142B" w:rsidP="005618B3">
      <w:pPr>
        <w:pStyle w:val="normal0"/>
        <w:numPr>
          <w:ilvl w:val="0"/>
          <w:numId w:val="3"/>
        </w:numPr>
        <w:rPr>
          <w:rFonts w:eastAsia="Times New Roman" w:cs="Times New Roman"/>
          <w:szCs w:val="24"/>
        </w:rPr>
      </w:pPr>
      <w:r>
        <w:rPr>
          <w:rFonts w:eastAsia="Times New Roman" w:cs="Times New Roman"/>
          <w:szCs w:val="24"/>
        </w:rPr>
        <w:t>Total Assets of Wales Plc =  £ (650000 + 330600 + 171105 +26250)</w:t>
      </w:r>
    </w:p>
    <w:p w:rsidR="000B6122" w:rsidRDefault="004E142B" w:rsidP="005618B3">
      <w:pPr>
        <w:pStyle w:val="normal0"/>
        <w:ind w:left="720"/>
        <w:rPr>
          <w:rFonts w:eastAsia="Times New Roman" w:cs="Times New Roman"/>
          <w:b/>
          <w:szCs w:val="24"/>
        </w:rPr>
      </w:pPr>
      <w:r>
        <w:rPr>
          <w:rFonts w:eastAsia="Times New Roman" w:cs="Times New Roman"/>
          <w:szCs w:val="24"/>
        </w:rPr>
        <w:t xml:space="preserve">                                          =   </w:t>
      </w:r>
      <w:r>
        <w:rPr>
          <w:rFonts w:eastAsia="Times New Roman" w:cs="Times New Roman"/>
          <w:b/>
          <w:szCs w:val="24"/>
        </w:rPr>
        <w:t>£ 1177955</w:t>
      </w:r>
    </w:p>
    <w:p w:rsidR="000B6122" w:rsidRDefault="000B6122" w:rsidP="005618B3">
      <w:pPr>
        <w:pStyle w:val="normal0"/>
        <w:rPr>
          <w:rFonts w:eastAsia="Times New Roman" w:cs="Times New Roman"/>
          <w:b/>
          <w:szCs w:val="24"/>
        </w:rPr>
      </w:pPr>
    </w:p>
    <w:p w:rsidR="005618B3" w:rsidRDefault="005618B3" w:rsidP="005618B3">
      <w:pPr>
        <w:pStyle w:val="normal0"/>
        <w:rPr>
          <w:rFonts w:eastAsia="Times New Roman" w:cs="Times New Roman"/>
          <w:b/>
          <w:szCs w:val="24"/>
        </w:rPr>
      </w:pPr>
    </w:p>
    <w:p w:rsidR="005618B3" w:rsidRDefault="005618B3" w:rsidP="005618B3">
      <w:pPr>
        <w:pStyle w:val="normal0"/>
        <w:rPr>
          <w:rFonts w:eastAsia="Times New Roman" w:cs="Times New Roman"/>
          <w:b/>
          <w:szCs w:val="24"/>
        </w:rPr>
      </w:pPr>
    </w:p>
    <w:p w:rsidR="000B6122" w:rsidRDefault="004E142B" w:rsidP="005618B3">
      <w:pPr>
        <w:pStyle w:val="normal0"/>
        <w:rPr>
          <w:rFonts w:eastAsia="Times New Roman" w:cs="Times New Roman"/>
          <w:b/>
          <w:szCs w:val="24"/>
        </w:rPr>
      </w:pPr>
      <w:r>
        <w:rPr>
          <w:rFonts w:eastAsia="Times New Roman" w:cs="Times New Roman"/>
          <w:b/>
          <w:szCs w:val="24"/>
        </w:rPr>
        <w:lastRenderedPageBreak/>
        <w:t>Justification:</w:t>
      </w:r>
    </w:p>
    <w:p w:rsidR="000B6122" w:rsidRDefault="004E142B" w:rsidP="005618B3">
      <w:pPr>
        <w:pStyle w:val="normal0"/>
        <w:rPr>
          <w:rFonts w:eastAsia="Times New Roman" w:cs="Times New Roman"/>
          <w:szCs w:val="24"/>
        </w:rPr>
      </w:pPr>
      <w:r>
        <w:rPr>
          <w:rFonts w:eastAsia="Times New Roman" w:cs="Times New Roman"/>
          <w:szCs w:val="24"/>
        </w:rPr>
        <w:t>In order to generate capital for the operation of the business, the administration of Wales Plc has issued debentures in the marketplace. Along with this, the total value of the current liabilities or short-term obligation of the business was £291625. Contrastingly, the total value of the current assets of Wales Plc was £527955. Wales Plc has a higher worth of current assets than the short-period obligations (</w:t>
      </w:r>
      <w:r>
        <w:rPr>
          <w:rFonts w:eastAsia="Times New Roman" w:cs="Times New Roman"/>
          <w:color w:val="222222"/>
          <w:szCs w:val="24"/>
          <w:highlight w:val="white"/>
        </w:rPr>
        <w:t>Felber</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2021</w:t>
      </w:r>
      <w:r>
        <w:rPr>
          <w:rFonts w:eastAsia="Times New Roman" w:cs="Times New Roman"/>
          <w:szCs w:val="24"/>
        </w:rPr>
        <w:t xml:space="preserve">). This means the administration of Wales Plc can reimburse </w:t>
      </w:r>
      <w:r w:rsidR="005618B3">
        <w:rPr>
          <w:rFonts w:eastAsia="Times New Roman" w:cs="Times New Roman"/>
          <w:szCs w:val="24"/>
        </w:rPr>
        <w:t>easily their</w:t>
      </w:r>
      <w:r>
        <w:rPr>
          <w:rFonts w:eastAsia="Times New Roman" w:cs="Times New Roman"/>
          <w:szCs w:val="24"/>
        </w:rPr>
        <w:t xml:space="preserve"> loans or obligations which are less than 1 year. It will provide a better or superior sustainability to the business in the UK marketplace which is essential for their longer survival in the marketplace. </w:t>
      </w:r>
    </w:p>
    <w:p w:rsidR="000B6122" w:rsidRDefault="000B6122" w:rsidP="005618B3">
      <w:pPr>
        <w:pStyle w:val="normal0"/>
        <w:rPr>
          <w:rFonts w:eastAsia="Times New Roman" w:cs="Times New Roman"/>
          <w:b/>
          <w:szCs w:val="24"/>
        </w:rPr>
      </w:pPr>
    </w:p>
    <w:p w:rsidR="000B6122" w:rsidRDefault="004E142B" w:rsidP="005618B3">
      <w:pPr>
        <w:pStyle w:val="normal0"/>
        <w:rPr>
          <w:rFonts w:eastAsia="Times New Roman" w:cs="Times New Roman"/>
          <w:b/>
          <w:szCs w:val="24"/>
        </w:rPr>
      </w:pPr>
      <w:r>
        <w:rPr>
          <w:rFonts w:eastAsia="Times New Roman" w:cs="Times New Roman"/>
          <w:b/>
          <w:szCs w:val="24"/>
        </w:rPr>
        <w:t xml:space="preserve">b) “Why does the statement of financial position balance”? </w:t>
      </w:r>
    </w:p>
    <w:p w:rsidR="000B6122" w:rsidRDefault="004E142B" w:rsidP="005618B3">
      <w:pPr>
        <w:pStyle w:val="normal0"/>
        <w:rPr>
          <w:rFonts w:eastAsia="Times New Roman" w:cs="Times New Roman"/>
          <w:szCs w:val="24"/>
        </w:rPr>
      </w:pPr>
      <w:r>
        <w:rPr>
          <w:rFonts w:eastAsia="Times New Roman" w:cs="Times New Roman"/>
          <w:szCs w:val="24"/>
        </w:rPr>
        <w:t>The balance sheets which are prepared by the accountants to assess the performance and situation in the market are always balanced and matched because of the “accounting principles of double entry” (</w:t>
      </w:r>
      <w:r>
        <w:rPr>
          <w:rFonts w:eastAsia="Times New Roman" w:cs="Times New Roman"/>
          <w:color w:val="222222"/>
          <w:szCs w:val="24"/>
          <w:highlight w:val="white"/>
        </w:rPr>
        <w:t xml:space="preserve">Buchak </w:t>
      </w:r>
      <w:r>
        <w:rPr>
          <w:rFonts w:eastAsia="Times New Roman" w:cs="Times New Roman"/>
          <w:i/>
          <w:color w:val="222222"/>
          <w:szCs w:val="24"/>
          <w:highlight w:val="white"/>
        </w:rPr>
        <w:t>et al.,</w:t>
      </w:r>
      <w:r>
        <w:rPr>
          <w:rFonts w:eastAsia="Times New Roman" w:cs="Times New Roman"/>
          <w:color w:val="222222"/>
          <w:szCs w:val="24"/>
          <w:highlight w:val="white"/>
        </w:rPr>
        <w:t xml:space="preserve"> 2018</w:t>
      </w:r>
      <w:r>
        <w:rPr>
          <w:rFonts w:eastAsia="Times New Roman" w:cs="Times New Roman"/>
          <w:szCs w:val="24"/>
        </w:rPr>
        <w:t xml:space="preserve">). With the help of this, the accountants of the businesses record or report all the transactions in more than one account which in turn act as a cross checker to ensure that the entries are correct and consistent. The assets must be equal with the liabilities in the balance sheet, otherwise it will not showcase the true growth of the business in the marketplace. </w:t>
      </w:r>
    </w:p>
    <w:p w:rsidR="000B6122" w:rsidRDefault="004E142B" w:rsidP="005618B3">
      <w:pPr>
        <w:pStyle w:val="normal0"/>
        <w:rPr>
          <w:rFonts w:eastAsia="Times New Roman" w:cs="Times New Roman"/>
          <w:szCs w:val="24"/>
        </w:rPr>
      </w:pPr>
      <w:r>
        <w:br w:type="page"/>
      </w:r>
    </w:p>
    <w:p w:rsidR="000B6122" w:rsidRDefault="004E142B" w:rsidP="005618B3">
      <w:pPr>
        <w:pStyle w:val="Heading1"/>
      </w:pPr>
      <w:bookmarkStart w:id="2" w:name="_Toc112682705"/>
      <w:r>
        <w:lastRenderedPageBreak/>
        <w:t>Question 2</w:t>
      </w:r>
      <w:bookmarkEnd w:id="2"/>
    </w:p>
    <w:p w:rsidR="000B6122" w:rsidRDefault="004E142B" w:rsidP="005618B3">
      <w:pPr>
        <w:pStyle w:val="normal0"/>
        <w:rPr>
          <w:rFonts w:eastAsia="Times New Roman" w:cs="Times New Roman"/>
          <w:b/>
          <w:szCs w:val="24"/>
        </w:rPr>
      </w:pPr>
      <w:r>
        <w:rPr>
          <w:rFonts w:eastAsia="Times New Roman" w:cs="Times New Roman"/>
          <w:b/>
          <w:szCs w:val="24"/>
        </w:rPr>
        <w:t xml:space="preserve">a) </w:t>
      </w:r>
      <w:r w:rsidR="005618B3">
        <w:rPr>
          <w:rFonts w:eastAsia="Times New Roman" w:cs="Times New Roman"/>
          <w:b/>
          <w:szCs w:val="24"/>
        </w:rPr>
        <w:t>“</w:t>
      </w:r>
      <w:r>
        <w:rPr>
          <w:rFonts w:eastAsia="Times New Roman" w:cs="Times New Roman"/>
          <w:b/>
          <w:szCs w:val="24"/>
        </w:rPr>
        <w:t>Ratio Analysis of Sweets Plc for 2 Consecutive years</w:t>
      </w:r>
      <w:r w:rsidR="005618B3">
        <w:rPr>
          <w:rFonts w:eastAsia="Times New Roman" w:cs="Times New Roman"/>
          <w:b/>
          <w:szCs w:val="24"/>
        </w:rPr>
        <w:t>”</w:t>
      </w:r>
      <w:r>
        <w:rPr>
          <w:rFonts w:eastAsia="Times New Roman" w:cs="Times New Roman"/>
          <w:b/>
          <w:szCs w:val="24"/>
        </w:rPr>
        <w:t>:</w:t>
      </w:r>
    </w:p>
    <w:p w:rsidR="000B6122" w:rsidRDefault="000B6122" w:rsidP="005618B3">
      <w:pPr>
        <w:pStyle w:val="normal0"/>
        <w:rPr>
          <w:rFonts w:eastAsia="Times New Roman" w:cs="Times New Roman"/>
          <w:b/>
          <w:szCs w:val="24"/>
        </w:rPr>
      </w:pPr>
    </w:p>
    <w:p w:rsidR="000B6122" w:rsidRDefault="004E142B" w:rsidP="005618B3">
      <w:pPr>
        <w:pStyle w:val="normal0"/>
        <w:rPr>
          <w:rFonts w:eastAsia="Times New Roman" w:cs="Times New Roman"/>
          <w:b/>
          <w:szCs w:val="24"/>
        </w:rPr>
      </w:pPr>
      <w:r>
        <w:rPr>
          <w:rFonts w:eastAsia="Times New Roman" w:cs="Times New Roman"/>
          <w:b/>
          <w:szCs w:val="24"/>
        </w:rPr>
        <w:t xml:space="preserve">1. “Return on Capital Employed =  </w:t>
      </w:r>
      <w:r w:rsidR="005618B3">
        <w:rPr>
          <w:rFonts w:eastAsia="Times New Roman" w:cs="Times New Roman"/>
          <w:b/>
          <w:szCs w:val="24"/>
        </w:rPr>
        <w:t>Earnings</w:t>
      </w:r>
      <w:r>
        <w:rPr>
          <w:rFonts w:eastAsia="Times New Roman" w:cs="Times New Roman"/>
          <w:b/>
          <w:szCs w:val="24"/>
        </w:rPr>
        <w:t xml:space="preserve"> before interest and tax (EBIT) / Capital employed x 100” </w:t>
      </w:r>
    </w:p>
    <w:p w:rsidR="000B6122" w:rsidRDefault="005618B3" w:rsidP="005618B3">
      <w:pPr>
        <w:pStyle w:val="normal0"/>
        <w:rPr>
          <w:rFonts w:eastAsia="Times New Roman" w:cs="Times New Roman"/>
          <w:b/>
          <w:szCs w:val="24"/>
        </w:rPr>
      </w:pPr>
      <w:r>
        <w:rPr>
          <w:rFonts w:eastAsia="Times New Roman" w:cs="Times New Roman"/>
          <w:b/>
          <w:szCs w:val="24"/>
        </w:rPr>
        <w:t>“ROCE</w:t>
      </w:r>
      <w:r w:rsidR="004E142B">
        <w:rPr>
          <w:rFonts w:eastAsia="Times New Roman" w:cs="Times New Roman"/>
          <w:b/>
          <w:szCs w:val="24"/>
        </w:rPr>
        <w:t xml:space="preserve"> by the year ended 2020”:</w:t>
      </w:r>
    </w:p>
    <w:p w:rsidR="000B6122" w:rsidRDefault="005618B3" w:rsidP="005618B3">
      <w:pPr>
        <w:pStyle w:val="normal0"/>
        <w:rPr>
          <w:rFonts w:eastAsia="Times New Roman" w:cs="Times New Roman"/>
          <w:szCs w:val="24"/>
        </w:rPr>
      </w:pPr>
      <w:r>
        <w:rPr>
          <w:rFonts w:eastAsia="Times New Roman" w:cs="Times New Roman"/>
          <w:szCs w:val="24"/>
        </w:rPr>
        <w:t>= 720</w:t>
      </w:r>
      <w:r w:rsidR="004E142B">
        <w:rPr>
          <w:rFonts w:eastAsia="Times New Roman" w:cs="Times New Roman"/>
          <w:szCs w:val="24"/>
        </w:rPr>
        <w:t xml:space="preserve"> / 7041 x 100</w:t>
      </w:r>
    </w:p>
    <w:p w:rsidR="000B6122" w:rsidRDefault="004E142B" w:rsidP="005618B3">
      <w:pPr>
        <w:pStyle w:val="normal0"/>
        <w:rPr>
          <w:rFonts w:eastAsia="Times New Roman" w:cs="Times New Roman"/>
          <w:szCs w:val="24"/>
        </w:rPr>
      </w:pPr>
      <w:r>
        <w:rPr>
          <w:rFonts w:eastAsia="Times New Roman" w:cs="Times New Roman"/>
          <w:szCs w:val="24"/>
        </w:rPr>
        <w:t>= 10.23% (approx)</w:t>
      </w:r>
    </w:p>
    <w:p w:rsidR="000B6122" w:rsidRDefault="004E142B" w:rsidP="005618B3">
      <w:pPr>
        <w:pStyle w:val="normal0"/>
        <w:rPr>
          <w:rFonts w:eastAsia="Times New Roman" w:cs="Times New Roman"/>
          <w:b/>
          <w:szCs w:val="24"/>
        </w:rPr>
      </w:pPr>
      <w:r>
        <w:rPr>
          <w:rFonts w:eastAsia="Times New Roman" w:cs="Times New Roman"/>
          <w:b/>
          <w:szCs w:val="24"/>
        </w:rPr>
        <w:t xml:space="preserve"> “ROCE by the year ended 2021”:</w:t>
      </w:r>
    </w:p>
    <w:p w:rsidR="000B6122" w:rsidRDefault="004E142B" w:rsidP="005618B3">
      <w:pPr>
        <w:pStyle w:val="normal0"/>
        <w:rPr>
          <w:rFonts w:eastAsia="Times New Roman" w:cs="Times New Roman"/>
          <w:szCs w:val="24"/>
        </w:rPr>
      </w:pPr>
      <w:r>
        <w:rPr>
          <w:rFonts w:eastAsia="Times New Roman" w:cs="Times New Roman"/>
          <w:b/>
          <w:szCs w:val="24"/>
        </w:rPr>
        <w:t xml:space="preserve">= </w:t>
      </w:r>
      <w:r>
        <w:rPr>
          <w:rFonts w:eastAsia="Times New Roman" w:cs="Times New Roman"/>
          <w:szCs w:val="24"/>
        </w:rPr>
        <w:t>846 / 7225 x 100</w:t>
      </w:r>
    </w:p>
    <w:p w:rsidR="000B6122" w:rsidRDefault="004E142B" w:rsidP="005618B3">
      <w:pPr>
        <w:pStyle w:val="normal0"/>
        <w:rPr>
          <w:rFonts w:eastAsia="Times New Roman" w:cs="Times New Roman"/>
          <w:szCs w:val="24"/>
        </w:rPr>
      </w:pPr>
      <w:r>
        <w:rPr>
          <w:rFonts w:eastAsia="Times New Roman" w:cs="Times New Roman"/>
          <w:szCs w:val="24"/>
        </w:rPr>
        <w:t xml:space="preserve">= 11.71% (approx) </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Working Notes:</w:t>
      </w:r>
    </w:p>
    <w:p w:rsidR="000B6122" w:rsidRDefault="004E142B" w:rsidP="005618B3">
      <w:pPr>
        <w:pStyle w:val="normal0"/>
        <w:rPr>
          <w:rFonts w:eastAsia="Times New Roman" w:cs="Times New Roman"/>
          <w:szCs w:val="24"/>
        </w:rPr>
      </w:pPr>
      <w:r>
        <w:rPr>
          <w:rFonts w:eastAsia="Times New Roman" w:cs="Times New Roman"/>
          <w:szCs w:val="24"/>
        </w:rPr>
        <w:t xml:space="preserve"> EBIT of 2020 =  ( 366 + 173 + 181)</w:t>
      </w:r>
    </w:p>
    <w:p w:rsidR="000B6122" w:rsidRDefault="004E142B" w:rsidP="005618B3">
      <w:pPr>
        <w:pStyle w:val="normal0"/>
        <w:rPr>
          <w:rFonts w:eastAsia="Times New Roman" w:cs="Times New Roman"/>
          <w:szCs w:val="24"/>
        </w:rPr>
      </w:pPr>
      <w:r>
        <w:rPr>
          <w:rFonts w:eastAsia="Times New Roman" w:cs="Times New Roman"/>
          <w:szCs w:val="24"/>
        </w:rPr>
        <w:t xml:space="preserve">                        = 720 </w:t>
      </w:r>
    </w:p>
    <w:p w:rsidR="000B6122" w:rsidRDefault="004E142B" w:rsidP="005618B3">
      <w:pPr>
        <w:pStyle w:val="normal0"/>
        <w:rPr>
          <w:rFonts w:eastAsia="Times New Roman" w:cs="Times New Roman"/>
          <w:szCs w:val="24"/>
        </w:rPr>
      </w:pPr>
      <w:r>
        <w:rPr>
          <w:rFonts w:eastAsia="Times New Roman" w:cs="Times New Roman"/>
          <w:szCs w:val="24"/>
        </w:rPr>
        <w:t>EBIT of 2021 = (431 + 189 + 226)</w:t>
      </w:r>
    </w:p>
    <w:p w:rsidR="000B6122" w:rsidRDefault="004E142B" w:rsidP="005618B3">
      <w:pPr>
        <w:pStyle w:val="normal0"/>
        <w:rPr>
          <w:rFonts w:eastAsia="Times New Roman" w:cs="Times New Roman"/>
          <w:szCs w:val="24"/>
        </w:rPr>
      </w:pPr>
      <w:r>
        <w:rPr>
          <w:rFonts w:eastAsia="Times New Roman" w:cs="Times New Roman"/>
          <w:szCs w:val="24"/>
        </w:rPr>
        <w:t xml:space="preserve">                        = 846</w:t>
      </w:r>
    </w:p>
    <w:p w:rsidR="000B6122" w:rsidRDefault="004E142B" w:rsidP="005618B3">
      <w:pPr>
        <w:pStyle w:val="normal0"/>
        <w:rPr>
          <w:rFonts w:eastAsia="Times New Roman" w:cs="Times New Roman"/>
          <w:szCs w:val="24"/>
        </w:rPr>
      </w:pPr>
      <w:r>
        <w:rPr>
          <w:rFonts w:eastAsia="Times New Roman" w:cs="Times New Roman"/>
          <w:szCs w:val="24"/>
        </w:rPr>
        <w:t xml:space="preserve">Capital </w:t>
      </w:r>
      <w:r w:rsidR="005618B3">
        <w:rPr>
          <w:rFonts w:eastAsia="Times New Roman" w:cs="Times New Roman"/>
          <w:szCs w:val="24"/>
        </w:rPr>
        <w:t>employed of</w:t>
      </w:r>
      <w:r>
        <w:rPr>
          <w:rFonts w:eastAsia="Times New Roman" w:cs="Times New Roman"/>
          <w:szCs w:val="24"/>
        </w:rPr>
        <w:t xml:space="preserve"> 2020 = Total assets - Current liabilities </w:t>
      </w:r>
    </w:p>
    <w:p w:rsidR="000B6122" w:rsidRDefault="004E142B" w:rsidP="005618B3">
      <w:pPr>
        <w:pStyle w:val="normal0"/>
        <w:rPr>
          <w:rFonts w:eastAsia="Times New Roman" w:cs="Times New Roman"/>
          <w:szCs w:val="24"/>
        </w:rPr>
      </w:pPr>
      <w:r>
        <w:rPr>
          <w:rFonts w:eastAsia="Times New Roman" w:cs="Times New Roman"/>
          <w:szCs w:val="24"/>
        </w:rPr>
        <w:t xml:space="preserve">                                            </w:t>
      </w:r>
      <w:r w:rsidR="005618B3">
        <w:rPr>
          <w:rFonts w:eastAsia="Times New Roman" w:cs="Times New Roman"/>
          <w:szCs w:val="24"/>
        </w:rPr>
        <w:t>= 10087</w:t>
      </w:r>
      <w:r>
        <w:rPr>
          <w:rFonts w:eastAsia="Times New Roman" w:cs="Times New Roman"/>
          <w:szCs w:val="24"/>
        </w:rPr>
        <w:t xml:space="preserve"> -  3046</w:t>
      </w:r>
    </w:p>
    <w:p w:rsidR="000B6122" w:rsidRDefault="004E142B" w:rsidP="005618B3">
      <w:pPr>
        <w:pStyle w:val="normal0"/>
        <w:rPr>
          <w:rFonts w:eastAsia="Times New Roman" w:cs="Times New Roman"/>
          <w:szCs w:val="24"/>
        </w:rPr>
      </w:pPr>
      <w:r>
        <w:rPr>
          <w:rFonts w:eastAsia="Times New Roman" w:cs="Times New Roman"/>
          <w:szCs w:val="24"/>
        </w:rPr>
        <w:t xml:space="preserve">                                            = 7041</w:t>
      </w:r>
    </w:p>
    <w:p w:rsidR="000B6122" w:rsidRDefault="004E142B" w:rsidP="005618B3">
      <w:pPr>
        <w:pStyle w:val="normal0"/>
        <w:rPr>
          <w:rFonts w:eastAsia="Times New Roman" w:cs="Times New Roman"/>
          <w:szCs w:val="24"/>
        </w:rPr>
      </w:pPr>
      <w:r>
        <w:rPr>
          <w:rFonts w:eastAsia="Times New Roman" w:cs="Times New Roman"/>
          <w:szCs w:val="24"/>
        </w:rPr>
        <w:t xml:space="preserve">Capital </w:t>
      </w:r>
      <w:r w:rsidR="005618B3">
        <w:rPr>
          <w:rFonts w:eastAsia="Times New Roman" w:cs="Times New Roman"/>
          <w:szCs w:val="24"/>
        </w:rPr>
        <w:t>employed of</w:t>
      </w:r>
      <w:r>
        <w:rPr>
          <w:rFonts w:eastAsia="Times New Roman" w:cs="Times New Roman"/>
          <w:szCs w:val="24"/>
        </w:rPr>
        <w:t xml:space="preserve"> 2021 = Total assets - Current liabilities </w:t>
      </w:r>
    </w:p>
    <w:p w:rsidR="000B6122" w:rsidRDefault="004E142B" w:rsidP="005618B3">
      <w:pPr>
        <w:pStyle w:val="normal0"/>
        <w:rPr>
          <w:rFonts w:eastAsia="Times New Roman" w:cs="Times New Roman"/>
          <w:szCs w:val="24"/>
        </w:rPr>
      </w:pPr>
      <w:r>
        <w:rPr>
          <w:rFonts w:eastAsia="Times New Roman" w:cs="Times New Roman"/>
          <w:szCs w:val="24"/>
        </w:rPr>
        <w:t xml:space="preserve">                                            = 9736 - 2511</w:t>
      </w:r>
    </w:p>
    <w:p w:rsidR="000B6122" w:rsidRDefault="004E142B" w:rsidP="005618B3">
      <w:pPr>
        <w:pStyle w:val="normal0"/>
        <w:rPr>
          <w:rFonts w:eastAsia="Times New Roman" w:cs="Times New Roman"/>
          <w:szCs w:val="24"/>
        </w:rPr>
      </w:pPr>
      <w:r>
        <w:rPr>
          <w:rFonts w:eastAsia="Times New Roman" w:cs="Times New Roman"/>
          <w:szCs w:val="24"/>
        </w:rPr>
        <w:t xml:space="preserve">                                            = 846</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2. “Return on Equity (ROE) =  Net Income / Shareholders Equity x 100”</w:t>
      </w:r>
    </w:p>
    <w:p w:rsidR="000B6122" w:rsidRDefault="004E142B" w:rsidP="005618B3">
      <w:pPr>
        <w:pStyle w:val="normal0"/>
        <w:rPr>
          <w:rFonts w:eastAsia="Times New Roman" w:cs="Times New Roman"/>
          <w:b/>
          <w:szCs w:val="24"/>
        </w:rPr>
      </w:pPr>
      <w:r>
        <w:rPr>
          <w:rFonts w:eastAsia="Times New Roman" w:cs="Times New Roman"/>
          <w:b/>
          <w:szCs w:val="24"/>
        </w:rPr>
        <w:t>“ROE by the year ended 2020”:</w:t>
      </w:r>
    </w:p>
    <w:p w:rsidR="000B6122" w:rsidRDefault="004E142B" w:rsidP="005618B3">
      <w:pPr>
        <w:pStyle w:val="normal0"/>
        <w:rPr>
          <w:rFonts w:eastAsia="Times New Roman" w:cs="Times New Roman"/>
          <w:szCs w:val="24"/>
        </w:rPr>
      </w:pPr>
      <w:r>
        <w:rPr>
          <w:rFonts w:eastAsia="Times New Roman" w:cs="Times New Roman"/>
          <w:szCs w:val="24"/>
        </w:rPr>
        <w:t>= 366 / 2912 x 100</w:t>
      </w:r>
    </w:p>
    <w:p w:rsidR="000B6122" w:rsidRDefault="004E142B" w:rsidP="005618B3">
      <w:pPr>
        <w:pStyle w:val="normal0"/>
        <w:rPr>
          <w:rFonts w:eastAsia="Times New Roman" w:cs="Times New Roman"/>
          <w:szCs w:val="24"/>
        </w:rPr>
      </w:pPr>
      <w:r>
        <w:rPr>
          <w:rFonts w:eastAsia="Times New Roman" w:cs="Times New Roman"/>
          <w:szCs w:val="24"/>
        </w:rPr>
        <w:t>= 12.57 %</w:t>
      </w:r>
    </w:p>
    <w:p w:rsidR="000B6122" w:rsidRDefault="004E142B" w:rsidP="005618B3">
      <w:pPr>
        <w:pStyle w:val="normal0"/>
        <w:rPr>
          <w:rFonts w:eastAsia="Times New Roman" w:cs="Times New Roman"/>
          <w:b/>
          <w:szCs w:val="24"/>
        </w:rPr>
      </w:pPr>
      <w:r>
        <w:rPr>
          <w:rFonts w:eastAsia="Times New Roman" w:cs="Times New Roman"/>
          <w:b/>
          <w:szCs w:val="24"/>
        </w:rPr>
        <w:t>“ROE by the year ended 2021”:</w:t>
      </w:r>
    </w:p>
    <w:p w:rsidR="000B6122" w:rsidRDefault="004E142B" w:rsidP="005618B3">
      <w:pPr>
        <w:pStyle w:val="normal0"/>
        <w:rPr>
          <w:rFonts w:eastAsia="Times New Roman" w:cs="Times New Roman"/>
          <w:szCs w:val="24"/>
        </w:rPr>
      </w:pPr>
      <w:r>
        <w:rPr>
          <w:rFonts w:eastAsia="Times New Roman" w:cs="Times New Roman"/>
          <w:szCs w:val="24"/>
        </w:rPr>
        <w:t>= 431 / 3088 x 100</w:t>
      </w:r>
    </w:p>
    <w:p w:rsidR="000B6122" w:rsidRDefault="004E142B" w:rsidP="005618B3">
      <w:pPr>
        <w:pStyle w:val="normal0"/>
        <w:rPr>
          <w:rFonts w:eastAsia="Times New Roman" w:cs="Times New Roman"/>
          <w:szCs w:val="24"/>
        </w:rPr>
      </w:pPr>
      <w:r>
        <w:rPr>
          <w:rFonts w:eastAsia="Times New Roman" w:cs="Times New Roman"/>
          <w:szCs w:val="24"/>
        </w:rPr>
        <w:t>= 13.96%</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 xml:space="preserve">3. “Earning per share of the business =  (Net Income - Preferred Dividends) Total Outstanding Shares” </w:t>
      </w:r>
    </w:p>
    <w:p w:rsidR="000B6122" w:rsidRDefault="004E142B" w:rsidP="005618B3">
      <w:pPr>
        <w:pStyle w:val="normal0"/>
        <w:rPr>
          <w:rFonts w:eastAsia="Times New Roman" w:cs="Times New Roman"/>
          <w:szCs w:val="24"/>
        </w:rPr>
      </w:pPr>
      <w:r>
        <w:rPr>
          <w:rFonts w:eastAsia="Times New Roman" w:cs="Times New Roman"/>
          <w:b/>
          <w:szCs w:val="24"/>
        </w:rPr>
        <w:t>“EPS by the year ended 2020”:</w:t>
      </w:r>
    </w:p>
    <w:p w:rsidR="000B6122" w:rsidRDefault="004E142B" w:rsidP="005618B3">
      <w:pPr>
        <w:pStyle w:val="normal0"/>
        <w:rPr>
          <w:rFonts w:eastAsia="Times New Roman" w:cs="Times New Roman"/>
          <w:szCs w:val="24"/>
        </w:rPr>
      </w:pPr>
      <w:r>
        <w:rPr>
          <w:rFonts w:eastAsia="Times New Roman" w:cs="Times New Roman"/>
          <w:szCs w:val="24"/>
        </w:rPr>
        <w:t>= (366 - 242) /6</w:t>
      </w:r>
    </w:p>
    <w:p w:rsidR="000B6122" w:rsidRDefault="004E142B" w:rsidP="005618B3">
      <w:pPr>
        <w:pStyle w:val="normal0"/>
        <w:rPr>
          <w:rFonts w:eastAsia="Times New Roman" w:cs="Times New Roman"/>
          <w:szCs w:val="24"/>
        </w:rPr>
      </w:pPr>
      <w:r>
        <w:rPr>
          <w:rFonts w:eastAsia="Times New Roman" w:cs="Times New Roman"/>
          <w:szCs w:val="24"/>
        </w:rPr>
        <w:t>=  £ 20.67</w:t>
      </w:r>
    </w:p>
    <w:p w:rsidR="000B6122" w:rsidRDefault="004E142B" w:rsidP="005618B3">
      <w:pPr>
        <w:pStyle w:val="normal0"/>
        <w:rPr>
          <w:rFonts w:eastAsia="Times New Roman" w:cs="Times New Roman"/>
          <w:b/>
          <w:szCs w:val="24"/>
        </w:rPr>
      </w:pPr>
      <w:r>
        <w:rPr>
          <w:rFonts w:eastAsia="Times New Roman" w:cs="Times New Roman"/>
          <w:b/>
          <w:szCs w:val="24"/>
        </w:rPr>
        <w:t>“EPS by the year ended 2021”:</w:t>
      </w:r>
    </w:p>
    <w:p w:rsidR="000B6122" w:rsidRDefault="004E142B" w:rsidP="005618B3">
      <w:pPr>
        <w:pStyle w:val="normal0"/>
        <w:rPr>
          <w:rFonts w:eastAsia="Times New Roman" w:cs="Times New Roman"/>
          <w:szCs w:val="24"/>
        </w:rPr>
      </w:pPr>
      <w:r>
        <w:rPr>
          <w:rFonts w:eastAsia="Times New Roman" w:cs="Times New Roman"/>
          <w:szCs w:val="24"/>
        </w:rPr>
        <w:t xml:space="preserve">= (431 - 13) /6 </w:t>
      </w:r>
    </w:p>
    <w:p w:rsidR="000B6122" w:rsidRDefault="004E142B" w:rsidP="005618B3">
      <w:pPr>
        <w:pStyle w:val="normal0"/>
        <w:rPr>
          <w:rFonts w:eastAsia="Times New Roman" w:cs="Times New Roman"/>
          <w:szCs w:val="24"/>
        </w:rPr>
      </w:pPr>
      <w:r>
        <w:rPr>
          <w:rFonts w:eastAsia="Times New Roman" w:cs="Times New Roman"/>
          <w:szCs w:val="24"/>
        </w:rPr>
        <w:t>= £69.67</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Working Notes:</w:t>
      </w:r>
    </w:p>
    <w:p w:rsidR="000B6122" w:rsidRDefault="004E142B" w:rsidP="005618B3">
      <w:pPr>
        <w:pStyle w:val="normal0"/>
        <w:rPr>
          <w:rFonts w:eastAsia="Times New Roman" w:cs="Times New Roman"/>
          <w:szCs w:val="24"/>
        </w:rPr>
      </w:pPr>
      <w:r>
        <w:rPr>
          <w:rFonts w:eastAsia="Times New Roman" w:cs="Times New Roman"/>
          <w:szCs w:val="24"/>
        </w:rPr>
        <w:t>Total outstanding shares = 300000000 / 50</w:t>
      </w:r>
    </w:p>
    <w:p w:rsidR="000B6122" w:rsidRDefault="004E142B" w:rsidP="005618B3">
      <w:pPr>
        <w:pStyle w:val="normal0"/>
        <w:rPr>
          <w:rFonts w:eastAsia="Times New Roman" w:cs="Times New Roman"/>
          <w:szCs w:val="24"/>
        </w:rPr>
      </w:pPr>
      <w:r>
        <w:rPr>
          <w:rFonts w:eastAsia="Times New Roman" w:cs="Times New Roman"/>
          <w:szCs w:val="24"/>
        </w:rPr>
        <w:t xml:space="preserve">                                        = 6000000</w:t>
      </w:r>
    </w:p>
    <w:p w:rsidR="000B6122" w:rsidRDefault="000B6122" w:rsidP="005618B3">
      <w:pPr>
        <w:pStyle w:val="normal0"/>
        <w:rPr>
          <w:rFonts w:eastAsia="Times New Roman" w:cs="Times New Roman"/>
          <w:b/>
          <w:szCs w:val="24"/>
        </w:rPr>
      </w:pPr>
    </w:p>
    <w:p w:rsidR="000B6122" w:rsidRDefault="004E142B" w:rsidP="005618B3">
      <w:pPr>
        <w:pStyle w:val="normal0"/>
        <w:rPr>
          <w:rFonts w:eastAsia="Times New Roman" w:cs="Times New Roman"/>
          <w:b/>
          <w:szCs w:val="24"/>
        </w:rPr>
      </w:pPr>
      <w:r>
        <w:rPr>
          <w:rFonts w:eastAsia="Times New Roman" w:cs="Times New Roman"/>
          <w:b/>
          <w:szCs w:val="24"/>
        </w:rPr>
        <w:t>4. “Net Profit Margin = Net profit / Sales x 100”</w:t>
      </w:r>
    </w:p>
    <w:p w:rsidR="000B6122" w:rsidRDefault="004E142B" w:rsidP="005618B3">
      <w:pPr>
        <w:pStyle w:val="normal0"/>
        <w:rPr>
          <w:rFonts w:eastAsia="Times New Roman" w:cs="Times New Roman"/>
          <w:b/>
          <w:szCs w:val="24"/>
        </w:rPr>
      </w:pPr>
      <w:r>
        <w:rPr>
          <w:rFonts w:eastAsia="Times New Roman" w:cs="Times New Roman"/>
          <w:b/>
          <w:szCs w:val="24"/>
        </w:rPr>
        <w:t>“Net Profit Margin by the year ended 2020”:</w:t>
      </w:r>
    </w:p>
    <w:p w:rsidR="000B6122" w:rsidRDefault="004E142B" w:rsidP="005618B3">
      <w:pPr>
        <w:pStyle w:val="normal0"/>
        <w:rPr>
          <w:rFonts w:eastAsia="Times New Roman" w:cs="Times New Roman"/>
          <w:szCs w:val="24"/>
        </w:rPr>
      </w:pPr>
      <w:r>
        <w:rPr>
          <w:rFonts w:eastAsia="Times New Roman" w:cs="Times New Roman"/>
          <w:szCs w:val="24"/>
        </w:rPr>
        <w:t>= 366 / 6441 x 100</w:t>
      </w:r>
    </w:p>
    <w:p w:rsidR="000B6122" w:rsidRDefault="004E142B" w:rsidP="005618B3">
      <w:pPr>
        <w:pStyle w:val="normal0"/>
        <w:rPr>
          <w:rFonts w:eastAsia="Times New Roman" w:cs="Times New Roman"/>
          <w:szCs w:val="24"/>
        </w:rPr>
      </w:pPr>
      <w:r>
        <w:rPr>
          <w:rFonts w:eastAsia="Times New Roman" w:cs="Times New Roman"/>
          <w:szCs w:val="24"/>
        </w:rPr>
        <w:t>= 5.68%</w:t>
      </w:r>
    </w:p>
    <w:p w:rsidR="000B6122" w:rsidRDefault="004E142B" w:rsidP="005618B3">
      <w:pPr>
        <w:pStyle w:val="normal0"/>
        <w:rPr>
          <w:rFonts w:eastAsia="Times New Roman" w:cs="Times New Roman"/>
          <w:b/>
          <w:szCs w:val="24"/>
        </w:rPr>
      </w:pPr>
      <w:r>
        <w:rPr>
          <w:rFonts w:eastAsia="Times New Roman" w:cs="Times New Roman"/>
          <w:b/>
          <w:szCs w:val="24"/>
        </w:rPr>
        <w:t>“Net Profit Margin by the year ended 2021”:</w:t>
      </w:r>
    </w:p>
    <w:p w:rsidR="000B6122" w:rsidRDefault="004E142B" w:rsidP="005618B3">
      <w:pPr>
        <w:pStyle w:val="normal0"/>
        <w:rPr>
          <w:rFonts w:eastAsia="Times New Roman" w:cs="Times New Roman"/>
          <w:szCs w:val="24"/>
        </w:rPr>
      </w:pPr>
      <w:r>
        <w:rPr>
          <w:rFonts w:eastAsia="Times New Roman" w:cs="Times New Roman"/>
          <w:szCs w:val="24"/>
        </w:rPr>
        <w:t>= 431 / 6738 x 100</w:t>
      </w:r>
    </w:p>
    <w:p w:rsidR="000B6122" w:rsidRDefault="004E142B" w:rsidP="005618B3">
      <w:pPr>
        <w:pStyle w:val="normal0"/>
        <w:rPr>
          <w:rFonts w:eastAsia="Times New Roman" w:cs="Times New Roman"/>
          <w:szCs w:val="24"/>
        </w:rPr>
      </w:pPr>
      <w:r>
        <w:rPr>
          <w:rFonts w:eastAsia="Times New Roman" w:cs="Times New Roman"/>
          <w:szCs w:val="24"/>
        </w:rPr>
        <w:t>= 6.40%</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5. “Asset turnover =  Net Sales / Total Assets”</w:t>
      </w:r>
    </w:p>
    <w:p w:rsidR="000B6122" w:rsidRDefault="004E142B" w:rsidP="005618B3">
      <w:pPr>
        <w:pStyle w:val="normal0"/>
        <w:rPr>
          <w:rFonts w:eastAsia="Times New Roman" w:cs="Times New Roman"/>
          <w:b/>
          <w:szCs w:val="24"/>
        </w:rPr>
      </w:pPr>
      <w:r>
        <w:rPr>
          <w:rFonts w:eastAsia="Times New Roman" w:cs="Times New Roman"/>
          <w:b/>
          <w:noProof/>
          <w:szCs w:val="24"/>
        </w:rPr>
        <w:drawing>
          <wp:inline distT="114300" distB="114300" distL="114300" distR="114300">
            <wp:extent cx="3762375" cy="1162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62375" cy="1162050"/>
                    </a:xfrm>
                    <a:prstGeom prst="rect">
                      <a:avLst/>
                    </a:prstGeom>
                    <a:ln/>
                  </pic:spPr>
                </pic:pic>
              </a:graphicData>
            </a:graphic>
          </wp:inline>
        </w:drawing>
      </w:r>
    </w:p>
    <w:p w:rsidR="000B6122" w:rsidRDefault="004E142B" w:rsidP="005618B3">
      <w:pPr>
        <w:pStyle w:val="normal0"/>
        <w:rPr>
          <w:rFonts w:eastAsia="Times New Roman" w:cs="Times New Roman"/>
          <w:b/>
          <w:szCs w:val="24"/>
        </w:rPr>
      </w:pPr>
      <w:r>
        <w:rPr>
          <w:rFonts w:eastAsia="Times New Roman" w:cs="Times New Roman"/>
          <w:b/>
          <w:szCs w:val="24"/>
        </w:rPr>
        <w:t>“Assets turnover of the business by the end of 2020”:</w:t>
      </w:r>
    </w:p>
    <w:p w:rsidR="000B6122" w:rsidRDefault="005618B3" w:rsidP="005618B3">
      <w:pPr>
        <w:pStyle w:val="normal0"/>
        <w:rPr>
          <w:rFonts w:eastAsia="Times New Roman" w:cs="Times New Roman"/>
          <w:szCs w:val="24"/>
        </w:rPr>
      </w:pPr>
      <w:r>
        <w:rPr>
          <w:rFonts w:eastAsia="Times New Roman" w:cs="Times New Roman"/>
          <w:szCs w:val="24"/>
        </w:rPr>
        <w:t>= 6441</w:t>
      </w:r>
      <w:r w:rsidR="004E142B">
        <w:rPr>
          <w:rFonts w:eastAsia="Times New Roman" w:cs="Times New Roman"/>
          <w:szCs w:val="24"/>
        </w:rPr>
        <w:t xml:space="preserve"> / 10087</w:t>
      </w:r>
    </w:p>
    <w:p w:rsidR="000B6122" w:rsidRDefault="004E142B" w:rsidP="005618B3">
      <w:pPr>
        <w:pStyle w:val="normal0"/>
        <w:rPr>
          <w:rFonts w:eastAsia="Times New Roman" w:cs="Times New Roman"/>
          <w:szCs w:val="24"/>
        </w:rPr>
      </w:pPr>
      <w:r>
        <w:rPr>
          <w:rFonts w:eastAsia="Times New Roman" w:cs="Times New Roman"/>
          <w:szCs w:val="24"/>
        </w:rPr>
        <w:t>= 0.64</w:t>
      </w:r>
    </w:p>
    <w:p w:rsidR="000B6122" w:rsidRDefault="004E142B" w:rsidP="005618B3">
      <w:pPr>
        <w:pStyle w:val="normal0"/>
        <w:rPr>
          <w:rFonts w:eastAsia="Times New Roman" w:cs="Times New Roman"/>
          <w:szCs w:val="24"/>
        </w:rPr>
      </w:pPr>
      <w:r>
        <w:rPr>
          <w:rFonts w:eastAsia="Times New Roman" w:cs="Times New Roman"/>
          <w:b/>
          <w:szCs w:val="24"/>
        </w:rPr>
        <w:lastRenderedPageBreak/>
        <w:t>“Assets turnover of the business by the end of 2021”:</w:t>
      </w:r>
    </w:p>
    <w:p w:rsidR="000B6122" w:rsidRDefault="004E142B" w:rsidP="005618B3">
      <w:pPr>
        <w:pStyle w:val="normal0"/>
        <w:rPr>
          <w:rFonts w:eastAsia="Times New Roman" w:cs="Times New Roman"/>
          <w:szCs w:val="24"/>
        </w:rPr>
      </w:pPr>
      <w:r>
        <w:rPr>
          <w:rFonts w:eastAsia="Times New Roman" w:cs="Times New Roman"/>
          <w:szCs w:val="24"/>
        </w:rPr>
        <w:t>= 6738 / 9736</w:t>
      </w:r>
    </w:p>
    <w:p w:rsidR="000B6122" w:rsidRDefault="004E142B" w:rsidP="005618B3">
      <w:pPr>
        <w:pStyle w:val="normal0"/>
        <w:rPr>
          <w:rFonts w:eastAsia="Times New Roman" w:cs="Times New Roman"/>
          <w:szCs w:val="24"/>
        </w:rPr>
      </w:pPr>
      <w:r>
        <w:rPr>
          <w:rFonts w:eastAsia="Times New Roman" w:cs="Times New Roman"/>
          <w:szCs w:val="24"/>
        </w:rPr>
        <w:t>= 0.69</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 xml:space="preserve">6. “Stock Holding Days </w:t>
      </w:r>
      <w:r w:rsidR="005618B3">
        <w:rPr>
          <w:rFonts w:eastAsia="Times New Roman" w:cs="Times New Roman"/>
          <w:b/>
          <w:szCs w:val="24"/>
        </w:rPr>
        <w:t>= Closing</w:t>
      </w:r>
      <w:r>
        <w:rPr>
          <w:rFonts w:eastAsia="Times New Roman" w:cs="Times New Roman"/>
          <w:b/>
          <w:szCs w:val="24"/>
        </w:rPr>
        <w:t xml:space="preserve"> Stock / Cost of Goods Sold x 365”</w:t>
      </w:r>
    </w:p>
    <w:p w:rsidR="000B6122" w:rsidRDefault="004E142B" w:rsidP="005618B3">
      <w:pPr>
        <w:pStyle w:val="normal0"/>
        <w:rPr>
          <w:rFonts w:eastAsia="Times New Roman" w:cs="Times New Roman"/>
          <w:b/>
          <w:szCs w:val="24"/>
        </w:rPr>
      </w:pPr>
      <w:r>
        <w:rPr>
          <w:rFonts w:eastAsia="Times New Roman" w:cs="Times New Roman"/>
          <w:b/>
          <w:szCs w:val="24"/>
        </w:rPr>
        <w:t>“Stock holding days of the business by the end of 2020”:</w:t>
      </w:r>
    </w:p>
    <w:p w:rsidR="000B6122" w:rsidRDefault="004E142B" w:rsidP="005618B3">
      <w:pPr>
        <w:pStyle w:val="normal0"/>
        <w:rPr>
          <w:rFonts w:eastAsia="Times New Roman" w:cs="Times New Roman"/>
          <w:szCs w:val="24"/>
        </w:rPr>
      </w:pPr>
      <w:r>
        <w:rPr>
          <w:rFonts w:eastAsia="Times New Roman" w:cs="Times New Roman"/>
          <w:szCs w:val="24"/>
        </w:rPr>
        <w:t xml:space="preserve">= 659 /3096 x 365 </w:t>
      </w:r>
    </w:p>
    <w:p w:rsidR="000B6122" w:rsidRDefault="004E142B" w:rsidP="005618B3">
      <w:pPr>
        <w:pStyle w:val="normal0"/>
        <w:rPr>
          <w:rFonts w:eastAsia="Times New Roman" w:cs="Times New Roman"/>
          <w:szCs w:val="24"/>
        </w:rPr>
      </w:pPr>
      <w:r>
        <w:rPr>
          <w:rFonts w:eastAsia="Times New Roman" w:cs="Times New Roman"/>
          <w:szCs w:val="24"/>
        </w:rPr>
        <w:t>= 78 days (approx)</w:t>
      </w:r>
    </w:p>
    <w:p w:rsidR="000B6122" w:rsidRDefault="004E142B" w:rsidP="005618B3">
      <w:pPr>
        <w:pStyle w:val="normal0"/>
        <w:rPr>
          <w:rFonts w:eastAsia="Times New Roman" w:cs="Times New Roman"/>
          <w:szCs w:val="24"/>
        </w:rPr>
      </w:pPr>
      <w:r>
        <w:rPr>
          <w:rFonts w:eastAsia="Times New Roman" w:cs="Times New Roman"/>
          <w:b/>
          <w:szCs w:val="24"/>
        </w:rPr>
        <w:t>“Stock holding days of the business by the end of 2021”:</w:t>
      </w:r>
    </w:p>
    <w:p w:rsidR="000B6122" w:rsidRDefault="004E142B" w:rsidP="005618B3">
      <w:pPr>
        <w:pStyle w:val="normal0"/>
        <w:rPr>
          <w:rFonts w:eastAsia="Times New Roman" w:cs="Times New Roman"/>
          <w:szCs w:val="24"/>
        </w:rPr>
      </w:pPr>
      <w:r>
        <w:rPr>
          <w:rFonts w:eastAsia="Times New Roman" w:cs="Times New Roman"/>
          <w:szCs w:val="24"/>
        </w:rPr>
        <w:t>= 708 / 3235 x 365</w:t>
      </w:r>
    </w:p>
    <w:p w:rsidR="000B6122" w:rsidRDefault="004E142B" w:rsidP="005618B3">
      <w:pPr>
        <w:pStyle w:val="normal0"/>
        <w:rPr>
          <w:rFonts w:eastAsia="Times New Roman" w:cs="Times New Roman"/>
          <w:szCs w:val="24"/>
        </w:rPr>
      </w:pPr>
      <w:r>
        <w:rPr>
          <w:rFonts w:eastAsia="Times New Roman" w:cs="Times New Roman"/>
          <w:szCs w:val="24"/>
        </w:rPr>
        <w:t xml:space="preserve">= 80 days (approx) </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7. “Debtor Collection Period =  Accounts Receivables Balance / Total Net Sales x 365”</w:t>
      </w:r>
    </w:p>
    <w:p w:rsidR="000B6122" w:rsidRDefault="004E142B" w:rsidP="005618B3">
      <w:pPr>
        <w:pStyle w:val="normal0"/>
        <w:rPr>
          <w:rFonts w:eastAsia="Times New Roman" w:cs="Times New Roman"/>
          <w:b/>
          <w:szCs w:val="24"/>
        </w:rPr>
      </w:pPr>
      <w:r>
        <w:rPr>
          <w:rFonts w:eastAsia="Times New Roman" w:cs="Times New Roman"/>
          <w:b/>
          <w:szCs w:val="24"/>
        </w:rPr>
        <w:t>“Debtor collection period of the business by the end of 2020”:</w:t>
      </w:r>
    </w:p>
    <w:p w:rsidR="000B6122" w:rsidRDefault="004E142B" w:rsidP="005618B3">
      <w:pPr>
        <w:pStyle w:val="normal0"/>
        <w:rPr>
          <w:rFonts w:eastAsia="Times New Roman" w:cs="Times New Roman"/>
          <w:szCs w:val="24"/>
        </w:rPr>
      </w:pPr>
      <w:r>
        <w:rPr>
          <w:rFonts w:eastAsia="Times New Roman" w:cs="Times New Roman"/>
          <w:szCs w:val="24"/>
        </w:rPr>
        <w:t>= 1287/6441 x 365</w:t>
      </w:r>
    </w:p>
    <w:p w:rsidR="000B6122" w:rsidRDefault="004E142B" w:rsidP="005618B3">
      <w:pPr>
        <w:pStyle w:val="normal0"/>
        <w:rPr>
          <w:rFonts w:eastAsia="Times New Roman" w:cs="Times New Roman"/>
          <w:szCs w:val="24"/>
        </w:rPr>
      </w:pPr>
      <w:r>
        <w:rPr>
          <w:rFonts w:eastAsia="Times New Roman" w:cs="Times New Roman"/>
          <w:szCs w:val="24"/>
        </w:rPr>
        <w:t>= 73 days (approx)</w:t>
      </w:r>
    </w:p>
    <w:p w:rsidR="000B6122" w:rsidRDefault="004E142B" w:rsidP="005618B3">
      <w:pPr>
        <w:pStyle w:val="normal0"/>
        <w:rPr>
          <w:rFonts w:eastAsia="Times New Roman" w:cs="Times New Roman"/>
          <w:b/>
          <w:szCs w:val="24"/>
        </w:rPr>
      </w:pPr>
      <w:r>
        <w:rPr>
          <w:rFonts w:eastAsia="Times New Roman" w:cs="Times New Roman"/>
          <w:b/>
          <w:szCs w:val="24"/>
        </w:rPr>
        <w:t>“Debtor collection period of the business by the end of 2021”:</w:t>
      </w:r>
    </w:p>
    <w:p w:rsidR="000B6122" w:rsidRDefault="004E142B" w:rsidP="005618B3">
      <w:pPr>
        <w:pStyle w:val="normal0"/>
        <w:rPr>
          <w:rFonts w:eastAsia="Times New Roman" w:cs="Times New Roman"/>
          <w:szCs w:val="24"/>
        </w:rPr>
      </w:pPr>
      <w:r>
        <w:rPr>
          <w:rFonts w:eastAsia="Times New Roman" w:cs="Times New Roman"/>
          <w:szCs w:val="24"/>
        </w:rPr>
        <w:t>= 1249 /6738 x 365</w:t>
      </w:r>
    </w:p>
    <w:p w:rsidR="000B6122" w:rsidRDefault="004E142B" w:rsidP="005618B3">
      <w:pPr>
        <w:pStyle w:val="normal0"/>
        <w:rPr>
          <w:rFonts w:eastAsia="Times New Roman" w:cs="Times New Roman"/>
          <w:szCs w:val="24"/>
        </w:rPr>
      </w:pPr>
      <w:r>
        <w:rPr>
          <w:rFonts w:eastAsia="Times New Roman" w:cs="Times New Roman"/>
          <w:szCs w:val="24"/>
        </w:rPr>
        <w:t>= 68 days (approx)</w:t>
      </w:r>
    </w:p>
    <w:p w:rsidR="000B6122" w:rsidRDefault="004E142B" w:rsidP="005618B3">
      <w:pPr>
        <w:pStyle w:val="normal0"/>
        <w:rPr>
          <w:rFonts w:eastAsia="Times New Roman" w:cs="Times New Roman"/>
          <w:b/>
          <w:szCs w:val="24"/>
        </w:rPr>
      </w:pPr>
      <w:r>
        <w:rPr>
          <w:rFonts w:eastAsia="Times New Roman" w:cs="Times New Roman"/>
          <w:b/>
          <w:szCs w:val="24"/>
        </w:rPr>
        <w:t xml:space="preserve">8. “Current ratio = Current assets / Current liabilities” </w:t>
      </w:r>
    </w:p>
    <w:p w:rsidR="000B6122" w:rsidRDefault="004E142B" w:rsidP="005618B3">
      <w:pPr>
        <w:pStyle w:val="normal0"/>
        <w:rPr>
          <w:rFonts w:eastAsia="Times New Roman" w:cs="Times New Roman"/>
          <w:b/>
          <w:szCs w:val="24"/>
        </w:rPr>
      </w:pPr>
      <w:r>
        <w:rPr>
          <w:rFonts w:eastAsia="Times New Roman" w:cs="Times New Roman"/>
          <w:b/>
          <w:szCs w:val="24"/>
        </w:rPr>
        <w:t>“Current ratio of the business by the end of 2020”:</w:t>
      </w:r>
    </w:p>
    <w:p w:rsidR="000B6122" w:rsidRDefault="004E142B" w:rsidP="005618B3">
      <w:pPr>
        <w:pStyle w:val="normal0"/>
        <w:rPr>
          <w:rFonts w:eastAsia="Times New Roman" w:cs="Times New Roman"/>
          <w:szCs w:val="24"/>
        </w:rPr>
      </w:pPr>
      <w:r>
        <w:rPr>
          <w:rFonts w:eastAsia="Times New Roman" w:cs="Times New Roman"/>
          <w:szCs w:val="24"/>
        </w:rPr>
        <w:t>= 2355 / 3046</w:t>
      </w:r>
    </w:p>
    <w:p w:rsidR="000B6122" w:rsidRDefault="004E142B" w:rsidP="005618B3">
      <w:pPr>
        <w:pStyle w:val="normal0"/>
        <w:rPr>
          <w:rFonts w:eastAsia="Times New Roman" w:cs="Times New Roman"/>
          <w:szCs w:val="24"/>
        </w:rPr>
      </w:pPr>
      <w:r>
        <w:rPr>
          <w:rFonts w:eastAsia="Times New Roman" w:cs="Times New Roman"/>
          <w:szCs w:val="24"/>
        </w:rPr>
        <w:t>= 0.77:1</w:t>
      </w:r>
    </w:p>
    <w:p w:rsidR="000B6122" w:rsidRDefault="004E142B" w:rsidP="005618B3">
      <w:pPr>
        <w:pStyle w:val="normal0"/>
        <w:rPr>
          <w:rFonts w:eastAsia="Times New Roman" w:cs="Times New Roman"/>
          <w:b/>
          <w:szCs w:val="24"/>
        </w:rPr>
      </w:pPr>
      <w:r>
        <w:rPr>
          <w:rFonts w:eastAsia="Times New Roman" w:cs="Times New Roman"/>
          <w:b/>
          <w:szCs w:val="24"/>
        </w:rPr>
        <w:t>“Current ratio of the business by the end of 2021”:</w:t>
      </w:r>
    </w:p>
    <w:p w:rsidR="000B6122" w:rsidRDefault="004E142B" w:rsidP="005618B3">
      <w:pPr>
        <w:pStyle w:val="normal0"/>
        <w:rPr>
          <w:rFonts w:eastAsia="Times New Roman" w:cs="Times New Roman"/>
          <w:szCs w:val="24"/>
        </w:rPr>
      </w:pPr>
      <w:r>
        <w:rPr>
          <w:rFonts w:eastAsia="Times New Roman" w:cs="Times New Roman"/>
          <w:szCs w:val="24"/>
        </w:rPr>
        <w:t>= 2303 / 2511</w:t>
      </w:r>
    </w:p>
    <w:p w:rsidR="000B6122" w:rsidRDefault="004E142B" w:rsidP="005618B3">
      <w:pPr>
        <w:pStyle w:val="normal0"/>
        <w:rPr>
          <w:rFonts w:eastAsia="Times New Roman" w:cs="Times New Roman"/>
          <w:szCs w:val="24"/>
        </w:rPr>
      </w:pPr>
      <w:r>
        <w:rPr>
          <w:rFonts w:eastAsia="Times New Roman" w:cs="Times New Roman"/>
          <w:szCs w:val="24"/>
        </w:rPr>
        <w:t>= 0.92:1</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 xml:space="preserve">9. “Gearing Ratio = Total Debt / Total Equity” </w:t>
      </w:r>
    </w:p>
    <w:p w:rsidR="000B6122" w:rsidRDefault="004E142B" w:rsidP="005618B3">
      <w:pPr>
        <w:pStyle w:val="normal0"/>
        <w:rPr>
          <w:rFonts w:eastAsia="Times New Roman" w:cs="Times New Roman"/>
          <w:b/>
          <w:szCs w:val="24"/>
        </w:rPr>
      </w:pPr>
      <w:r>
        <w:rPr>
          <w:rFonts w:eastAsia="Times New Roman" w:cs="Times New Roman"/>
          <w:b/>
          <w:szCs w:val="24"/>
        </w:rPr>
        <w:t>“Gearing ratio of the business by the end of 2020”:</w:t>
      </w:r>
    </w:p>
    <w:p w:rsidR="000B6122" w:rsidRDefault="004E142B" w:rsidP="005618B3">
      <w:pPr>
        <w:pStyle w:val="normal0"/>
        <w:rPr>
          <w:rFonts w:eastAsia="Times New Roman" w:cs="Times New Roman"/>
          <w:szCs w:val="24"/>
        </w:rPr>
      </w:pPr>
      <w:r>
        <w:rPr>
          <w:rFonts w:eastAsia="Times New Roman" w:cs="Times New Roman"/>
          <w:szCs w:val="24"/>
        </w:rPr>
        <w:t>= 4129 / 2912</w:t>
      </w:r>
    </w:p>
    <w:p w:rsidR="000B6122" w:rsidRDefault="004E142B" w:rsidP="005618B3">
      <w:pPr>
        <w:pStyle w:val="normal0"/>
        <w:rPr>
          <w:rFonts w:eastAsia="Times New Roman" w:cs="Times New Roman"/>
          <w:szCs w:val="24"/>
        </w:rPr>
      </w:pPr>
      <w:r>
        <w:rPr>
          <w:rFonts w:eastAsia="Times New Roman" w:cs="Times New Roman"/>
          <w:szCs w:val="24"/>
        </w:rPr>
        <w:t>= 1.42</w:t>
      </w:r>
    </w:p>
    <w:p w:rsidR="000B6122" w:rsidRDefault="004E142B" w:rsidP="005618B3">
      <w:pPr>
        <w:pStyle w:val="normal0"/>
        <w:rPr>
          <w:rFonts w:eastAsia="Times New Roman" w:cs="Times New Roman"/>
          <w:b/>
          <w:szCs w:val="24"/>
        </w:rPr>
      </w:pPr>
      <w:r>
        <w:rPr>
          <w:rFonts w:eastAsia="Times New Roman" w:cs="Times New Roman"/>
          <w:b/>
          <w:szCs w:val="24"/>
        </w:rPr>
        <w:lastRenderedPageBreak/>
        <w:t>“Gearing ratio of the business by the end of 2021”:</w:t>
      </w:r>
    </w:p>
    <w:p w:rsidR="000B6122" w:rsidRDefault="004E142B" w:rsidP="005618B3">
      <w:pPr>
        <w:pStyle w:val="normal0"/>
        <w:rPr>
          <w:rFonts w:eastAsia="Times New Roman" w:cs="Times New Roman"/>
          <w:szCs w:val="24"/>
        </w:rPr>
      </w:pPr>
      <w:r>
        <w:rPr>
          <w:rFonts w:eastAsia="Times New Roman" w:cs="Times New Roman"/>
          <w:szCs w:val="24"/>
        </w:rPr>
        <w:t>= 4137 / 3088</w:t>
      </w:r>
    </w:p>
    <w:p w:rsidR="000B6122" w:rsidRDefault="004E142B" w:rsidP="005618B3">
      <w:pPr>
        <w:pStyle w:val="normal0"/>
        <w:rPr>
          <w:rFonts w:eastAsia="Times New Roman" w:cs="Times New Roman"/>
          <w:szCs w:val="24"/>
        </w:rPr>
      </w:pPr>
      <w:r>
        <w:rPr>
          <w:rFonts w:eastAsia="Times New Roman" w:cs="Times New Roman"/>
          <w:szCs w:val="24"/>
        </w:rPr>
        <w:t xml:space="preserve"> = 1.33</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 xml:space="preserve">10. “Interest Coverage = EBIT (Earning before interest and tax) / Interest expenses” </w:t>
      </w:r>
    </w:p>
    <w:p w:rsidR="000B6122" w:rsidRDefault="004E142B" w:rsidP="005618B3">
      <w:pPr>
        <w:pStyle w:val="normal0"/>
        <w:rPr>
          <w:rFonts w:eastAsia="Times New Roman" w:cs="Times New Roman"/>
          <w:b/>
          <w:szCs w:val="24"/>
        </w:rPr>
      </w:pPr>
      <w:r>
        <w:rPr>
          <w:rFonts w:eastAsia="Times New Roman" w:cs="Times New Roman"/>
          <w:b/>
          <w:szCs w:val="24"/>
        </w:rPr>
        <w:t>“Interest coverage ratio of the business by the end of 2020”:</w:t>
      </w:r>
    </w:p>
    <w:p w:rsidR="000B6122" w:rsidRDefault="004E142B" w:rsidP="005618B3">
      <w:pPr>
        <w:pStyle w:val="normal0"/>
        <w:rPr>
          <w:rFonts w:eastAsia="Times New Roman" w:cs="Times New Roman"/>
          <w:szCs w:val="24"/>
        </w:rPr>
      </w:pPr>
      <w:r>
        <w:rPr>
          <w:rFonts w:eastAsia="Times New Roman" w:cs="Times New Roman"/>
          <w:szCs w:val="24"/>
        </w:rPr>
        <w:t>= 720 / 181</w:t>
      </w:r>
    </w:p>
    <w:p w:rsidR="000B6122" w:rsidRDefault="004E142B" w:rsidP="005618B3">
      <w:pPr>
        <w:pStyle w:val="normal0"/>
        <w:rPr>
          <w:rFonts w:eastAsia="Times New Roman" w:cs="Times New Roman"/>
          <w:szCs w:val="24"/>
        </w:rPr>
      </w:pPr>
      <w:r>
        <w:rPr>
          <w:rFonts w:eastAsia="Times New Roman" w:cs="Times New Roman"/>
          <w:szCs w:val="24"/>
        </w:rPr>
        <w:t>= 4.00 (approx)</w:t>
      </w:r>
    </w:p>
    <w:p w:rsidR="000B6122" w:rsidRDefault="004E142B" w:rsidP="005618B3">
      <w:pPr>
        <w:pStyle w:val="normal0"/>
        <w:rPr>
          <w:rFonts w:eastAsia="Times New Roman" w:cs="Times New Roman"/>
          <w:b/>
          <w:szCs w:val="24"/>
        </w:rPr>
      </w:pPr>
      <w:r>
        <w:rPr>
          <w:rFonts w:eastAsia="Times New Roman" w:cs="Times New Roman"/>
          <w:b/>
          <w:szCs w:val="24"/>
        </w:rPr>
        <w:t>“Interest coverage ratio of the business by the end of 2021”:</w:t>
      </w:r>
    </w:p>
    <w:p w:rsidR="000B6122" w:rsidRDefault="004E142B" w:rsidP="005618B3">
      <w:pPr>
        <w:pStyle w:val="normal0"/>
        <w:rPr>
          <w:rFonts w:eastAsia="Times New Roman" w:cs="Times New Roman"/>
          <w:szCs w:val="24"/>
        </w:rPr>
      </w:pPr>
      <w:r>
        <w:rPr>
          <w:rFonts w:eastAsia="Times New Roman" w:cs="Times New Roman"/>
          <w:szCs w:val="24"/>
        </w:rPr>
        <w:t>= 846 / 226</w:t>
      </w:r>
    </w:p>
    <w:p w:rsidR="000B6122" w:rsidRDefault="004E142B" w:rsidP="005618B3">
      <w:pPr>
        <w:pStyle w:val="normal0"/>
        <w:rPr>
          <w:rFonts w:eastAsia="Times New Roman" w:cs="Times New Roman"/>
          <w:szCs w:val="24"/>
        </w:rPr>
      </w:pPr>
      <w:r>
        <w:rPr>
          <w:rFonts w:eastAsia="Times New Roman" w:cs="Times New Roman"/>
          <w:szCs w:val="24"/>
        </w:rPr>
        <w:t>= 3.74 (approx)</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b/>
          <w:szCs w:val="24"/>
        </w:rPr>
      </w:pPr>
      <w:r>
        <w:rPr>
          <w:rFonts w:eastAsia="Times New Roman" w:cs="Times New Roman"/>
          <w:b/>
          <w:szCs w:val="24"/>
        </w:rPr>
        <w:t>b) “Using the information in the financial statements and the ratios you have calculated, comment on the financial performance and position of Sweets plc”.</w:t>
      </w:r>
    </w:p>
    <w:p w:rsidR="000B6122" w:rsidRDefault="004E142B" w:rsidP="005618B3">
      <w:pPr>
        <w:pStyle w:val="normal0"/>
        <w:rPr>
          <w:rFonts w:eastAsia="Times New Roman" w:cs="Times New Roman"/>
          <w:szCs w:val="24"/>
        </w:rPr>
      </w:pPr>
      <w:r>
        <w:rPr>
          <w:rFonts w:eastAsia="Times New Roman" w:cs="Times New Roman"/>
          <w:szCs w:val="24"/>
        </w:rPr>
        <w:t>The ROCE of Sweets Plc for both 2020 and 2021 were 10.23% and 11.71%. In discrimination to previous year, in 2021 there is a slight increment in the ROCE of Sweets Plc. Increase in the profit margins of the company is one of the crucial reasons behind the increase in ROCE. The higher and greater ROCE will prove the company a competitive edge on the rivals of the business in the marketplace. Apart from this, the ROE of Sweets Plc for 2021 and 2020 were 13.96%  and 12.57% (</w:t>
      </w:r>
      <w:r>
        <w:rPr>
          <w:rFonts w:eastAsia="Times New Roman" w:cs="Times New Roman"/>
          <w:color w:val="222222"/>
          <w:szCs w:val="24"/>
          <w:highlight w:val="white"/>
        </w:rPr>
        <w:t xml:space="preserve">Martin </w:t>
      </w:r>
      <w:r>
        <w:rPr>
          <w:rFonts w:eastAsia="Times New Roman" w:cs="Times New Roman"/>
          <w:i/>
          <w:color w:val="222222"/>
          <w:szCs w:val="24"/>
          <w:highlight w:val="white"/>
        </w:rPr>
        <w:t>et al.</w:t>
      </w:r>
      <w:r>
        <w:rPr>
          <w:rFonts w:eastAsia="Times New Roman" w:cs="Times New Roman"/>
          <w:color w:val="222222"/>
          <w:szCs w:val="24"/>
          <w:highlight w:val="white"/>
        </w:rPr>
        <w:t>, 2020</w:t>
      </w:r>
      <w:r>
        <w:rPr>
          <w:rFonts w:eastAsia="Times New Roman" w:cs="Times New Roman"/>
          <w:szCs w:val="24"/>
        </w:rPr>
        <w:t>). Similar to ROCE, there is an increment in ROE in 2021. Increase in income margins and shareholder’s equity are the important causes behind this increment. The higher revenue margins will help in the further expansion and development of the business in the marketplace. Contrastingly, the EPS (Earning per share) of Sweets Plc  for 2021 and 2020 were £69.67 and £ 20.67. There is a tremendous increase in the EPS of Sweets Plc in 2021 as compared to the previous year (</w:t>
      </w:r>
      <w:r>
        <w:rPr>
          <w:rFonts w:eastAsia="Times New Roman" w:cs="Times New Roman"/>
          <w:color w:val="222222"/>
          <w:szCs w:val="24"/>
          <w:highlight w:val="white"/>
        </w:rPr>
        <w:t xml:space="preserve">Choi </w:t>
      </w:r>
      <w:r>
        <w:rPr>
          <w:rFonts w:eastAsia="Times New Roman" w:cs="Times New Roman"/>
          <w:i/>
          <w:color w:val="222222"/>
          <w:szCs w:val="24"/>
          <w:highlight w:val="white"/>
        </w:rPr>
        <w:t>et al</w:t>
      </w:r>
      <w:r>
        <w:rPr>
          <w:rFonts w:eastAsia="Times New Roman" w:cs="Times New Roman"/>
          <w:color w:val="222222"/>
          <w:szCs w:val="24"/>
          <w:highlight w:val="white"/>
        </w:rPr>
        <w:t>., 2021</w:t>
      </w:r>
      <w:r>
        <w:rPr>
          <w:rFonts w:eastAsia="Times New Roman" w:cs="Times New Roman"/>
          <w:szCs w:val="24"/>
        </w:rPr>
        <w:t xml:space="preserve">). The differences in the payment of the dividends of the years is one of the essential reasons behind this change. The higher EPS will help the management to meet the expectations of the shareholders of Sweets Plc.  </w:t>
      </w:r>
    </w:p>
    <w:p w:rsidR="000B6122" w:rsidRDefault="004E142B" w:rsidP="005618B3">
      <w:pPr>
        <w:pStyle w:val="normal0"/>
        <w:rPr>
          <w:rFonts w:eastAsia="Times New Roman" w:cs="Times New Roman"/>
          <w:szCs w:val="24"/>
        </w:rPr>
      </w:pPr>
      <w:r>
        <w:rPr>
          <w:rFonts w:eastAsia="Times New Roman" w:cs="Times New Roman"/>
          <w:szCs w:val="24"/>
        </w:rPr>
        <w:t xml:space="preserve">The net profit margins of Sweets Plc for 2021 and 2020 were 6.40% qand 5.68%. In contrast to 2020, the net profit margins of Sweets Plc was enhanced by 0.72%.  The increase in the turnover or sales of the company is one of the significant ration behind the increment in the net profit margins. The higher income levels will help the management of the business to smoothly run and </w:t>
      </w:r>
      <w:r>
        <w:rPr>
          <w:rFonts w:eastAsia="Times New Roman" w:cs="Times New Roman"/>
          <w:szCs w:val="24"/>
        </w:rPr>
        <w:lastRenderedPageBreak/>
        <w:t xml:space="preserve">operate their business in the UK marketplace. Meanwhile, the asset turnover </w:t>
      </w:r>
      <w:r w:rsidR="005618B3">
        <w:rPr>
          <w:rFonts w:eastAsia="Times New Roman" w:cs="Times New Roman"/>
          <w:szCs w:val="24"/>
        </w:rPr>
        <w:t>ratio of Sweets Plc for both the years (i.e. 2020 and 2021) was</w:t>
      </w:r>
      <w:r>
        <w:rPr>
          <w:rFonts w:eastAsia="Times New Roman" w:cs="Times New Roman"/>
          <w:szCs w:val="24"/>
        </w:rPr>
        <w:t xml:space="preserve"> 0.64 and 0.69. It shows that the administration of Sweets has more effectively used their assets to earn revenue in 2021 as compared to 2020. On the other hand, the stock holdings of Sweets Plc for 2020 and 2021 were 78 days 80 days (</w:t>
      </w:r>
      <w:r>
        <w:rPr>
          <w:rFonts w:eastAsia="Times New Roman" w:cs="Times New Roman"/>
          <w:color w:val="222222"/>
          <w:szCs w:val="24"/>
          <w:highlight w:val="white"/>
        </w:rPr>
        <w:t xml:space="preserve">Martin </w:t>
      </w:r>
      <w:r>
        <w:rPr>
          <w:rFonts w:eastAsia="Times New Roman" w:cs="Times New Roman"/>
          <w:i/>
          <w:color w:val="222222"/>
          <w:szCs w:val="24"/>
          <w:highlight w:val="white"/>
        </w:rPr>
        <w:t>et al</w:t>
      </w:r>
      <w:r>
        <w:rPr>
          <w:rFonts w:eastAsia="Times New Roman" w:cs="Times New Roman"/>
          <w:color w:val="222222"/>
          <w:szCs w:val="24"/>
          <w:highlight w:val="white"/>
        </w:rPr>
        <w:t>., 2020</w:t>
      </w:r>
      <w:r>
        <w:rPr>
          <w:rFonts w:eastAsia="Times New Roman" w:cs="Times New Roman"/>
          <w:szCs w:val="24"/>
        </w:rPr>
        <w:t xml:space="preserve">). This ratio signifies that the management has converted their stocks into liquid in higher amount of days in 2021 as related to previous year. In future it can reduce the overall operational efficiency of Sweets Plc. Therefore, the management has reduced their stock holdings to perform better in the near future. </w:t>
      </w:r>
    </w:p>
    <w:p w:rsidR="000B6122" w:rsidRDefault="004E142B" w:rsidP="005618B3">
      <w:pPr>
        <w:pStyle w:val="normal0"/>
        <w:rPr>
          <w:rFonts w:eastAsia="Times New Roman" w:cs="Times New Roman"/>
          <w:szCs w:val="24"/>
        </w:rPr>
      </w:pPr>
      <w:r>
        <w:rPr>
          <w:rFonts w:eastAsia="Times New Roman" w:cs="Times New Roman"/>
          <w:szCs w:val="24"/>
        </w:rPr>
        <w:t xml:space="preserve">Contrastingly, the </w:t>
      </w:r>
      <w:r w:rsidR="005618B3">
        <w:rPr>
          <w:rFonts w:eastAsia="Times New Roman" w:cs="Times New Roman"/>
          <w:szCs w:val="24"/>
        </w:rPr>
        <w:t>debtors collection</w:t>
      </w:r>
      <w:r>
        <w:rPr>
          <w:rFonts w:eastAsia="Times New Roman" w:cs="Times New Roman"/>
          <w:szCs w:val="24"/>
        </w:rPr>
        <w:t xml:space="preserve"> period of Sweets Plc for 2021 and 2020 were 68 days and 73 days which means the management of the business is collecting their unpaid amount </w:t>
      </w:r>
      <w:r w:rsidR="005618B3">
        <w:rPr>
          <w:rFonts w:eastAsia="Times New Roman" w:cs="Times New Roman"/>
          <w:szCs w:val="24"/>
        </w:rPr>
        <w:t>speedily</w:t>
      </w:r>
      <w:r>
        <w:rPr>
          <w:rFonts w:eastAsia="Times New Roman" w:cs="Times New Roman"/>
          <w:szCs w:val="24"/>
        </w:rPr>
        <w:t xml:space="preserve"> as correlated to 2020. This helps the managers of Sweets Plc to maintain a decent cash balance which in turn help them to grab the new opportunities of the market. Meanwhile, the current ratio of Sweets Plc for 2021 and 2020 were 0.92:1 and 0.77:1. There is an enhancement in the current ratio of </w:t>
      </w:r>
      <w:r w:rsidR="005618B3">
        <w:rPr>
          <w:rFonts w:eastAsia="Times New Roman" w:cs="Times New Roman"/>
          <w:szCs w:val="24"/>
        </w:rPr>
        <w:t>Sweets</w:t>
      </w:r>
      <w:r>
        <w:rPr>
          <w:rFonts w:eastAsia="Times New Roman" w:cs="Times New Roman"/>
          <w:szCs w:val="24"/>
        </w:rPr>
        <w:t xml:space="preserve"> Plc in 2021 as contrast to previous year. But still the administration of Sweets Plc is not capable or liable to compensate their short-term debts in the marketplace. In order to improve their sustainability in the marketplace, the company has to increase the worth of their current </w:t>
      </w:r>
      <w:r w:rsidR="005618B3">
        <w:rPr>
          <w:rFonts w:eastAsia="Times New Roman" w:cs="Times New Roman"/>
          <w:szCs w:val="24"/>
        </w:rPr>
        <w:t>assets. On</w:t>
      </w:r>
      <w:r>
        <w:rPr>
          <w:rFonts w:eastAsia="Times New Roman" w:cs="Times New Roman"/>
          <w:szCs w:val="24"/>
        </w:rPr>
        <w:t xml:space="preserve"> the other hand, the gearing ratio of Sweets Plc for the two years 2020 and 2021 were 1.42 and 1.33. This signifies that the administration of Sweets Plc has taken a lower amount of debt in 2021 as compared to 2020 (</w:t>
      </w:r>
      <w:r>
        <w:rPr>
          <w:rFonts w:eastAsia="Times New Roman" w:cs="Times New Roman"/>
          <w:color w:val="222222"/>
          <w:szCs w:val="24"/>
          <w:highlight w:val="white"/>
        </w:rPr>
        <w:t xml:space="preserve">Bakhtavar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w:t>
      </w:r>
      <w:r>
        <w:rPr>
          <w:rFonts w:eastAsia="Times New Roman" w:cs="Times New Roman"/>
          <w:szCs w:val="24"/>
        </w:rPr>
        <w:t>). The lower amount of debt is essential for the smooth operation of the business in the market as it reduces the burden of interest from the company which in turn helps the management to maximise their revenue margins. Meanwhile, the interest coverage ratio of Sweets Plc for 2021 and 2020 were 3.74 and 4.00. The administration of Sweets Plc has taken a lower amount of debt in 2021 in contrast to 2020 which is o</w:t>
      </w:r>
      <w:r w:rsidR="005618B3">
        <w:rPr>
          <w:rFonts w:eastAsia="Times New Roman" w:cs="Times New Roman"/>
          <w:szCs w:val="24"/>
        </w:rPr>
        <w:t>ne of the essential reason be</w:t>
      </w:r>
      <w:r>
        <w:rPr>
          <w:rFonts w:eastAsia="Times New Roman" w:cs="Times New Roman"/>
          <w:szCs w:val="24"/>
        </w:rPr>
        <w:t xml:space="preserve">hind the fall in the interest coverage of Sweets Plc. </w:t>
      </w:r>
    </w:p>
    <w:p w:rsidR="000B6122" w:rsidRDefault="000B6122" w:rsidP="005618B3">
      <w:pPr>
        <w:pStyle w:val="normal0"/>
        <w:rPr>
          <w:rFonts w:eastAsia="Times New Roman" w:cs="Times New Roman"/>
          <w:szCs w:val="24"/>
        </w:rPr>
      </w:pPr>
    </w:p>
    <w:p w:rsidR="000B6122" w:rsidRDefault="004E142B" w:rsidP="005618B3">
      <w:pPr>
        <w:pStyle w:val="normal0"/>
        <w:rPr>
          <w:rFonts w:eastAsia="Times New Roman" w:cs="Times New Roman"/>
          <w:szCs w:val="24"/>
        </w:rPr>
      </w:pPr>
      <w:r>
        <w:rPr>
          <w:rFonts w:eastAsia="Times New Roman" w:cs="Times New Roman"/>
          <w:szCs w:val="24"/>
        </w:rPr>
        <w:t>.</w:t>
      </w:r>
    </w:p>
    <w:p w:rsidR="000B6122" w:rsidRDefault="000B6122" w:rsidP="005618B3">
      <w:pPr>
        <w:pStyle w:val="normal0"/>
        <w:rPr>
          <w:rFonts w:eastAsia="Times New Roman" w:cs="Times New Roman"/>
          <w:szCs w:val="24"/>
        </w:rPr>
      </w:pPr>
    </w:p>
    <w:p w:rsidR="000B6122" w:rsidRDefault="000B6122" w:rsidP="005618B3">
      <w:pPr>
        <w:pStyle w:val="normal0"/>
        <w:rPr>
          <w:rFonts w:eastAsia="Times New Roman" w:cs="Times New Roman"/>
          <w:szCs w:val="24"/>
        </w:rPr>
      </w:pPr>
    </w:p>
    <w:p w:rsidR="000B6122" w:rsidRDefault="000B6122" w:rsidP="005618B3">
      <w:pPr>
        <w:pStyle w:val="normal0"/>
        <w:rPr>
          <w:rFonts w:eastAsia="Times New Roman" w:cs="Times New Roman"/>
          <w:szCs w:val="24"/>
        </w:rPr>
      </w:pPr>
    </w:p>
    <w:p w:rsidR="000B6122" w:rsidRDefault="000B6122" w:rsidP="005618B3">
      <w:pPr>
        <w:pStyle w:val="normal0"/>
        <w:rPr>
          <w:rFonts w:eastAsia="Times New Roman" w:cs="Times New Roman"/>
          <w:szCs w:val="24"/>
        </w:rPr>
      </w:pPr>
    </w:p>
    <w:p w:rsidR="005618B3" w:rsidRDefault="004E142B" w:rsidP="005618B3">
      <w:pPr>
        <w:pStyle w:val="normal0"/>
        <w:rPr>
          <w:rFonts w:eastAsia="Times New Roman" w:cs="Times New Roman"/>
          <w:szCs w:val="24"/>
        </w:rPr>
      </w:pPr>
      <w:r>
        <w:rPr>
          <w:rFonts w:eastAsia="Times New Roman" w:cs="Times New Roman"/>
          <w:szCs w:val="24"/>
        </w:rPr>
        <w:t xml:space="preserve"> </w:t>
      </w:r>
    </w:p>
    <w:p w:rsidR="000B6122" w:rsidRPr="005618B3" w:rsidRDefault="004E142B" w:rsidP="005618B3">
      <w:pPr>
        <w:pStyle w:val="Heading1"/>
      </w:pPr>
      <w:bookmarkStart w:id="3" w:name="_Toc112682706"/>
      <w:r>
        <w:lastRenderedPageBreak/>
        <w:t>Conclusion</w:t>
      </w:r>
      <w:bookmarkEnd w:id="3"/>
      <w:r>
        <w:t xml:space="preserve"> </w:t>
      </w:r>
    </w:p>
    <w:p w:rsidR="000B6122" w:rsidRDefault="004E142B" w:rsidP="005618B3">
      <w:pPr>
        <w:pStyle w:val="normal0"/>
        <w:rPr>
          <w:rFonts w:eastAsia="Times New Roman" w:cs="Times New Roman"/>
          <w:szCs w:val="24"/>
        </w:rPr>
      </w:pPr>
      <w:r>
        <w:rPr>
          <w:rFonts w:eastAsia="Times New Roman" w:cs="Times New Roman"/>
          <w:szCs w:val="24"/>
        </w:rPr>
        <w:t xml:space="preserve">In the above study, the notion of accounting fundamentals is briefly and shortly addressed. The ratio analysis and fiscal reports such as income and balance sheet are made to understand or examine the position of Wales Plc and Sweets Plc in the marketplace of the UK. The analysis helps the upper administration of the businesses to prepare or make tactical plans from which the businesses can gain a combative edge on their challengers in the market.  </w:t>
      </w:r>
      <w:r>
        <w:br w:type="page"/>
      </w:r>
    </w:p>
    <w:p w:rsidR="000B6122" w:rsidRDefault="004E142B" w:rsidP="005618B3">
      <w:pPr>
        <w:pStyle w:val="Heading1"/>
      </w:pPr>
      <w:bookmarkStart w:id="4" w:name="_Toc112682707"/>
      <w:r>
        <w:lastRenderedPageBreak/>
        <w:t>References</w:t>
      </w:r>
      <w:bookmarkEnd w:id="4"/>
    </w:p>
    <w:p w:rsidR="005618B3" w:rsidRPr="005618B3" w:rsidRDefault="005618B3" w:rsidP="005618B3">
      <w:pPr>
        <w:pStyle w:val="normal0"/>
        <w:rPr>
          <w:highlight w:val="white"/>
        </w:rPr>
      </w:pPr>
      <w:r w:rsidRPr="005618B3">
        <w:rPr>
          <w:highlight w:val="white"/>
        </w:rPr>
        <w:t>Allee, K.D., Erickson, D., Esplin, A.M. and Yohn, T.L., 2022. Financial Analysts’ Preferences Regarding Income Statement Presentation. Available at SSRN.</w:t>
      </w:r>
    </w:p>
    <w:p w:rsidR="005618B3" w:rsidRPr="005618B3" w:rsidRDefault="005618B3" w:rsidP="005618B3">
      <w:pPr>
        <w:pStyle w:val="normal0"/>
        <w:rPr>
          <w:highlight w:val="white"/>
        </w:rPr>
      </w:pPr>
      <w:r w:rsidRPr="005618B3">
        <w:rPr>
          <w:highlight w:val="white"/>
        </w:rPr>
        <w:t>Bakhtavar, E., Yousefi, S. and Jafarpour, A., 2019. Evaluation of shaft locations in underground mines: Fuzzy multi-objective optimization by ratio analysis with fuzzy cognitive map weights. Journal of the Southern African Institute of Mining and Metallurgy, 119(10), pp.855-864.</w:t>
      </w:r>
    </w:p>
    <w:p w:rsidR="005618B3" w:rsidRPr="005618B3" w:rsidRDefault="005618B3" w:rsidP="005618B3">
      <w:pPr>
        <w:pStyle w:val="normal0"/>
        <w:rPr>
          <w:highlight w:val="white"/>
        </w:rPr>
      </w:pPr>
      <w:r w:rsidRPr="005618B3">
        <w:rPr>
          <w:highlight w:val="white"/>
        </w:rPr>
        <w:t>Buchak, G., Matvos, G., Piskorski, T. and Seru, A., 2018. Beyond the balance sheet model of banking: Implications for bank regulation and monetary policy (No. w25149). National Bureau of Economic Research.</w:t>
      </w:r>
    </w:p>
    <w:p w:rsidR="005618B3" w:rsidRPr="005618B3" w:rsidRDefault="005618B3" w:rsidP="005618B3">
      <w:pPr>
        <w:pStyle w:val="normal0"/>
        <w:rPr>
          <w:szCs w:val="28"/>
        </w:rPr>
      </w:pPr>
      <w:r w:rsidRPr="005618B3">
        <w:rPr>
          <w:highlight w:val="white"/>
        </w:rPr>
        <w:t>Caswell, S., 2019. An Analysis of Financial Accounting Fundamentals Through Case Studies.</w:t>
      </w:r>
    </w:p>
    <w:p w:rsidR="005618B3" w:rsidRPr="005618B3" w:rsidRDefault="005618B3" w:rsidP="005618B3">
      <w:pPr>
        <w:pStyle w:val="normal0"/>
        <w:rPr>
          <w:highlight w:val="white"/>
        </w:rPr>
      </w:pPr>
      <w:r w:rsidRPr="005618B3">
        <w:rPr>
          <w:highlight w:val="white"/>
        </w:rPr>
        <w:t>Choi, K.B., Lee, J.J., Kim, G.H., Lim, H.J. and Kwon, S.G., 2018. Amplification ratio analysis of a bridge-type mechanical amplification mechanism based on a fully compliant model. Mechanism and Machine Theory, 121, pp.355-372.</w:t>
      </w:r>
    </w:p>
    <w:p w:rsidR="005618B3" w:rsidRPr="005618B3" w:rsidRDefault="005618B3" w:rsidP="005618B3">
      <w:pPr>
        <w:pStyle w:val="normal0"/>
        <w:rPr>
          <w:highlight w:val="white"/>
        </w:rPr>
      </w:pPr>
      <w:r w:rsidRPr="005618B3">
        <w:rPr>
          <w:highlight w:val="white"/>
        </w:rPr>
        <w:t>Felber, C., Campos, V. and Sanchis, J.R., 2019. The common good balance sheet, an adequate tool to capture non-financials?. Sustainability, 11(14), p.3791.</w:t>
      </w:r>
    </w:p>
    <w:p w:rsidR="005618B3" w:rsidRPr="005618B3" w:rsidRDefault="005618B3" w:rsidP="005618B3">
      <w:pPr>
        <w:pStyle w:val="normal0"/>
        <w:rPr>
          <w:highlight w:val="white"/>
        </w:rPr>
      </w:pPr>
      <w:r w:rsidRPr="005618B3">
        <w:rPr>
          <w:highlight w:val="white"/>
        </w:rPr>
        <w:t>Martin, J., Endt, S., Wetscherek, A., Kuder, T.A., Doerfler, A., Uder, M., Hensel, B. and Laun, F.B., 2020. Contrast-to-noise ratio analysis of microscopic diffusion anisotropy indices in q-space trajectory imaging. Zeitschrift für Medizinische Physik, 30(1), pp.4-16.</w:t>
      </w:r>
    </w:p>
    <w:p w:rsidR="005618B3" w:rsidRPr="005618B3" w:rsidRDefault="005618B3" w:rsidP="005618B3">
      <w:pPr>
        <w:pStyle w:val="normal0"/>
        <w:rPr>
          <w:highlight w:val="white"/>
        </w:rPr>
      </w:pPr>
      <w:r w:rsidRPr="005618B3">
        <w:rPr>
          <w:highlight w:val="white"/>
        </w:rPr>
        <w:t>Martin, J., Endt, S., Wetscherek, A., Kuder, T.A., Doerfler, A., Uder, M., Hensel, B. and Laun, F.B., 2020. Contrast-to-noise ratio analysis of microscopic diffusion anisotropy indices in q-space trajectory imaging. Zeitschrift für Medizinische Physik, 30(1), pp.4-16.</w:t>
      </w:r>
    </w:p>
    <w:p w:rsidR="005618B3" w:rsidRPr="005618B3" w:rsidRDefault="005618B3" w:rsidP="005618B3">
      <w:pPr>
        <w:pStyle w:val="normal0"/>
        <w:rPr>
          <w:highlight w:val="white"/>
        </w:rPr>
      </w:pPr>
      <w:r w:rsidRPr="005618B3">
        <w:rPr>
          <w:highlight w:val="white"/>
        </w:rPr>
        <w:t>Semenyshena, N., KHORUNZHAK, N. and Sadovska, I., 2020. Evaluation of the adaptability of scientific theories for the development of Accounting Institute. Intellectual Economics, 14(1), pp.113-129.</w:t>
      </w:r>
    </w:p>
    <w:p w:rsidR="005618B3" w:rsidRPr="005618B3" w:rsidRDefault="005618B3" w:rsidP="005618B3">
      <w:pPr>
        <w:pStyle w:val="normal0"/>
        <w:rPr>
          <w:highlight w:val="white"/>
        </w:rPr>
      </w:pPr>
      <w:r w:rsidRPr="005618B3">
        <w:rPr>
          <w:highlight w:val="white"/>
        </w:rPr>
        <w:t>Song, M., Zhu, S., Wang, J. and Wang, S., 2019. China's natural resources balance sheet from the perspective of government oversight: based on the analysis of governance and accounting attributes. Journal of environmental management, 248, p.109232.</w:t>
      </w:r>
    </w:p>
    <w:p w:rsidR="005618B3" w:rsidRPr="005618B3" w:rsidRDefault="005618B3" w:rsidP="005618B3">
      <w:pPr>
        <w:pStyle w:val="normal0"/>
        <w:rPr>
          <w:highlight w:val="white"/>
        </w:rPr>
      </w:pPr>
      <w:r w:rsidRPr="005618B3">
        <w:rPr>
          <w:highlight w:val="white"/>
        </w:rPr>
        <w:t>Susanto, H., Prasetyo, I., Indrawati, T., Aliyyah, N., Rusdianto, R., Tjaraka, H., Kalbuana, N., Alam, A.S., Ghazali, G. and Zainurrafiqi, Z., 2021. The impacts of earnings volatility, net income and comprehensive income on share Price: Evidence from Indonesia Stock Exchange. Accounting 7, 7(5), pp.1009-1016.</w:t>
      </w:r>
    </w:p>
    <w:p w:rsidR="005618B3" w:rsidRPr="005618B3" w:rsidRDefault="005618B3" w:rsidP="005618B3">
      <w:pPr>
        <w:pStyle w:val="normal0"/>
        <w:rPr>
          <w:highlight w:val="white"/>
        </w:rPr>
      </w:pPr>
      <w:r w:rsidRPr="005618B3">
        <w:rPr>
          <w:highlight w:val="white"/>
        </w:rPr>
        <w:lastRenderedPageBreak/>
        <w:t>Umbach, W.S., 2018. The Fundamentals of Accounting: A Series of Case Reports (Doctoral dissertation, The University of Mississippi).</w:t>
      </w:r>
    </w:p>
    <w:p w:rsidR="005618B3" w:rsidRPr="005618B3" w:rsidRDefault="005618B3" w:rsidP="005618B3">
      <w:pPr>
        <w:pStyle w:val="normal0"/>
        <w:rPr>
          <w:highlight w:val="white"/>
        </w:rPr>
      </w:pPr>
      <w:r w:rsidRPr="005618B3">
        <w:rPr>
          <w:highlight w:val="white"/>
        </w:rPr>
        <w:t>Xu, L., 2021. Research on the Confirmation and Measurement of Other Comprehensive Income. Academic Journal of Business &amp; Management, 3(1).</w:t>
      </w:r>
    </w:p>
    <w:sectPr w:rsidR="005618B3" w:rsidRPr="005618B3" w:rsidSect="000B6122">
      <w:footerReference w:type="default" r:id="rId9"/>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C5032" w:rsidRDefault="002C5032" w:rsidP="005618B3">
      <w:pPr>
        <w:spacing w:line="240" w:lineRule="auto"/>
      </w:pPr>
      <w:r>
        <w:separator/>
      </w:r>
    </w:p>
  </w:endnote>
  <w:endnote w:type="continuationSeparator" w:id="1">
    <w:p w:rsidR="002C5032" w:rsidRDefault="002C5032" w:rsidP="005618B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772003"/>
      <w:docPartObj>
        <w:docPartGallery w:val="Page Numbers (Bottom of Page)"/>
        <w:docPartUnique/>
      </w:docPartObj>
    </w:sdtPr>
    <w:sdtContent>
      <w:p w:rsidR="005618B3" w:rsidRDefault="00FE789E">
        <w:pPr>
          <w:pStyle w:val="Footer"/>
          <w:jc w:val="right"/>
        </w:pPr>
        <w:fldSimple w:instr=" PAGE   \* MERGEFORMAT ">
          <w:r w:rsidR="002852BF">
            <w:rPr>
              <w:noProof/>
            </w:rPr>
            <w:t>1</w:t>
          </w:r>
        </w:fldSimple>
      </w:p>
    </w:sdtContent>
  </w:sdt>
  <w:p w:rsidR="005618B3" w:rsidRDefault="005618B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C5032" w:rsidRDefault="002C5032" w:rsidP="005618B3">
      <w:pPr>
        <w:spacing w:line="240" w:lineRule="auto"/>
      </w:pPr>
      <w:r>
        <w:separator/>
      </w:r>
    </w:p>
  </w:footnote>
  <w:footnote w:type="continuationSeparator" w:id="1">
    <w:p w:rsidR="002C5032" w:rsidRDefault="002C5032" w:rsidP="005618B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580F30"/>
    <w:multiLevelType w:val="multilevel"/>
    <w:tmpl w:val="9EB2B8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5BF871DF"/>
    <w:multiLevelType w:val="multilevel"/>
    <w:tmpl w:val="78A6EC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63A453E3"/>
    <w:multiLevelType w:val="multilevel"/>
    <w:tmpl w:val="6DBC29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0B6122"/>
    <w:rsid w:val="000B6122"/>
    <w:rsid w:val="002852BF"/>
    <w:rsid w:val="002C5032"/>
    <w:rsid w:val="004E142B"/>
    <w:rsid w:val="005618B3"/>
    <w:rsid w:val="00FE789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789E"/>
  </w:style>
  <w:style w:type="paragraph" w:styleId="Heading1">
    <w:name w:val="heading 1"/>
    <w:basedOn w:val="normal0"/>
    <w:next w:val="normal0"/>
    <w:rsid w:val="005618B3"/>
    <w:pPr>
      <w:keepNext/>
      <w:keepLines/>
      <w:outlineLvl w:val="0"/>
    </w:pPr>
    <w:rPr>
      <w:b/>
      <w:szCs w:val="40"/>
    </w:rPr>
  </w:style>
  <w:style w:type="paragraph" w:styleId="Heading2">
    <w:name w:val="heading 2"/>
    <w:basedOn w:val="normal0"/>
    <w:next w:val="normal0"/>
    <w:rsid w:val="000B6122"/>
    <w:pPr>
      <w:keepNext/>
      <w:keepLines/>
      <w:spacing w:before="360" w:after="120"/>
      <w:outlineLvl w:val="1"/>
    </w:pPr>
    <w:rPr>
      <w:sz w:val="32"/>
      <w:szCs w:val="32"/>
    </w:rPr>
  </w:style>
  <w:style w:type="paragraph" w:styleId="Heading3">
    <w:name w:val="heading 3"/>
    <w:basedOn w:val="normal0"/>
    <w:next w:val="normal0"/>
    <w:rsid w:val="000B6122"/>
    <w:pPr>
      <w:keepNext/>
      <w:keepLines/>
      <w:spacing w:before="320" w:after="80"/>
      <w:outlineLvl w:val="2"/>
    </w:pPr>
    <w:rPr>
      <w:color w:val="434343"/>
      <w:sz w:val="28"/>
      <w:szCs w:val="28"/>
    </w:rPr>
  </w:style>
  <w:style w:type="paragraph" w:styleId="Heading4">
    <w:name w:val="heading 4"/>
    <w:basedOn w:val="normal0"/>
    <w:next w:val="normal0"/>
    <w:rsid w:val="000B6122"/>
    <w:pPr>
      <w:keepNext/>
      <w:keepLines/>
      <w:spacing w:before="280" w:after="80"/>
      <w:outlineLvl w:val="3"/>
    </w:pPr>
    <w:rPr>
      <w:color w:val="666666"/>
      <w:szCs w:val="24"/>
    </w:rPr>
  </w:style>
  <w:style w:type="paragraph" w:styleId="Heading5">
    <w:name w:val="heading 5"/>
    <w:basedOn w:val="normal0"/>
    <w:next w:val="normal0"/>
    <w:rsid w:val="000B6122"/>
    <w:pPr>
      <w:keepNext/>
      <w:keepLines/>
      <w:spacing w:before="240" w:after="80"/>
      <w:outlineLvl w:val="4"/>
    </w:pPr>
    <w:rPr>
      <w:color w:val="666666"/>
      <w:sz w:val="22"/>
    </w:rPr>
  </w:style>
  <w:style w:type="paragraph" w:styleId="Heading6">
    <w:name w:val="heading 6"/>
    <w:basedOn w:val="normal0"/>
    <w:next w:val="normal0"/>
    <w:rsid w:val="000B6122"/>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618B3"/>
    <w:pPr>
      <w:spacing w:line="360" w:lineRule="auto"/>
      <w:jc w:val="both"/>
    </w:pPr>
    <w:rPr>
      <w:rFonts w:ascii="Times New Roman" w:hAnsi="Times New Roman"/>
      <w:sz w:val="24"/>
    </w:rPr>
  </w:style>
  <w:style w:type="paragraph" w:styleId="Title">
    <w:name w:val="Title"/>
    <w:basedOn w:val="normal0"/>
    <w:next w:val="normal0"/>
    <w:rsid w:val="000B6122"/>
    <w:pPr>
      <w:keepNext/>
      <w:keepLines/>
      <w:spacing w:after="60"/>
    </w:pPr>
    <w:rPr>
      <w:sz w:val="52"/>
      <w:szCs w:val="52"/>
    </w:rPr>
  </w:style>
  <w:style w:type="paragraph" w:styleId="Subtitle">
    <w:name w:val="Subtitle"/>
    <w:basedOn w:val="normal0"/>
    <w:next w:val="normal0"/>
    <w:rsid w:val="000B6122"/>
    <w:pPr>
      <w:keepNext/>
      <w:keepLines/>
      <w:spacing w:after="320"/>
    </w:pPr>
    <w:rPr>
      <w:rFonts w:ascii="Arial" w:hAnsi="Arial"/>
      <w:color w:val="666666"/>
      <w:sz w:val="30"/>
      <w:szCs w:val="30"/>
    </w:rPr>
  </w:style>
  <w:style w:type="table" w:customStyle="1" w:styleId="a">
    <w:basedOn w:val="TableNormal"/>
    <w:rsid w:val="000B6122"/>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0B612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618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18B3"/>
    <w:rPr>
      <w:rFonts w:ascii="Tahoma" w:hAnsi="Tahoma" w:cs="Tahoma"/>
      <w:sz w:val="16"/>
      <w:szCs w:val="16"/>
    </w:rPr>
  </w:style>
  <w:style w:type="paragraph" w:styleId="TOCHeading">
    <w:name w:val="TOC Heading"/>
    <w:basedOn w:val="Heading1"/>
    <w:next w:val="Normal"/>
    <w:uiPriority w:val="39"/>
    <w:semiHidden/>
    <w:unhideWhenUsed/>
    <w:qFormat/>
    <w:rsid w:val="005618B3"/>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618B3"/>
    <w:pPr>
      <w:spacing w:after="100"/>
    </w:pPr>
  </w:style>
  <w:style w:type="character" w:styleId="Hyperlink">
    <w:name w:val="Hyperlink"/>
    <w:basedOn w:val="DefaultParagraphFont"/>
    <w:uiPriority w:val="99"/>
    <w:unhideWhenUsed/>
    <w:rsid w:val="005618B3"/>
    <w:rPr>
      <w:color w:val="0000FF" w:themeColor="hyperlink"/>
      <w:u w:val="single"/>
    </w:rPr>
  </w:style>
  <w:style w:type="paragraph" w:styleId="Header">
    <w:name w:val="header"/>
    <w:basedOn w:val="Normal"/>
    <w:link w:val="HeaderChar"/>
    <w:uiPriority w:val="99"/>
    <w:semiHidden/>
    <w:unhideWhenUsed/>
    <w:rsid w:val="005618B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618B3"/>
  </w:style>
  <w:style w:type="paragraph" w:styleId="Footer">
    <w:name w:val="footer"/>
    <w:basedOn w:val="Normal"/>
    <w:link w:val="FooterChar"/>
    <w:uiPriority w:val="99"/>
    <w:unhideWhenUsed/>
    <w:rsid w:val="005618B3"/>
    <w:pPr>
      <w:tabs>
        <w:tab w:val="center" w:pos="4680"/>
        <w:tab w:val="right" w:pos="9360"/>
      </w:tabs>
      <w:spacing w:line="240" w:lineRule="auto"/>
    </w:pPr>
  </w:style>
  <w:style w:type="character" w:customStyle="1" w:styleId="FooterChar">
    <w:name w:val="Footer Char"/>
    <w:basedOn w:val="DefaultParagraphFont"/>
    <w:link w:val="Footer"/>
    <w:uiPriority w:val="99"/>
    <w:rsid w:val="005618B3"/>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51ADEC-72C7-4543-A77A-A95DFDDF7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2887</Words>
  <Characters>16462</Characters>
  <Application>Microsoft Office Word</Application>
  <DocSecurity>0</DocSecurity>
  <Lines>137</Lines>
  <Paragraphs>38</Paragraphs>
  <ScaleCrop>false</ScaleCrop>
  <Company/>
  <LinksUpToDate>false</LinksUpToDate>
  <CharactersWithSpaces>19311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99</dc:creator>
  <cp:lastModifiedBy>user</cp:lastModifiedBy>
  <cp:revision>2</cp:revision>
  <dcterms:created xsi:type="dcterms:W3CDTF">2022-08-29T11:00:00Z</dcterms:created>
  <dcterms:modified xsi:type="dcterms:W3CDTF">2022-08-29T11:00:00Z</dcterms:modified>
</cp:coreProperties>
</file>