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7C359" w14:textId="353AE10D" w:rsidR="009C7A18" w:rsidRPr="00C15043" w:rsidRDefault="00C15043" w:rsidP="00C15043">
      <w:pPr>
        <w:rPr>
          <w:b/>
          <w:bCs/>
          <w:sz w:val="24"/>
          <w:szCs w:val="24"/>
        </w:rPr>
      </w:pPr>
      <w:r w:rsidRPr="00C15043">
        <w:rPr>
          <w:b/>
          <w:bCs/>
          <w:sz w:val="24"/>
          <w:szCs w:val="24"/>
        </w:rPr>
        <w:t>Demonstrate how cross-curricular teaching and learning can influence in-depth skills and understanding. Underpin this with reference to relevant research, a detailed lesson plan and an enhanced provision material.</w:t>
      </w:r>
    </w:p>
    <w:p w14:paraId="4472A75D" w14:textId="47FF92F7" w:rsidR="00C15043" w:rsidRDefault="00C15043" w:rsidP="00C15043">
      <w:pPr>
        <w:rPr>
          <w:b/>
          <w:bCs/>
          <w:sz w:val="24"/>
          <w:szCs w:val="24"/>
        </w:rPr>
      </w:pPr>
      <w:r w:rsidRPr="00C15043">
        <w:rPr>
          <w:b/>
          <w:bCs/>
          <w:sz w:val="24"/>
          <w:szCs w:val="24"/>
        </w:rPr>
        <w:t>Introduction:</w:t>
      </w:r>
    </w:p>
    <w:p w14:paraId="60366DA1" w14:textId="6679D320" w:rsidR="002D35AB" w:rsidRPr="005502AE" w:rsidRDefault="00733E2C" w:rsidP="002D35AB">
      <w:r w:rsidRPr="001F569C">
        <w:rPr>
          <w:sz w:val="24"/>
          <w:szCs w:val="24"/>
        </w:rPr>
        <w:t xml:space="preserve">Cross-curricular teaching can be broadly defined as integrating two or more subject disciplines within an educational setting (St. Clair &amp; Hough, 1992, cited in Cohen </w:t>
      </w:r>
      <w:r w:rsidRPr="003450CA">
        <w:rPr>
          <w:i/>
          <w:iCs/>
          <w:sz w:val="24"/>
          <w:szCs w:val="24"/>
        </w:rPr>
        <w:t>et al.,</w:t>
      </w:r>
      <w:r w:rsidRPr="001F569C">
        <w:rPr>
          <w:sz w:val="24"/>
          <w:szCs w:val="24"/>
        </w:rPr>
        <w:t xml:space="preserve"> 2024). </w:t>
      </w:r>
      <w:r w:rsidR="00C56E2F" w:rsidRPr="001F569C">
        <w:rPr>
          <w:sz w:val="24"/>
          <w:szCs w:val="24"/>
        </w:rPr>
        <w:t xml:space="preserve">Barnes (2018) supports and reinforces this view, explaining cross-curricular teaching as linking and creating connections between two or more traditional subjects. </w:t>
      </w:r>
      <w:r w:rsidR="00E561FE">
        <w:rPr>
          <w:sz w:val="24"/>
          <w:szCs w:val="24"/>
        </w:rPr>
        <w:t>Throughout this assignment, the writer will explore the opportunities and challenges that implementing cross-curricular pedagogy can present. Firstly, t</w:t>
      </w:r>
      <w:r w:rsidR="00AE1BFE" w:rsidRPr="001F569C">
        <w:rPr>
          <w:sz w:val="24"/>
          <w:szCs w:val="24"/>
        </w:rPr>
        <w:t>eaching in a way that connects and creates links between subjects allows children to use knowledge and what has been taught in one subject to support and apply to other subjects (Kukovec, 2014) and (Kerry, 2015).</w:t>
      </w:r>
      <w:r w:rsidR="001F569C">
        <w:rPr>
          <w:sz w:val="24"/>
          <w:szCs w:val="24"/>
        </w:rPr>
        <w:t xml:space="preserve"> </w:t>
      </w:r>
      <w:r w:rsidR="001F569C" w:rsidRPr="001F569C">
        <w:rPr>
          <w:sz w:val="24"/>
          <w:szCs w:val="24"/>
        </w:rPr>
        <w:t>Rowley and Cooper</w:t>
      </w:r>
      <w:r w:rsidR="001F569C">
        <w:rPr>
          <w:sz w:val="24"/>
          <w:szCs w:val="24"/>
        </w:rPr>
        <w:t xml:space="preserve"> (</w:t>
      </w:r>
      <w:r w:rsidR="001F569C" w:rsidRPr="001F569C">
        <w:rPr>
          <w:sz w:val="24"/>
          <w:szCs w:val="24"/>
        </w:rPr>
        <w:t>2009</w:t>
      </w:r>
      <w:r w:rsidR="001F569C">
        <w:rPr>
          <w:sz w:val="24"/>
          <w:szCs w:val="24"/>
        </w:rPr>
        <w:t xml:space="preserve">), further this and suggest that cross-curricular teaching also allows children to relate </w:t>
      </w:r>
      <w:r w:rsidR="00E00CCB">
        <w:rPr>
          <w:sz w:val="24"/>
          <w:szCs w:val="24"/>
        </w:rPr>
        <w:t xml:space="preserve">learning to their personal, authentic experiences. </w:t>
      </w:r>
      <w:r w:rsidR="00846FAE">
        <w:rPr>
          <w:sz w:val="24"/>
          <w:szCs w:val="24"/>
        </w:rPr>
        <w:t xml:space="preserve">The Curriculum for Wales (2022) supports teaching in a way that is authentic and explains that experiences that are relevant, meaningful and rooted in real-life concepts allow children to apply knowledge through making connections </w:t>
      </w:r>
      <w:r w:rsidR="00846FAE" w:rsidRPr="00846FAE">
        <w:rPr>
          <w:sz w:val="24"/>
          <w:szCs w:val="24"/>
        </w:rPr>
        <w:t>(Welsh Government, 2023)</w:t>
      </w:r>
      <w:r w:rsidR="00846FAE">
        <w:rPr>
          <w:sz w:val="24"/>
          <w:szCs w:val="24"/>
        </w:rPr>
        <w:t>.</w:t>
      </w:r>
      <w:r w:rsidR="002D35AB">
        <w:rPr>
          <w:sz w:val="24"/>
          <w:szCs w:val="24"/>
        </w:rPr>
        <w:t xml:space="preserve">  Learning that is authentic and goes beyond subject boundaries allows for deep, challenging learning that is relevant to the learners (Kerry, 2015).</w:t>
      </w:r>
      <w:r w:rsidR="00AB5D35">
        <w:rPr>
          <w:sz w:val="24"/>
          <w:szCs w:val="24"/>
        </w:rPr>
        <w:t xml:space="preserve"> Teaching in a cross-curricular way encourages students to think beyond the constraint of a single subject and apply multiple perspectives, enabling them to become critical thinkers and enhancing their practical capabilities later in life (Wang, 2019). </w:t>
      </w:r>
    </w:p>
    <w:p w14:paraId="64E2C73C" w14:textId="2D9C874F" w:rsidR="00C15043" w:rsidRDefault="00846FAE" w:rsidP="00C15043">
      <w:pPr>
        <w:rPr>
          <w:sz w:val="24"/>
          <w:szCs w:val="24"/>
        </w:rPr>
      </w:pPr>
      <w:r>
        <w:rPr>
          <w:sz w:val="24"/>
          <w:szCs w:val="24"/>
        </w:rPr>
        <w:t xml:space="preserve"> </w:t>
      </w:r>
      <w:r w:rsidR="00C15043">
        <w:rPr>
          <w:sz w:val="24"/>
          <w:szCs w:val="24"/>
        </w:rPr>
        <w:t xml:space="preserve">The Curriculum for Wales (2022) introduced the idea of three mandatory cross-curricular skills that </w:t>
      </w:r>
      <w:r w:rsidR="00304970">
        <w:rPr>
          <w:sz w:val="24"/>
          <w:szCs w:val="24"/>
        </w:rPr>
        <w:t xml:space="preserve">underpin the four purposes which </w:t>
      </w:r>
      <w:r w:rsidR="00C15043">
        <w:rPr>
          <w:sz w:val="24"/>
          <w:szCs w:val="24"/>
        </w:rPr>
        <w:t xml:space="preserve">practitioners are responsible for developing and progressing </w:t>
      </w:r>
      <w:r w:rsidR="00977D18" w:rsidRPr="00977D18">
        <w:rPr>
          <w:sz w:val="24"/>
          <w:szCs w:val="24"/>
        </w:rPr>
        <w:t>(Welsh Government, 2022)</w:t>
      </w:r>
      <w:r w:rsidR="00977D18">
        <w:rPr>
          <w:sz w:val="24"/>
          <w:szCs w:val="24"/>
        </w:rPr>
        <w:t xml:space="preserve">. </w:t>
      </w:r>
      <w:r w:rsidR="00FA47A6">
        <w:rPr>
          <w:sz w:val="24"/>
          <w:szCs w:val="24"/>
        </w:rPr>
        <w:t>Literacy, Numeracy and Digital Competen</w:t>
      </w:r>
      <w:r w:rsidR="004C4419">
        <w:rPr>
          <w:sz w:val="24"/>
          <w:szCs w:val="24"/>
        </w:rPr>
        <w:t>ce</w:t>
      </w:r>
      <w:r w:rsidR="00FA47A6">
        <w:rPr>
          <w:sz w:val="24"/>
          <w:szCs w:val="24"/>
        </w:rPr>
        <w:t xml:space="preserve"> underpin all learning and are the building blocks allowing children to access the breadth of the curriculum </w:t>
      </w:r>
      <w:r w:rsidR="00FA47A6" w:rsidRPr="00FA47A6">
        <w:rPr>
          <w:sz w:val="24"/>
          <w:szCs w:val="24"/>
        </w:rPr>
        <w:t>(</w:t>
      </w:r>
      <w:proofErr w:type="spellStart"/>
      <w:r w:rsidR="00FA47A6" w:rsidRPr="00FA47A6">
        <w:rPr>
          <w:sz w:val="24"/>
          <w:szCs w:val="24"/>
        </w:rPr>
        <w:t>Gov.Wales</w:t>
      </w:r>
      <w:proofErr w:type="spellEnd"/>
      <w:r w:rsidR="00FA47A6" w:rsidRPr="00FA47A6">
        <w:rPr>
          <w:sz w:val="24"/>
          <w:szCs w:val="24"/>
        </w:rPr>
        <w:t>, 2022)</w:t>
      </w:r>
      <w:r w:rsidR="00FA47A6">
        <w:rPr>
          <w:sz w:val="24"/>
          <w:szCs w:val="24"/>
        </w:rPr>
        <w:t>.</w:t>
      </w:r>
      <w:r w:rsidR="00304970">
        <w:rPr>
          <w:sz w:val="24"/>
          <w:szCs w:val="24"/>
        </w:rPr>
        <w:t xml:space="preserve"> These should be taught in line with the four purposes of the Curriculum for Wales (2022). These purposes encourage children to become ambitious and capable, enterprising and creative, ethically informed and healthy and confident </w:t>
      </w:r>
      <w:r w:rsidR="00304970" w:rsidRPr="00304970">
        <w:rPr>
          <w:sz w:val="24"/>
          <w:szCs w:val="24"/>
        </w:rPr>
        <w:t>(Welsh Government, 2020)</w:t>
      </w:r>
      <w:r w:rsidR="00304970">
        <w:rPr>
          <w:sz w:val="24"/>
          <w:szCs w:val="24"/>
        </w:rPr>
        <w:t>.</w:t>
      </w:r>
      <w:r w:rsidR="001C12A6">
        <w:rPr>
          <w:sz w:val="24"/>
          <w:szCs w:val="24"/>
        </w:rPr>
        <w:t xml:space="preserve"> The mandatory cross-curricular skills of numeracy, literacy and digital competen</w:t>
      </w:r>
      <w:r w:rsidR="004C4419">
        <w:rPr>
          <w:sz w:val="24"/>
          <w:szCs w:val="24"/>
        </w:rPr>
        <w:t>ce</w:t>
      </w:r>
      <w:r w:rsidR="001C12A6">
        <w:rPr>
          <w:sz w:val="24"/>
          <w:szCs w:val="24"/>
        </w:rPr>
        <w:t xml:space="preserve"> allow children to realise the four purposes and equip them with knowledge and skills to last a lifetime (Welsh Government, 2020). </w:t>
      </w:r>
      <w:r w:rsidR="00304970">
        <w:rPr>
          <w:sz w:val="24"/>
          <w:szCs w:val="24"/>
        </w:rPr>
        <w:t xml:space="preserve"> </w:t>
      </w:r>
      <w:r w:rsidR="00FA47A6">
        <w:rPr>
          <w:sz w:val="24"/>
          <w:szCs w:val="24"/>
        </w:rPr>
        <w:t xml:space="preserve"> </w:t>
      </w:r>
      <w:r w:rsidR="00C15043">
        <w:rPr>
          <w:sz w:val="24"/>
          <w:szCs w:val="24"/>
        </w:rPr>
        <w:t xml:space="preserve"> </w:t>
      </w:r>
    </w:p>
    <w:p w14:paraId="0A6DEE66" w14:textId="3292B588" w:rsidR="00CE78DB" w:rsidRPr="00CE78DB" w:rsidRDefault="00AD1599" w:rsidP="00CE78DB">
      <w:pPr>
        <w:rPr>
          <w:sz w:val="24"/>
          <w:szCs w:val="24"/>
        </w:rPr>
      </w:pPr>
      <w:r>
        <w:rPr>
          <w:sz w:val="24"/>
          <w:szCs w:val="24"/>
        </w:rPr>
        <w:t>However, it is important to consider the potential challenges or barriers that may face teachers and learners when implementing a curriculum that incorporates the mandatory cross-curricular skills.</w:t>
      </w:r>
      <w:r w:rsidR="00494B72">
        <w:rPr>
          <w:sz w:val="24"/>
          <w:szCs w:val="24"/>
        </w:rPr>
        <w:t xml:space="preserve"> Using a curriculum that is skill based can lead to </w:t>
      </w:r>
      <w:r w:rsidR="00494B72" w:rsidRPr="00494B72">
        <w:rPr>
          <w:sz w:val="24"/>
          <w:szCs w:val="24"/>
        </w:rPr>
        <w:t>inequalities in the content that pupils are exposed to and there is evidence to suggest countries that have adopted a skill-based curriculum have encountered poorer educational outcomes (</w:t>
      </w:r>
      <w:proofErr w:type="spellStart"/>
      <w:r w:rsidR="00494B72" w:rsidRPr="00494B72">
        <w:rPr>
          <w:sz w:val="24"/>
          <w:szCs w:val="24"/>
        </w:rPr>
        <w:t>Sibieta</w:t>
      </w:r>
      <w:proofErr w:type="spellEnd"/>
      <w:r w:rsidR="00494B72" w:rsidRPr="00494B72">
        <w:rPr>
          <w:sz w:val="24"/>
          <w:szCs w:val="24"/>
        </w:rPr>
        <w:t>, 2024) and</w:t>
      </w:r>
      <w:r w:rsidR="00494B72">
        <w:t xml:space="preserve"> </w:t>
      </w:r>
      <w:r w:rsidR="00494B72" w:rsidRPr="00494B72">
        <w:rPr>
          <w:sz w:val="24"/>
          <w:szCs w:val="24"/>
        </w:rPr>
        <w:t xml:space="preserve">(Crehan, 2023, cited in </w:t>
      </w:r>
      <w:proofErr w:type="spellStart"/>
      <w:r w:rsidR="00494B72" w:rsidRPr="00494B72">
        <w:rPr>
          <w:sz w:val="24"/>
          <w:szCs w:val="24"/>
        </w:rPr>
        <w:t>Sibieta</w:t>
      </w:r>
      <w:proofErr w:type="spellEnd"/>
      <w:r w:rsidR="00494B72" w:rsidRPr="00494B72">
        <w:rPr>
          <w:sz w:val="24"/>
          <w:szCs w:val="24"/>
        </w:rPr>
        <w:t>, 2024).</w:t>
      </w:r>
      <w:r w:rsidR="00911F47">
        <w:rPr>
          <w:sz w:val="24"/>
          <w:szCs w:val="24"/>
        </w:rPr>
        <w:t xml:space="preserve"> The Curriculum for Wales (2022) disagrees with this idea and argues that allowing practitioners to make decisions regarding the content that is taught allows for better </w:t>
      </w:r>
      <w:r w:rsidR="00911F47">
        <w:rPr>
          <w:sz w:val="24"/>
          <w:szCs w:val="24"/>
        </w:rPr>
        <w:lastRenderedPageBreak/>
        <w:t xml:space="preserve">support of the specific needs of their learners. Allowing practitioners that control can enable them to be creative and can help to better implement cross-curricular teaching and meaningful, authentic experiences </w:t>
      </w:r>
      <w:r w:rsidR="00911F47" w:rsidRPr="00911F47">
        <w:rPr>
          <w:sz w:val="24"/>
          <w:szCs w:val="24"/>
        </w:rPr>
        <w:t>(Welsh Government, 2020b)</w:t>
      </w:r>
      <w:r w:rsidR="00911F47">
        <w:rPr>
          <w:sz w:val="24"/>
          <w:szCs w:val="24"/>
        </w:rPr>
        <w:t xml:space="preserve">. </w:t>
      </w:r>
      <w:r w:rsidR="00CE78DB" w:rsidRPr="00CE78DB">
        <w:rPr>
          <w:sz w:val="24"/>
          <w:szCs w:val="24"/>
        </w:rPr>
        <w:t>Department for Education</w:t>
      </w:r>
      <w:r w:rsidR="00CE78DB">
        <w:rPr>
          <w:sz w:val="24"/>
          <w:szCs w:val="24"/>
        </w:rPr>
        <w:t xml:space="preserve"> (</w:t>
      </w:r>
      <w:r w:rsidR="00CE78DB" w:rsidRPr="00CE78DB">
        <w:rPr>
          <w:sz w:val="24"/>
          <w:szCs w:val="24"/>
        </w:rPr>
        <w:t>2023)</w:t>
      </w:r>
      <w:r w:rsidR="00CE78DB">
        <w:rPr>
          <w:sz w:val="24"/>
          <w:szCs w:val="24"/>
        </w:rPr>
        <w:t xml:space="preserve"> suggest that another barrier to implementing cross-curricular skills, particularly digital competence, is the cost.</w:t>
      </w:r>
      <w:r w:rsidR="004C4419">
        <w:rPr>
          <w:sz w:val="24"/>
          <w:szCs w:val="24"/>
        </w:rPr>
        <w:t xml:space="preserve"> </w:t>
      </w:r>
      <w:r w:rsidR="00CE78DB">
        <w:rPr>
          <w:sz w:val="24"/>
          <w:szCs w:val="24"/>
        </w:rPr>
        <w:t xml:space="preserve">However, there are ideas suggested within the Digital Competence Framework (2020) where digital competence can be promoted without the need for expensive technology </w:t>
      </w:r>
      <w:r w:rsidR="00CE78DB" w:rsidRPr="00CE78DB">
        <w:rPr>
          <w:sz w:val="24"/>
          <w:szCs w:val="24"/>
        </w:rPr>
        <w:t>(Welsh Government, 2020)</w:t>
      </w:r>
      <w:r w:rsidR="00CE78DB">
        <w:rPr>
          <w:sz w:val="24"/>
          <w:szCs w:val="24"/>
        </w:rPr>
        <w:t>.</w:t>
      </w:r>
      <w:r w:rsidR="000477B4">
        <w:rPr>
          <w:sz w:val="24"/>
          <w:szCs w:val="24"/>
        </w:rPr>
        <w:t xml:space="preserve"> The curriculum and cross-curricular frameworks have been specifically designed to enable practitioners to create experiences that encompass multiple skills and subjects, as well as the four purposes, to create meaningful learning that develops deep knowledge and understanding</w:t>
      </w:r>
      <w:r w:rsidR="00E654FC">
        <w:rPr>
          <w:sz w:val="24"/>
          <w:szCs w:val="24"/>
        </w:rPr>
        <w:t xml:space="preserve"> from three to sixteen years old</w:t>
      </w:r>
      <w:r w:rsidR="000477B4">
        <w:rPr>
          <w:sz w:val="24"/>
          <w:szCs w:val="24"/>
        </w:rPr>
        <w:t xml:space="preserve"> </w:t>
      </w:r>
      <w:r w:rsidR="000477B4" w:rsidRPr="000477B4">
        <w:rPr>
          <w:sz w:val="24"/>
          <w:szCs w:val="24"/>
        </w:rPr>
        <w:t>(Welsh Government, 2020b)</w:t>
      </w:r>
      <w:r w:rsidR="000477B4">
        <w:rPr>
          <w:sz w:val="24"/>
          <w:szCs w:val="24"/>
        </w:rPr>
        <w:t xml:space="preserve">. </w:t>
      </w:r>
    </w:p>
    <w:p w14:paraId="0A1A11B5" w14:textId="56DED778" w:rsidR="00466474" w:rsidRDefault="00466474" w:rsidP="00C15043">
      <w:pPr>
        <w:rPr>
          <w:b/>
          <w:bCs/>
          <w:sz w:val="24"/>
          <w:szCs w:val="24"/>
        </w:rPr>
      </w:pPr>
      <w:r>
        <w:rPr>
          <w:b/>
          <w:bCs/>
          <w:sz w:val="24"/>
          <w:szCs w:val="24"/>
        </w:rPr>
        <w:t>Main Body:</w:t>
      </w:r>
    </w:p>
    <w:p w14:paraId="2755D067" w14:textId="769FA4F7" w:rsidR="00016724" w:rsidRPr="00016724" w:rsidRDefault="00016724" w:rsidP="00016724">
      <w:pPr>
        <w:rPr>
          <w:sz w:val="24"/>
          <w:szCs w:val="24"/>
        </w:rPr>
      </w:pPr>
      <w:r w:rsidRPr="00016724">
        <w:rPr>
          <w:sz w:val="24"/>
          <w:szCs w:val="24"/>
        </w:rPr>
        <w:t>Watson</w:t>
      </w:r>
      <w:r>
        <w:rPr>
          <w:sz w:val="24"/>
          <w:szCs w:val="24"/>
        </w:rPr>
        <w:t xml:space="preserve"> (</w:t>
      </w:r>
      <w:r w:rsidRPr="00016724">
        <w:rPr>
          <w:sz w:val="24"/>
          <w:szCs w:val="24"/>
        </w:rPr>
        <w:t>2023)</w:t>
      </w:r>
      <w:r>
        <w:rPr>
          <w:sz w:val="24"/>
          <w:szCs w:val="24"/>
        </w:rPr>
        <w:t xml:space="preserve"> explains how there are many </w:t>
      </w:r>
      <w:r w:rsidR="00D00F43">
        <w:rPr>
          <w:sz w:val="24"/>
          <w:szCs w:val="24"/>
        </w:rPr>
        <w:t xml:space="preserve">positive opportunities and </w:t>
      </w:r>
      <w:r>
        <w:rPr>
          <w:sz w:val="24"/>
          <w:szCs w:val="24"/>
        </w:rPr>
        <w:t xml:space="preserve">benefits to cross-curricular teaching, specifically in primary education and early years learning. </w:t>
      </w:r>
      <w:r w:rsidR="005D2102">
        <w:rPr>
          <w:sz w:val="24"/>
          <w:szCs w:val="24"/>
        </w:rPr>
        <w:t xml:space="preserve">One of the largest </w:t>
      </w:r>
      <w:r w:rsidR="00681689">
        <w:rPr>
          <w:sz w:val="24"/>
          <w:szCs w:val="24"/>
        </w:rPr>
        <w:t>opportunities</w:t>
      </w:r>
      <w:r w:rsidR="005D2102">
        <w:rPr>
          <w:sz w:val="24"/>
          <w:szCs w:val="24"/>
        </w:rPr>
        <w:t xml:space="preserve"> is that learning is able to be connected. Rather than learning random, unrelated facts, children are given opportunity to think for themselves and create connections. Our brain naturally wants to make connections and using cross-curricular pedagogy supports and makes us able to do this more efficiently (Watson, 2023). </w:t>
      </w:r>
      <w:r w:rsidR="00226587">
        <w:rPr>
          <w:sz w:val="24"/>
          <w:szCs w:val="24"/>
        </w:rPr>
        <w:t xml:space="preserve">This is supported by an Estyn (2024) case study that explains that rich, effective cross-curricular learning enables children to be interested and engaged in their education, across all subjects (Estyn, 2024). </w:t>
      </w:r>
      <w:r w:rsidR="005D2102">
        <w:rPr>
          <w:sz w:val="24"/>
          <w:szCs w:val="24"/>
        </w:rPr>
        <w:t xml:space="preserve"> </w:t>
      </w:r>
    </w:p>
    <w:p w14:paraId="053CE186" w14:textId="4E0CCBE8" w:rsidR="002754B2" w:rsidRDefault="00EC3552" w:rsidP="00C15043">
      <w:pPr>
        <w:rPr>
          <w:sz w:val="24"/>
          <w:szCs w:val="24"/>
        </w:rPr>
      </w:pPr>
      <w:r>
        <w:rPr>
          <w:sz w:val="24"/>
          <w:szCs w:val="24"/>
        </w:rPr>
        <w:t xml:space="preserve">Considering the wealth of positive literature regarding cross-curricular pedagogy, </w:t>
      </w:r>
      <w:r w:rsidR="003F1C92">
        <w:rPr>
          <w:sz w:val="24"/>
          <w:szCs w:val="24"/>
        </w:rPr>
        <w:t>it was important to the writer to include opportunities for the children to practice the three mandatory cross-curricular skills</w:t>
      </w:r>
      <w:r>
        <w:rPr>
          <w:sz w:val="24"/>
          <w:szCs w:val="24"/>
        </w:rPr>
        <w:t xml:space="preserve"> </w:t>
      </w:r>
      <w:r w:rsidR="005E4A57">
        <w:rPr>
          <w:sz w:val="24"/>
          <w:szCs w:val="24"/>
        </w:rPr>
        <w:t>w</w:t>
      </w:r>
      <w:r>
        <w:rPr>
          <w:sz w:val="24"/>
          <w:szCs w:val="24"/>
        </w:rPr>
        <w:t>hen planning an enhanced provision activity</w:t>
      </w:r>
      <w:r w:rsidR="003F1C92">
        <w:rPr>
          <w:sz w:val="24"/>
          <w:szCs w:val="24"/>
        </w:rPr>
        <w:t xml:space="preserve">. </w:t>
      </w:r>
      <w:r w:rsidR="00D140D9">
        <w:rPr>
          <w:sz w:val="24"/>
          <w:szCs w:val="24"/>
        </w:rPr>
        <w:t xml:space="preserve">Jerome Bruner’s spiral curriculum theory (1960) supports the idea of revisiting and giving opportunity to practice the same skills multiple times. </w:t>
      </w:r>
      <w:r w:rsidR="00D140D9" w:rsidRPr="00D140D9">
        <w:rPr>
          <w:sz w:val="24"/>
          <w:szCs w:val="24"/>
        </w:rPr>
        <w:t>Gibbs</w:t>
      </w:r>
      <w:r w:rsidR="00D140D9">
        <w:rPr>
          <w:sz w:val="24"/>
          <w:szCs w:val="24"/>
        </w:rPr>
        <w:t xml:space="preserve"> (</w:t>
      </w:r>
      <w:r w:rsidR="00D140D9" w:rsidRPr="00D140D9">
        <w:rPr>
          <w:sz w:val="24"/>
          <w:szCs w:val="24"/>
        </w:rPr>
        <w:t>2014)</w:t>
      </w:r>
      <w:r w:rsidR="00D140D9">
        <w:rPr>
          <w:sz w:val="24"/>
          <w:szCs w:val="24"/>
        </w:rPr>
        <w:t xml:space="preserve"> explains the spiral curriculum as revisiting the same topic multiple times throughout the child’s education with increased complexity each time. </w:t>
      </w:r>
      <w:r w:rsidR="00032A48">
        <w:rPr>
          <w:sz w:val="24"/>
          <w:szCs w:val="24"/>
        </w:rPr>
        <w:t xml:space="preserve">This allows children to gain a greater understanding of the topic or skills and enables them to apply these skills to differing and </w:t>
      </w:r>
      <w:r w:rsidR="000E6006">
        <w:rPr>
          <w:sz w:val="24"/>
          <w:szCs w:val="24"/>
        </w:rPr>
        <w:t>real-world</w:t>
      </w:r>
      <w:r w:rsidR="00032A48">
        <w:rPr>
          <w:sz w:val="24"/>
          <w:szCs w:val="24"/>
        </w:rPr>
        <w:t xml:space="preserve"> situations (Main, 2022).</w:t>
      </w:r>
      <w:r w:rsidR="00381FBA">
        <w:rPr>
          <w:sz w:val="24"/>
          <w:szCs w:val="24"/>
        </w:rPr>
        <w:t xml:space="preserve"> The enhanced resource planned also crosses the Humanities and Expressive Arts Areas of Learning and Experience</w:t>
      </w:r>
      <w:r w:rsidR="00023A68">
        <w:rPr>
          <w:sz w:val="24"/>
          <w:szCs w:val="24"/>
        </w:rPr>
        <w:t xml:space="preserve"> (AOLE)</w:t>
      </w:r>
      <w:r w:rsidR="00381FBA">
        <w:rPr>
          <w:sz w:val="24"/>
          <w:szCs w:val="24"/>
        </w:rPr>
        <w:t xml:space="preserve"> (Welsh Government, 2022), allowing the children to further make connections between subject areas. </w:t>
      </w:r>
    </w:p>
    <w:p w14:paraId="18A10FEF" w14:textId="1A085D77" w:rsidR="00F34FE5" w:rsidRDefault="00F34FE5" w:rsidP="00C15043">
      <w:pPr>
        <w:rPr>
          <w:sz w:val="24"/>
          <w:szCs w:val="24"/>
        </w:rPr>
      </w:pPr>
      <w:r w:rsidRPr="00F34FE5">
        <w:rPr>
          <w:sz w:val="24"/>
          <w:szCs w:val="24"/>
        </w:rPr>
        <w:t>Quantrell</w:t>
      </w:r>
      <w:r>
        <w:rPr>
          <w:sz w:val="24"/>
          <w:szCs w:val="24"/>
        </w:rPr>
        <w:t xml:space="preserve"> (</w:t>
      </w:r>
      <w:r w:rsidRPr="00F34FE5">
        <w:rPr>
          <w:sz w:val="24"/>
          <w:szCs w:val="24"/>
        </w:rPr>
        <w:t>2017</w:t>
      </w:r>
      <w:r>
        <w:rPr>
          <w:sz w:val="24"/>
          <w:szCs w:val="24"/>
        </w:rPr>
        <w:t>) describes enhanced provision as adding resources to the continuous provision to enhance the children’s learning. An effective way to do this is through linking the enhanced provision to either the focus task or current topic (White, 2022) and (Quantrell, 2017).</w:t>
      </w:r>
      <w:r w:rsidR="006F4596">
        <w:rPr>
          <w:sz w:val="24"/>
          <w:szCs w:val="24"/>
        </w:rPr>
        <w:t xml:space="preserve"> With this in mind, the writer decided to make the conscious choice to link the enhanced provision activity to the focus activity which was based on the current topic in the classroom of </w:t>
      </w:r>
      <w:proofErr w:type="spellStart"/>
      <w:r w:rsidR="006F4596">
        <w:rPr>
          <w:sz w:val="24"/>
          <w:szCs w:val="24"/>
        </w:rPr>
        <w:t>Cestyll</w:t>
      </w:r>
      <w:proofErr w:type="spellEnd"/>
      <w:r w:rsidR="006F4596">
        <w:rPr>
          <w:sz w:val="24"/>
          <w:szCs w:val="24"/>
        </w:rPr>
        <w:t xml:space="preserve"> Cymraeg. </w:t>
      </w:r>
      <w:r>
        <w:rPr>
          <w:sz w:val="24"/>
          <w:szCs w:val="24"/>
        </w:rPr>
        <w:t xml:space="preserve"> </w:t>
      </w:r>
    </w:p>
    <w:p w14:paraId="0015D834" w14:textId="2A361A14" w:rsidR="00952BC5" w:rsidRDefault="000E6006" w:rsidP="00952BC5">
      <w:pPr>
        <w:rPr>
          <w:sz w:val="24"/>
          <w:szCs w:val="24"/>
        </w:rPr>
      </w:pPr>
      <w:r>
        <w:rPr>
          <w:sz w:val="24"/>
          <w:szCs w:val="24"/>
        </w:rPr>
        <w:t>As shown in the lesson plan for this activity (see Appendix 1), the enhanced provision activity</w:t>
      </w:r>
      <w:r w:rsidR="0018124F">
        <w:rPr>
          <w:sz w:val="24"/>
          <w:szCs w:val="24"/>
        </w:rPr>
        <w:t xml:space="preserve"> is to c</w:t>
      </w:r>
      <w:r w:rsidR="004D4F40">
        <w:rPr>
          <w:sz w:val="24"/>
          <w:szCs w:val="24"/>
        </w:rPr>
        <w:t>onstruct</w:t>
      </w:r>
      <w:r w:rsidR="0018124F">
        <w:rPr>
          <w:sz w:val="24"/>
          <w:szCs w:val="24"/>
        </w:rPr>
        <w:t xml:space="preserve"> a castle using the materials that are in the creative area. The way </w:t>
      </w:r>
      <w:r w:rsidR="0018124F">
        <w:rPr>
          <w:sz w:val="24"/>
          <w:szCs w:val="24"/>
        </w:rPr>
        <w:lastRenderedPageBreak/>
        <w:t xml:space="preserve">this continuous provision area has been made into an enhanced provision task is through adding an instructional video on how to make a castle </w:t>
      </w:r>
      <w:r w:rsidR="00420014">
        <w:rPr>
          <w:sz w:val="24"/>
          <w:szCs w:val="24"/>
        </w:rPr>
        <w:t xml:space="preserve">(see Appendix 2) </w:t>
      </w:r>
      <w:r w:rsidR="0018124F">
        <w:rPr>
          <w:sz w:val="24"/>
          <w:szCs w:val="24"/>
        </w:rPr>
        <w:t>to the creative area.</w:t>
      </w:r>
      <w:r w:rsidR="00420014">
        <w:rPr>
          <w:sz w:val="24"/>
          <w:szCs w:val="24"/>
        </w:rPr>
        <w:t xml:space="preserve"> This enhanced provision resource allows the children to take what they have learnt from the focus task explained in the lesson plan (see Appendix 1) and apply it </w:t>
      </w:r>
      <w:r w:rsidR="00952BC5">
        <w:rPr>
          <w:sz w:val="24"/>
          <w:szCs w:val="24"/>
        </w:rPr>
        <w:t>to a new context</w:t>
      </w:r>
      <w:r w:rsidR="00420014">
        <w:rPr>
          <w:sz w:val="24"/>
          <w:szCs w:val="24"/>
        </w:rPr>
        <w:t>.</w:t>
      </w:r>
      <w:r w:rsidR="00952BC5">
        <w:rPr>
          <w:sz w:val="24"/>
          <w:szCs w:val="24"/>
        </w:rPr>
        <w:t xml:space="preserve"> This task encourages collaboration as the children are sent to the areas in small groups and can work together within the area. One of the twelve pedagogical principles within the Curriculum for Wales (2022) is that children should be given opportunity to work collaboratively </w:t>
      </w:r>
      <w:r w:rsidR="00952BC5" w:rsidRPr="00952BC5">
        <w:rPr>
          <w:sz w:val="24"/>
          <w:szCs w:val="24"/>
        </w:rPr>
        <w:t>(Welsh Government, 2023)</w:t>
      </w:r>
      <w:r w:rsidR="00952BC5">
        <w:rPr>
          <w:sz w:val="24"/>
          <w:szCs w:val="24"/>
        </w:rPr>
        <w:t xml:space="preserve">. </w:t>
      </w:r>
      <w:r w:rsidR="006F4596">
        <w:rPr>
          <w:sz w:val="24"/>
          <w:szCs w:val="24"/>
        </w:rPr>
        <w:t xml:space="preserve">Vygotsky (1978) </w:t>
      </w:r>
      <w:r w:rsidR="009E4015">
        <w:rPr>
          <w:sz w:val="24"/>
          <w:szCs w:val="24"/>
        </w:rPr>
        <w:t xml:space="preserve">agrees and </w:t>
      </w:r>
      <w:r w:rsidR="006F4596">
        <w:rPr>
          <w:sz w:val="24"/>
          <w:szCs w:val="24"/>
        </w:rPr>
        <w:t xml:space="preserve">poses that learning is a social process and happens when in the presence of someone more knowledgeable </w:t>
      </w:r>
      <w:r w:rsidR="006F4596" w:rsidRPr="006F4596">
        <w:rPr>
          <w:sz w:val="24"/>
          <w:szCs w:val="24"/>
        </w:rPr>
        <w:t>(Abtahi, Graven and Lerman, 2017)</w:t>
      </w:r>
      <w:r w:rsidR="006F4596">
        <w:rPr>
          <w:sz w:val="24"/>
          <w:szCs w:val="24"/>
        </w:rPr>
        <w:t xml:space="preserve">. Allowing the children the opportunity to work together </w:t>
      </w:r>
      <w:r w:rsidR="005761EC">
        <w:rPr>
          <w:sz w:val="24"/>
          <w:szCs w:val="24"/>
        </w:rPr>
        <w:t xml:space="preserve">can potentially </w:t>
      </w:r>
      <w:r w:rsidR="006F4596">
        <w:rPr>
          <w:sz w:val="24"/>
          <w:szCs w:val="24"/>
        </w:rPr>
        <w:t xml:space="preserve">allow them to learn and develop from one another. </w:t>
      </w:r>
    </w:p>
    <w:p w14:paraId="364D0072" w14:textId="1CB259FD" w:rsidR="00E16B82" w:rsidRDefault="00FF2366" w:rsidP="00952BC5">
      <w:pPr>
        <w:rPr>
          <w:sz w:val="24"/>
          <w:szCs w:val="24"/>
        </w:rPr>
      </w:pPr>
      <w:r>
        <w:rPr>
          <w:sz w:val="24"/>
          <w:szCs w:val="24"/>
        </w:rPr>
        <w:t>As previously mentioned, the writer also felt it important to include the cross-curricular skills of literacy, numeracy and digital competence into this enhanced provision activity.</w:t>
      </w:r>
      <w:r w:rsidR="00B92D77">
        <w:rPr>
          <w:sz w:val="24"/>
          <w:szCs w:val="24"/>
        </w:rPr>
        <w:t xml:space="preserve"> </w:t>
      </w:r>
      <w:r w:rsidR="00B92D77" w:rsidRPr="00B92D77">
        <w:rPr>
          <w:sz w:val="24"/>
          <w:szCs w:val="24"/>
        </w:rPr>
        <w:t>Regarding the implementation of cross-curricular literacy</w:t>
      </w:r>
      <w:r w:rsidR="00782754">
        <w:rPr>
          <w:sz w:val="24"/>
          <w:szCs w:val="24"/>
        </w:rPr>
        <w:t xml:space="preserve"> in foundation learning</w:t>
      </w:r>
      <w:r w:rsidR="00B92D77" w:rsidRPr="00B92D77">
        <w:rPr>
          <w:sz w:val="24"/>
          <w:szCs w:val="24"/>
        </w:rPr>
        <w:t xml:space="preserve">, Welsh Government (2013), Alexander et al., (2008) and </w:t>
      </w:r>
      <w:proofErr w:type="spellStart"/>
      <w:r w:rsidR="00B92D77" w:rsidRPr="00B92D77">
        <w:rPr>
          <w:sz w:val="24"/>
          <w:szCs w:val="24"/>
        </w:rPr>
        <w:t>Gov.Wales</w:t>
      </w:r>
      <w:proofErr w:type="spellEnd"/>
      <w:r w:rsidR="00B92D77" w:rsidRPr="00B92D77">
        <w:rPr>
          <w:sz w:val="24"/>
          <w:szCs w:val="24"/>
        </w:rPr>
        <w:t xml:space="preserve"> (2019) all agree that literacy should be implemented across the entirety of the curriculum and should be a primary focus in planning within all subject contexts. In addition to increasing language and literacy acquisition, implement</w:t>
      </w:r>
      <w:r w:rsidR="00B92D77">
        <w:rPr>
          <w:sz w:val="24"/>
          <w:szCs w:val="24"/>
        </w:rPr>
        <w:t>ing</w:t>
      </w:r>
      <w:r w:rsidR="00B92D77" w:rsidRPr="00B92D77">
        <w:rPr>
          <w:sz w:val="24"/>
          <w:szCs w:val="24"/>
        </w:rPr>
        <w:t xml:space="preserve"> a cross-curricular approach to literacy can also deepen content learning and provide complete immersion into a topic (Kirsten, 2019) and (Crosby, 2017).</w:t>
      </w:r>
      <w:r w:rsidR="00F54A99">
        <w:rPr>
          <w:sz w:val="24"/>
          <w:szCs w:val="24"/>
        </w:rPr>
        <w:t xml:space="preserve"> As shown in the lesson plan (see Appendix 1), this activity links to the Literacy Framework (2020) as the children will have to listen to each other and contribute to group discussions, with the understanding that others will have different opinions to their own </w:t>
      </w:r>
      <w:r w:rsidR="00F54A99" w:rsidRPr="00F54A99">
        <w:rPr>
          <w:sz w:val="24"/>
          <w:szCs w:val="24"/>
        </w:rPr>
        <w:t xml:space="preserve">(Welsh </w:t>
      </w:r>
      <w:r w:rsidR="00E16B82" w:rsidRPr="00F54A99">
        <w:rPr>
          <w:sz w:val="24"/>
          <w:szCs w:val="24"/>
        </w:rPr>
        <w:t>Government,</w:t>
      </w:r>
      <w:r w:rsidR="00F54A99" w:rsidRPr="00F54A99">
        <w:rPr>
          <w:sz w:val="24"/>
          <w:szCs w:val="24"/>
        </w:rPr>
        <w:t xml:space="preserve"> 2020b</w:t>
      </w:r>
      <w:r w:rsidR="00F54A99">
        <w:rPr>
          <w:sz w:val="24"/>
          <w:szCs w:val="24"/>
        </w:rPr>
        <w:t>).</w:t>
      </w:r>
      <w:r w:rsidR="00E16B82">
        <w:rPr>
          <w:sz w:val="24"/>
          <w:szCs w:val="24"/>
        </w:rPr>
        <w:t xml:space="preserve"> </w:t>
      </w:r>
      <w:r w:rsidR="00E16B82" w:rsidRPr="00E16B82">
        <w:rPr>
          <w:sz w:val="24"/>
          <w:szCs w:val="24"/>
        </w:rPr>
        <w:t xml:space="preserve">Sturgeon (2017) also offers the concept of combining cross-curricular literacy and numeracy as incorporating both sparks learner’s interests and offer a memorable change of pace within lessons. </w:t>
      </w:r>
    </w:p>
    <w:p w14:paraId="53781654" w14:textId="397D31CA" w:rsidR="002D6666" w:rsidRDefault="00F54A99" w:rsidP="002D6666">
      <w:pPr>
        <w:rPr>
          <w:sz w:val="24"/>
          <w:szCs w:val="24"/>
        </w:rPr>
      </w:pPr>
      <w:r>
        <w:rPr>
          <w:sz w:val="24"/>
          <w:szCs w:val="24"/>
        </w:rPr>
        <w:t xml:space="preserve"> </w:t>
      </w:r>
      <w:r w:rsidR="00D34799">
        <w:rPr>
          <w:sz w:val="24"/>
          <w:szCs w:val="24"/>
        </w:rPr>
        <w:t>Numeracy has been incorporated within this activity as the children will be encouraged to measure materials. The Numeracy Framework (2020) suggests that in Progression Step 2, children should be starting to progress to use standard measurement units</w:t>
      </w:r>
      <w:r w:rsidR="006A1E7B">
        <w:rPr>
          <w:sz w:val="24"/>
          <w:szCs w:val="24"/>
        </w:rPr>
        <w:t xml:space="preserve"> </w:t>
      </w:r>
      <w:r w:rsidR="006A1E7B" w:rsidRPr="006A1E7B">
        <w:rPr>
          <w:sz w:val="24"/>
          <w:szCs w:val="24"/>
        </w:rPr>
        <w:t>(Welsh Government, 2020c)</w:t>
      </w:r>
      <w:r w:rsidR="006A1E7B">
        <w:rPr>
          <w:sz w:val="24"/>
          <w:szCs w:val="24"/>
        </w:rPr>
        <w:t>.</w:t>
      </w:r>
      <w:r w:rsidR="009824E4">
        <w:rPr>
          <w:sz w:val="24"/>
          <w:szCs w:val="24"/>
        </w:rPr>
        <w:t xml:space="preserve"> Throughout the instructional video, the children are given specific measurements to follow to successfully create their castle.</w:t>
      </w:r>
      <w:r w:rsidR="002F2F94">
        <w:rPr>
          <w:sz w:val="24"/>
          <w:szCs w:val="24"/>
        </w:rPr>
        <w:t xml:space="preserve"> Furthermore, the children will also be introduced to 3D shapes throughout the video. </w:t>
      </w:r>
      <w:r w:rsidR="00C14FA3">
        <w:rPr>
          <w:sz w:val="24"/>
          <w:szCs w:val="24"/>
        </w:rPr>
        <w:t xml:space="preserve">Winter and Lynn (2020) and </w:t>
      </w:r>
      <w:proofErr w:type="spellStart"/>
      <w:r w:rsidR="00C14FA3">
        <w:rPr>
          <w:sz w:val="24"/>
          <w:szCs w:val="24"/>
        </w:rPr>
        <w:t>Abrate</w:t>
      </w:r>
      <w:proofErr w:type="spellEnd"/>
      <w:r w:rsidR="00C14FA3">
        <w:rPr>
          <w:sz w:val="24"/>
          <w:szCs w:val="24"/>
        </w:rPr>
        <w:t xml:space="preserve"> (2024) agree that physically engaging children in hands-on mathematic lessons keeps learning fun and contributes to better information retention. </w:t>
      </w:r>
      <w:r w:rsidR="002D6666" w:rsidRPr="00640AD4">
        <w:rPr>
          <w:sz w:val="24"/>
          <w:szCs w:val="24"/>
        </w:rPr>
        <w:t>Scanlon, Buckingham and Burn</w:t>
      </w:r>
      <w:r w:rsidR="002D6666">
        <w:rPr>
          <w:sz w:val="24"/>
          <w:szCs w:val="24"/>
        </w:rPr>
        <w:t xml:space="preserve"> (</w:t>
      </w:r>
      <w:r w:rsidR="002D6666" w:rsidRPr="00640AD4">
        <w:rPr>
          <w:sz w:val="24"/>
          <w:szCs w:val="24"/>
        </w:rPr>
        <w:t>2005)</w:t>
      </w:r>
      <w:r w:rsidR="002D6666">
        <w:rPr>
          <w:sz w:val="24"/>
          <w:szCs w:val="24"/>
        </w:rPr>
        <w:t xml:space="preserve"> also argue that combining digital tools with mathematics has the potential to motivate and engage children in ways conventional teaching methods are not able to. </w:t>
      </w:r>
    </w:p>
    <w:p w14:paraId="44D2FDDA" w14:textId="6FF65CE8" w:rsidR="004B0215" w:rsidRDefault="004B0215" w:rsidP="002D6666">
      <w:pPr>
        <w:rPr>
          <w:sz w:val="24"/>
          <w:szCs w:val="24"/>
        </w:rPr>
      </w:pPr>
      <w:r>
        <w:rPr>
          <w:sz w:val="24"/>
          <w:szCs w:val="24"/>
        </w:rPr>
        <w:t xml:space="preserve">Both Welsh Government (2018) and Donaldson (2015) emphasise the importance of creating digitally competent young people. Donaldson’s Successful Futures Report (2015) acknowledges that children today live in an increasingly technological world and need to be given opportunity to learn and practice digital skills. Welsh Government (2018) agrees and furthers this, explaining that giving children these digital skills </w:t>
      </w:r>
      <w:r w:rsidR="00FE3CCF">
        <w:rPr>
          <w:sz w:val="24"/>
          <w:szCs w:val="24"/>
        </w:rPr>
        <w:t>allow</w:t>
      </w:r>
      <w:r>
        <w:rPr>
          <w:sz w:val="24"/>
          <w:szCs w:val="24"/>
        </w:rPr>
        <w:t xml:space="preserve"> </w:t>
      </w:r>
      <w:r>
        <w:rPr>
          <w:sz w:val="24"/>
          <w:szCs w:val="24"/>
        </w:rPr>
        <w:lastRenderedPageBreak/>
        <w:t xml:space="preserve">them to develop into enterprising, creative thinkers, in line with the four purposes (Welsh Government, 2022). </w:t>
      </w:r>
      <w:r w:rsidR="00DA4044">
        <w:rPr>
          <w:sz w:val="24"/>
          <w:szCs w:val="24"/>
        </w:rPr>
        <w:t xml:space="preserve">The writer has incorporated digital skills throughout this activity by making the instructions into a digital video. The children will have to watch, take in instructions and may need to use skills such as pausing, rewinding or skipping through the video. </w:t>
      </w:r>
    </w:p>
    <w:p w14:paraId="294807E0" w14:textId="3A791C0A" w:rsidR="000F684F" w:rsidRPr="000F684F" w:rsidRDefault="00BC05DE" w:rsidP="000F684F">
      <w:pPr>
        <w:rPr>
          <w:sz w:val="24"/>
          <w:szCs w:val="24"/>
        </w:rPr>
      </w:pPr>
      <w:r>
        <w:rPr>
          <w:sz w:val="24"/>
          <w:szCs w:val="24"/>
        </w:rPr>
        <w:t xml:space="preserve">Although the writer has tried to incorporate the three mandatory cross-curricular skills throughout this resource, it is also important to consider </w:t>
      </w:r>
      <w:r w:rsidR="001419E6">
        <w:rPr>
          <w:sz w:val="24"/>
          <w:szCs w:val="24"/>
        </w:rPr>
        <w:t>other</w:t>
      </w:r>
      <w:r>
        <w:rPr>
          <w:sz w:val="24"/>
          <w:szCs w:val="24"/>
        </w:rPr>
        <w:t xml:space="preserve"> potential barriers or setbacks to the resource.</w:t>
      </w:r>
      <w:r w:rsidR="003A64ED">
        <w:rPr>
          <w:sz w:val="24"/>
          <w:szCs w:val="24"/>
        </w:rPr>
        <w:t xml:space="preserve"> </w:t>
      </w:r>
      <w:r w:rsidR="003A64ED" w:rsidRPr="003A64ED">
        <w:rPr>
          <w:sz w:val="24"/>
          <w:szCs w:val="24"/>
        </w:rPr>
        <w:t>Murphy-Berman, Roseli and Wright</w:t>
      </w:r>
      <w:r w:rsidR="003A64ED">
        <w:rPr>
          <w:sz w:val="24"/>
          <w:szCs w:val="24"/>
        </w:rPr>
        <w:t xml:space="preserve"> (</w:t>
      </w:r>
      <w:r w:rsidR="003A64ED" w:rsidRPr="003A64ED">
        <w:rPr>
          <w:sz w:val="24"/>
          <w:szCs w:val="24"/>
        </w:rPr>
        <w:t>2001)</w:t>
      </w:r>
      <w:r w:rsidR="003A64ED">
        <w:rPr>
          <w:sz w:val="24"/>
          <w:szCs w:val="24"/>
        </w:rPr>
        <w:t xml:space="preserve"> argue that attention and lack of attention span impacts many children during their education. </w:t>
      </w:r>
      <w:r w:rsidR="000F684F" w:rsidRPr="000F684F">
        <w:rPr>
          <w:sz w:val="24"/>
          <w:szCs w:val="24"/>
        </w:rPr>
        <w:t>Brain Balance</w:t>
      </w:r>
      <w:r w:rsidR="000F684F">
        <w:rPr>
          <w:sz w:val="24"/>
          <w:szCs w:val="24"/>
        </w:rPr>
        <w:t xml:space="preserve"> (</w:t>
      </w:r>
      <w:r w:rsidR="000F684F" w:rsidRPr="000F684F">
        <w:rPr>
          <w:sz w:val="24"/>
          <w:szCs w:val="24"/>
        </w:rPr>
        <w:t>2021)</w:t>
      </w:r>
      <w:r w:rsidR="000F684F">
        <w:rPr>
          <w:sz w:val="24"/>
          <w:szCs w:val="24"/>
        </w:rPr>
        <w:t xml:space="preserve"> explains how at six to eight years old, a child’s attention span lasts between twelve and twenty-four minutes. As this activity requires the children to watch a video and then complete a hands-on task, if could potentially be time consuming and therefore lose their attention. However, the writer has tried to mitigate this issue through making the video as short and easy to follow as possible. Furthermore, as the three cross-curricular skills are all included with this activity, the children will not have to take extra time to practice all of these skills separately, enabling them to potentially engage with the task for longer. </w:t>
      </w:r>
    </w:p>
    <w:p w14:paraId="54300797" w14:textId="1877B7C9" w:rsidR="00466474" w:rsidRDefault="00466474" w:rsidP="00C15043">
      <w:pPr>
        <w:rPr>
          <w:b/>
          <w:bCs/>
          <w:sz w:val="24"/>
          <w:szCs w:val="24"/>
        </w:rPr>
      </w:pPr>
      <w:r>
        <w:rPr>
          <w:b/>
          <w:bCs/>
          <w:sz w:val="24"/>
          <w:szCs w:val="24"/>
        </w:rPr>
        <w:t>Conclusion:</w:t>
      </w:r>
    </w:p>
    <w:p w14:paraId="1FBC18AA" w14:textId="77777777" w:rsidR="00764B1A" w:rsidRDefault="000D30BC" w:rsidP="00536931">
      <w:pPr>
        <w:rPr>
          <w:sz w:val="24"/>
          <w:szCs w:val="24"/>
        </w:rPr>
      </w:pPr>
      <w:r>
        <w:rPr>
          <w:sz w:val="24"/>
          <w:szCs w:val="24"/>
        </w:rPr>
        <w:t>Throughout planning and researching in order to create a cross-curricular enhanced provision material, the writer has gained valuable knowledge regarding the importance of literacy, numeracy and digital competence and ensuring the implementation of these.</w:t>
      </w:r>
    </w:p>
    <w:p w14:paraId="54F1AA7B" w14:textId="6A835BB0" w:rsidR="00764B1A" w:rsidRDefault="00764B1A" w:rsidP="00536931">
      <w:pPr>
        <w:rPr>
          <w:sz w:val="24"/>
          <w:szCs w:val="24"/>
        </w:rPr>
      </w:pPr>
      <w:r w:rsidRPr="000761D7">
        <w:rPr>
          <w:sz w:val="24"/>
          <w:szCs w:val="24"/>
        </w:rPr>
        <w:t>Halla Hol</w:t>
      </w:r>
      <w:proofErr w:type="spellStart"/>
      <w:r w:rsidRPr="000761D7">
        <w:rPr>
          <w:sz w:val="24"/>
          <w:szCs w:val="24"/>
        </w:rPr>
        <w:t>marsdottir</w:t>
      </w:r>
      <w:proofErr w:type="spellEnd"/>
      <w:r w:rsidRPr="000761D7">
        <w:rPr>
          <w:sz w:val="24"/>
          <w:szCs w:val="24"/>
        </w:rPr>
        <w:t xml:space="preserve"> </w:t>
      </w:r>
      <w:r w:rsidRPr="000761D7">
        <w:rPr>
          <w:i/>
          <w:iCs/>
          <w:sz w:val="24"/>
          <w:szCs w:val="24"/>
        </w:rPr>
        <w:t>et al.,</w:t>
      </w:r>
      <w:r w:rsidRPr="000761D7">
        <w:rPr>
          <w:sz w:val="24"/>
          <w:szCs w:val="24"/>
        </w:rPr>
        <w:t xml:space="preserve"> </w:t>
      </w:r>
      <w:r>
        <w:rPr>
          <w:sz w:val="24"/>
          <w:szCs w:val="24"/>
        </w:rPr>
        <w:t>(</w:t>
      </w:r>
      <w:r w:rsidRPr="000761D7">
        <w:rPr>
          <w:sz w:val="24"/>
          <w:szCs w:val="24"/>
        </w:rPr>
        <w:t>2024)</w:t>
      </w:r>
      <w:r>
        <w:rPr>
          <w:sz w:val="24"/>
          <w:szCs w:val="24"/>
        </w:rPr>
        <w:t xml:space="preserve"> argue that children are still not equipped with the skills to face their digital future and suggest this is due to ICT inequalities. This is why it is so important that children are given these opportunities to develop digital competency in school. The Digital Competence Framework (2020) offers ideas that do not need expensive technology but instead focus on how to be responsible online and contribute positively to the digital world (Welsh Government, 2020a). This is something the writer feels they can take into practice, remembering that digital competence is able to be taught, even when the barrier of expense and resources are presented as a challenge.</w:t>
      </w:r>
      <w:r w:rsidR="00C62077">
        <w:rPr>
          <w:sz w:val="24"/>
          <w:szCs w:val="24"/>
        </w:rPr>
        <w:t xml:space="preserve"> Full participation in society and the ability to become employed rely heavily on being digitally competent and therefore, practitioners have a duty to ensure children are given opportunity to develop this. This is something the writer will carry forward into their personal practice. </w:t>
      </w:r>
      <w:r>
        <w:rPr>
          <w:sz w:val="24"/>
          <w:szCs w:val="24"/>
        </w:rPr>
        <w:t xml:space="preserve"> </w:t>
      </w:r>
    </w:p>
    <w:p w14:paraId="141E2E9D" w14:textId="74BAB4D5" w:rsidR="00536931" w:rsidRDefault="00C62077" w:rsidP="00536931">
      <w:pPr>
        <w:rPr>
          <w:sz w:val="24"/>
          <w:szCs w:val="24"/>
        </w:rPr>
      </w:pPr>
      <w:r>
        <w:rPr>
          <w:sz w:val="24"/>
          <w:szCs w:val="24"/>
        </w:rPr>
        <w:t xml:space="preserve">Regarding the implementation of literacy, </w:t>
      </w:r>
      <w:r w:rsidR="00E42611" w:rsidRPr="00552E25">
        <w:rPr>
          <w:sz w:val="24"/>
          <w:szCs w:val="24"/>
        </w:rPr>
        <w:t xml:space="preserve">Pinto </w:t>
      </w:r>
      <w:r w:rsidR="00E42611" w:rsidRPr="00552E25">
        <w:rPr>
          <w:i/>
          <w:iCs/>
          <w:sz w:val="24"/>
          <w:szCs w:val="24"/>
        </w:rPr>
        <w:t>et al.,</w:t>
      </w:r>
      <w:r w:rsidR="00E42611" w:rsidRPr="00552E25">
        <w:rPr>
          <w:sz w:val="24"/>
          <w:szCs w:val="24"/>
        </w:rPr>
        <w:t xml:space="preserve"> </w:t>
      </w:r>
      <w:r w:rsidR="00E42611">
        <w:rPr>
          <w:sz w:val="24"/>
          <w:szCs w:val="24"/>
        </w:rPr>
        <w:t>(</w:t>
      </w:r>
      <w:r w:rsidR="00E42611" w:rsidRPr="00552E25">
        <w:rPr>
          <w:sz w:val="24"/>
          <w:szCs w:val="24"/>
        </w:rPr>
        <w:t>2012)</w:t>
      </w:r>
      <w:r w:rsidR="00E42611" w:rsidRPr="00E42611">
        <w:rPr>
          <w:sz w:val="24"/>
          <w:szCs w:val="24"/>
        </w:rPr>
        <w:t xml:space="preserve">, </w:t>
      </w:r>
      <w:r w:rsidR="00E42611" w:rsidRPr="007D4702">
        <w:rPr>
          <w:sz w:val="24"/>
          <w:szCs w:val="24"/>
        </w:rPr>
        <w:t>Kennedy and McLoughlin</w:t>
      </w:r>
      <w:r w:rsidR="00E42611">
        <w:rPr>
          <w:sz w:val="24"/>
          <w:szCs w:val="24"/>
        </w:rPr>
        <w:t xml:space="preserve"> (</w:t>
      </w:r>
      <w:r w:rsidR="00E42611" w:rsidRPr="007D4702">
        <w:rPr>
          <w:sz w:val="24"/>
          <w:szCs w:val="24"/>
        </w:rPr>
        <w:t>2022)</w:t>
      </w:r>
      <w:r w:rsidR="00E42611">
        <w:rPr>
          <w:sz w:val="24"/>
          <w:szCs w:val="24"/>
        </w:rPr>
        <w:t xml:space="preserve"> and </w:t>
      </w:r>
      <w:r w:rsidR="00E42611" w:rsidRPr="007D4702">
        <w:rPr>
          <w:sz w:val="24"/>
          <w:szCs w:val="24"/>
        </w:rPr>
        <w:t>Wasik and Hindman</w:t>
      </w:r>
      <w:r w:rsidR="00E42611">
        <w:rPr>
          <w:sz w:val="24"/>
          <w:szCs w:val="24"/>
        </w:rPr>
        <w:t xml:space="preserve"> (</w:t>
      </w:r>
      <w:r w:rsidR="00E42611" w:rsidRPr="007D4702">
        <w:rPr>
          <w:sz w:val="24"/>
          <w:szCs w:val="24"/>
        </w:rPr>
        <w:t>2018)</w:t>
      </w:r>
      <w:r w:rsidR="00E42611">
        <w:rPr>
          <w:sz w:val="24"/>
          <w:szCs w:val="24"/>
        </w:rPr>
        <w:t xml:space="preserve"> all agree that early development of literacy is essential to enable learners to read and write and sets them on a positive trajectory for academic success. </w:t>
      </w:r>
      <w:r w:rsidR="00D302EA">
        <w:rPr>
          <w:sz w:val="24"/>
          <w:szCs w:val="24"/>
        </w:rPr>
        <w:t xml:space="preserve">Similarly, early numeracy development and providing children opportunity to practice numeracy skills can help to decrease the </w:t>
      </w:r>
      <w:r w:rsidR="00730FE7">
        <w:rPr>
          <w:sz w:val="24"/>
          <w:szCs w:val="24"/>
        </w:rPr>
        <w:t>number</w:t>
      </w:r>
      <w:r w:rsidR="00D302EA">
        <w:rPr>
          <w:sz w:val="24"/>
          <w:szCs w:val="24"/>
        </w:rPr>
        <w:t xml:space="preserve"> of children facing difficulties in mathematics </w:t>
      </w:r>
      <w:r w:rsidR="00D302EA" w:rsidRPr="00D302EA">
        <w:rPr>
          <w:sz w:val="24"/>
          <w:szCs w:val="24"/>
        </w:rPr>
        <w:t>(</w:t>
      </w:r>
      <w:proofErr w:type="spellStart"/>
      <w:r w:rsidR="00D302EA" w:rsidRPr="00D302EA">
        <w:rPr>
          <w:sz w:val="24"/>
          <w:szCs w:val="24"/>
        </w:rPr>
        <w:t>Passolunghi</w:t>
      </w:r>
      <w:proofErr w:type="spellEnd"/>
      <w:r w:rsidR="00D302EA" w:rsidRPr="00D302EA">
        <w:rPr>
          <w:sz w:val="24"/>
          <w:szCs w:val="24"/>
        </w:rPr>
        <w:t xml:space="preserve"> and Costa, 2014)</w:t>
      </w:r>
      <w:r w:rsidR="00D302EA">
        <w:rPr>
          <w:sz w:val="24"/>
          <w:szCs w:val="24"/>
        </w:rPr>
        <w:t>.</w:t>
      </w:r>
      <w:r w:rsidR="00536931">
        <w:rPr>
          <w:sz w:val="24"/>
          <w:szCs w:val="24"/>
        </w:rPr>
        <w:t xml:space="preserve"> Furthermore, </w:t>
      </w:r>
      <w:r w:rsidR="00536931" w:rsidRPr="007D4702">
        <w:rPr>
          <w:sz w:val="24"/>
          <w:szCs w:val="24"/>
        </w:rPr>
        <w:t xml:space="preserve">Purpura </w:t>
      </w:r>
      <w:r w:rsidR="00536931" w:rsidRPr="007D4702">
        <w:rPr>
          <w:i/>
          <w:iCs/>
          <w:sz w:val="24"/>
          <w:szCs w:val="24"/>
        </w:rPr>
        <w:t>et al.,</w:t>
      </w:r>
      <w:r w:rsidR="00536931" w:rsidRPr="007D4702">
        <w:rPr>
          <w:sz w:val="24"/>
          <w:szCs w:val="24"/>
        </w:rPr>
        <w:t xml:space="preserve"> </w:t>
      </w:r>
      <w:r w:rsidR="00536931">
        <w:rPr>
          <w:sz w:val="24"/>
          <w:szCs w:val="24"/>
        </w:rPr>
        <w:t>(</w:t>
      </w:r>
      <w:r w:rsidR="00536931" w:rsidRPr="007D4702">
        <w:rPr>
          <w:sz w:val="24"/>
          <w:szCs w:val="24"/>
        </w:rPr>
        <w:t>2017)</w:t>
      </w:r>
      <w:r w:rsidR="00536931">
        <w:rPr>
          <w:sz w:val="24"/>
          <w:szCs w:val="24"/>
        </w:rPr>
        <w:t xml:space="preserve"> suggests that there is growing evidence that literacy and numeracy </w:t>
      </w:r>
      <w:r w:rsidR="00536931">
        <w:rPr>
          <w:sz w:val="24"/>
          <w:szCs w:val="24"/>
        </w:rPr>
        <w:lastRenderedPageBreak/>
        <w:t>development are connected. This supports the idea of working in a cross-curricular way</w:t>
      </w:r>
      <w:r w:rsidR="00AC0899">
        <w:rPr>
          <w:sz w:val="24"/>
          <w:szCs w:val="24"/>
        </w:rPr>
        <w:t xml:space="preserve"> which is a concept the writer has also explored during this research. </w:t>
      </w:r>
      <w:r w:rsidR="005A051A">
        <w:rPr>
          <w:sz w:val="24"/>
          <w:szCs w:val="24"/>
        </w:rPr>
        <w:t xml:space="preserve">The writer has explored the opportunities and challenges this pedagogy presents and has concluded that connecting learning across subject areas helps to deepen knowledge and skills and apply these to real-life concepts (Welsh Government, 2023). </w:t>
      </w:r>
    </w:p>
    <w:p w14:paraId="3BD0930E" w14:textId="79F5A581" w:rsidR="00170EB5" w:rsidRPr="007D4702" w:rsidRDefault="00170EB5" w:rsidP="00536931">
      <w:r>
        <w:rPr>
          <w:sz w:val="24"/>
          <w:szCs w:val="24"/>
        </w:rPr>
        <w:t xml:space="preserve">Cross-curricular pedagogy is another concept the writer will use within their own practice. </w:t>
      </w:r>
      <w:r w:rsidR="0004053A">
        <w:rPr>
          <w:sz w:val="24"/>
          <w:szCs w:val="24"/>
        </w:rPr>
        <w:t xml:space="preserve">Cross-curricular teaching and learning provides the children with opportunity to work on multiple skills at once and enables children to connect what they have learnt in one subject area with other subject areas. </w:t>
      </w:r>
      <w:r w:rsidR="00023A68">
        <w:rPr>
          <w:sz w:val="24"/>
          <w:szCs w:val="24"/>
        </w:rPr>
        <w:t>The writer feels that they were able to incorporate the cross-curricular mandatory skills within this enhanced provision activity as well as linking Humanities and Expressive Arts AOLE</w:t>
      </w:r>
      <w:r w:rsidR="00F64ED8">
        <w:rPr>
          <w:sz w:val="24"/>
          <w:szCs w:val="24"/>
        </w:rPr>
        <w:t xml:space="preserve"> and will try to continue this practice moving forward having researched and discovered the benefits of working in this way. </w:t>
      </w:r>
    </w:p>
    <w:p w14:paraId="2AA40EE0" w14:textId="6089CC49" w:rsidR="00C15043" w:rsidRDefault="00DF3B4D" w:rsidP="00C15043">
      <w:pPr>
        <w:rPr>
          <w:b/>
          <w:bCs/>
          <w:sz w:val="24"/>
          <w:szCs w:val="24"/>
        </w:rPr>
      </w:pPr>
      <w:r>
        <w:rPr>
          <w:b/>
          <w:bCs/>
          <w:sz w:val="24"/>
          <w:szCs w:val="24"/>
        </w:rPr>
        <w:t>Reference List:</w:t>
      </w:r>
    </w:p>
    <w:p w14:paraId="22AF44D0"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proofErr w:type="spellStart"/>
      <w:r w:rsidRPr="00C004F0">
        <w:rPr>
          <w:rFonts w:eastAsia="Times New Roman" w:cs="Times New Roman"/>
          <w:kern w:val="0"/>
          <w:sz w:val="24"/>
          <w:szCs w:val="24"/>
          <w:lang w:eastAsia="en-GB"/>
          <w14:ligatures w14:val="none"/>
        </w:rPr>
        <w:t>Abrate</w:t>
      </w:r>
      <w:proofErr w:type="spellEnd"/>
      <w:r w:rsidRPr="00C004F0">
        <w:rPr>
          <w:rFonts w:eastAsia="Times New Roman" w:cs="Times New Roman"/>
          <w:kern w:val="0"/>
          <w:sz w:val="24"/>
          <w:szCs w:val="24"/>
          <w:lang w:eastAsia="en-GB"/>
          <w14:ligatures w14:val="none"/>
        </w:rPr>
        <w:t xml:space="preserve"> , M. (2024). An Active Learning Activity for the Construction of a Finite-Field Slide Rule for Undergraduate Students. </w:t>
      </w:r>
      <w:r w:rsidRPr="00C004F0">
        <w:rPr>
          <w:rFonts w:eastAsia="Times New Roman" w:cs="Times New Roman"/>
          <w:i/>
          <w:iCs/>
          <w:kern w:val="0"/>
          <w:sz w:val="24"/>
          <w:szCs w:val="24"/>
          <w:lang w:eastAsia="en-GB"/>
          <w14:ligatures w14:val="none"/>
        </w:rPr>
        <w:t>The Mathematics Enthusiast</w:t>
      </w:r>
      <w:r w:rsidRPr="00C004F0">
        <w:rPr>
          <w:rFonts w:eastAsia="Times New Roman" w:cs="Times New Roman"/>
          <w:kern w:val="0"/>
          <w:sz w:val="24"/>
          <w:szCs w:val="24"/>
          <w:lang w:eastAsia="en-GB"/>
          <w14:ligatures w14:val="none"/>
        </w:rPr>
        <w:t>, 21(1/2).</w:t>
      </w:r>
    </w:p>
    <w:p w14:paraId="38EF9C68"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Abtahi, Y., Graven, M. and Lerman, S. (2017). Conceptualising the More Knowledgeable Other within a multi-directional ZPD. </w:t>
      </w:r>
      <w:r w:rsidRPr="00C004F0">
        <w:rPr>
          <w:rFonts w:eastAsia="Times New Roman" w:cs="Times New Roman"/>
          <w:i/>
          <w:iCs/>
          <w:kern w:val="0"/>
          <w:sz w:val="24"/>
          <w:szCs w:val="24"/>
          <w:lang w:eastAsia="en-GB"/>
          <w14:ligatures w14:val="none"/>
        </w:rPr>
        <w:t>Educational Studies in Mathematics</w:t>
      </w:r>
      <w:r w:rsidRPr="00C004F0">
        <w:rPr>
          <w:rFonts w:eastAsia="Times New Roman" w:cs="Times New Roman"/>
          <w:kern w:val="0"/>
          <w:sz w:val="24"/>
          <w:szCs w:val="24"/>
          <w:lang w:eastAsia="en-GB"/>
          <w14:ligatures w14:val="none"/>
        </w:rPr>
        <w:t xml:space="preserve">, [online] 96(3), pp.275–287.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://doi.org/10.1007/s10649-017-9768-1.</w:t>
      </w:r>
    </w:p>
    <w:p w14:paraId="5B500823"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Alexander, J., Jarman, R., McClune, B. and Walsh, P. (2008). From rhetoric to reality: advancing literacy by cross</w:t>
      </w:r>
      <w:r w:rsidRPr="00C004F0">
        <w:rPr>
          <w:rFonts w:ascii="Cambria Math" w:eastAsia="Times New Roman" w:hAnsi="Cambria Math" w:cs="Cambria Math"/>
          <w:kern w:val="0"/>
          <w:sz w:val="24"/>
          <w:szCs w:val="24"/>
          <w:lang w:eastAsia="en-GB"/>
          <w14:ligatures w14:val="none"/>
        </w:rPr>
        <w:t>‐</w:t>
      </w:r>
      <w:r w:rsidRPr="00C004F0">
        <w:rPr>
          <w:rFonts w:eastAsia="Times New Roman" w:cs="Times New Roman"/>
          <w:kern w:val="0"/>
          <w:sz w:val="24"/>
          <w:szCs w:val="24"/>
          <w:lang w:eastAsia="en-GB"/>
          <w14:ligatures w14:val="none"/>
        </w:rPr>
        <w:t xml:space="preserve">curricular means. </w:t>
      </w:r>
      <w:r w:rsidRPr="00C004F0">
        <w:rPr>
          <w:rFonts w:eastAsia="Times New Roman" w:cs="Times New Roman"/>
          <w:i/>
          <w:iCs/>
          <w:kern w:val="0"/>
          <w:sz w:val="24"/>
          <w:szCs w:val="24"/>
          <w:lang w:eastAsia="en-GB"/>
          <w14:ligatures w14:val="none"/>
        </w:rPr>
        <w:t>The Curriculum Journal</w:t>
      </w:r>
      <w:r w:rsidRPr="00C004F0">
        <w:rPr>
          <w:rFonts w:eastAsia="Times New Roman" w:cs="Times New Roman"/>
          <w:kern w:val="0"/>
          <w:sz w:val="24"/>
          <w:szCs w:val="24"/>
          <w:lang w:eastAsia="en-GB"/>
          <w14:ligatures w14:val="none"/>
        </w:rPr>
        <w:t xml:space="preserve">, 19(1), pp.23–35.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://doi.org/10.1080/09585170801903225.</w:t>
      </w:r>
    </w:p>
    <w:p w14:paraId="2855160F"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Barnes, J. (2018). </w:t>
      </w:r>
      <w:r w:rsidRPr="00C004F0">
        <w:rPr>
          <w:rFonts w:eastAsia="Times New Roman" w:cs="Times New Roman"/>
          <w:i/>
          <w:iCs/>
          <w:kern w:val="0"/>
          <w:sz w:val="24"/>
          <w:szCs w:val="24"/>
          <w:lang w:eastAsia="en-GB"/>
          <w14:ligatures w14:val="none"/>
        </w:rPr>
        <w:t>Applying cross-curricular Approaches Creatively</w:t>
      </w:r>
      <w:r w:rsidRPr="00C004F0">
        <w:rPr>
          <w:rFonts w:eastAsia="Times New Roman" w:cs="Times New Roman"/>
          <w:kern w:val="0"/>
          <w:sz w:val="24"/>
          <w:szCs w:val="24"/>
          <w:lang w:eastAsia="en-GB"/>
          <w14:ligatures w14:val="none"/>
        </w:rPr>
        <w:t>. Abingdon: Routledge.</w:t>
      </w:r>
    </w:p>
    <w:p w14:paraId="633C1424"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Brain Balance (2021). </w:t>
      </w:r>
      <w:r w:rsidRPr="00C004F0">
        <w:rPr>
          <w:rFonts w:eastAsia="Times New Roman" w:cs="Times New Roman"/>
          <w:i/>
          <w:iCs/>
          <w:kern w:val="0"/>
          <w:sz w:val="24"/>
          <w:szCs w:val="24"/>
          <w:lang w:eastAsia="en-GB"/>
          <w14:ligatures w14:val="none"/>
        </w:rPr>
        <w:t>Normal Attention Span Expectations By Age</w:t>
      </w:r>
      <w:r w:rsidRPr="00C004F0">
        <w:rPr>
          <w:rFonts w:eastAsia="Times New Roman" w:cs="Times New Roman"/>
          <w:kern w:val="0"/>
          <w:sz w:val="24"/>
          <w:szCs w:val="24"/>
          <w:lang w:eastAsia="en-GB"/>
          <w14:ligatures w14:val="none"/>
        </w:rPr>
        <w:t>. [online] www.brainbalancecenters.com. Available at: https://www.brainbalancecenters.com/blog/normal-attention-span-expectations-by-age.</w:t>
      </w:r>
    </w:p>
    <w:p w14:paraId="12DD88FD"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Cohen, E., Novis-Deutsch, N., Kashi, S. and Alexander, H. (2024). </w:t>
      </w:r>
      <w:r w:rsidRPr="00C004F0">
        <w:rPr>
          <w:rFonts w:eastAsia="Times New Roman" w:cs="Times New Roman"/>
          <w:i/>
          <w:iCs/>
          <w:kern w:val="0"/>
          <w:sz w:val="24"/>
          <w:szCs w:val="24"/>
          <w:lang w:eastAsia="en-GB"/>
          <w14:ligatures w14:val="none"/>
        </w:rPr>
        <w:t>Interdisciplinary Teaching and Learning at the K-12 Level in the humanities, arts, and Social sciences: a Scoping Review</w:t>
      </w:r>
      <w:r w:rsidRPr="00C004F0">
        <w:rPr>
          <w:rFonts w:eastAsia="Times New Roman" w:cs="Times New Roman"/>
          <w:kern w:val="0"/>
          <w:sz w:val="24"/>
          <w:szCs w:val="24"/>
          <w:lang w:eastAsia="en-GB"/>
          <w14:ligatures w14:val="none"/>
        </w:rPr>
        <w:t>.</w:t>
      </w:r>
    </w:p>
    <w:p w14:paraId="57DD1891"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lastRenderedPageBreak/>
        <w:t xml:space="preserve">Crosby, D.M. (2017). Drop Everything and Read: an Approach to Literacy for next Year. </w:t>
      </w:r>
      <w:r w:rsidRPr="00C004F0">
        <w:rPr>
          <w:rFonts w:eastAsia="Times New Roman" w:cs="Times New Roman"/>
          <w:i/>
          <w:iCs/>
          <w:kern w:val="0"/>
          <w:sz w:val="24"/>
          <w:szCs w:val="24"/>
          <w:lang w:eastAsia="en-GB"/>
          <w14:ligatures w14:val="none"/>
        </w:rPr>
        <w:t>The Times Educational Supplement</w:t>
      </w:r>
      <w:r w:rsidRPr="00C004F0">
        <w:rPr>
          <w:rFonts w:eastAsia="Times New Roman" w:cs="Times New Roman"/>
          <w:kern w:val="0"/>
          <w:sz w:val="24"/>
          <w:szCs w:val="24"/>
          <w:lang w:eastAsia="en-GB"/>
          <w14:ligatures w14:val="none"/>
        </w:rPr>
        <w:t>, (5261).</w:t>
      </w:r>
    </w:p>
    <w:p w14:paraId="58045787"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Department for Education (2023). </w:t>
      </w:r>
      <w:r w:rsidRPr="00C004F0">
        <w:rPr>
          <w:rFonts w:eastAsia="Times New Roman" w:cs="Times New Roman"/>
          <w:i/>
          <w:iCs/>
          <w:kern w:val="0"/>
          <w:sz w:val="24"/>
          <w:szCs w:val="24"/>
          <w:lang w:eastAsia="en-GB"/>
          <w14:ligatures w14:val="none"/>
        </w:rPr>
        <w:t>2022-23 Technology in Schools Survey Contents</w:t>
      </w:r>
      <w:r w:rsidRPr="00C004F0">
        <w:rPr>
          <w:rFonts w:eastAsia="Times New Roman" w:cs="Times New Roman"/>
          <w:kern w:val="0"/>
          <w:sz w:val="24"/>
          <w:szCs w:val="24"/>
          <w:lang w:eastAsia="en-GB"/>
          <w14:ligatures w14:val="none"/>
        </w:rPr>
        <w:t>. [online] Available at: https://assets.publishing.service.gov.uk/media/655f8b823d7741000d420114/Technology_in_schools_survey__2022_to_2023.pdf.</w:t>
      </w:r>
    </w:p>
    <w:p w14:paraId="399EC29D"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Donaldson , G. (2015). </w:t>
      </w:r>
      <w:r w:rsidRPr="00C004F0">
        <w:rPr>
          <w:rFonts w:eastAsia="Times New Roman" w:cs="Times New Roman"/>
          <w:i/>
          <w:iCs/>
          <w:kern w:val="0"/>
          <w:sz w:val="24"/>
          <w:szCs w:val="24"/>
          <w:lang w:eastAsia="en-GB"/>
          <w14:ligatures w14:val="none"/>
        </w:rPr>
        <w:t>Successful Futures</w:t>
      </w:r>
      <w:r w:rsidRPr="00C004F0">
        <w:rPr>
          <w:rFonts w:eastAsia="Times New Roman" w:cs="Times New Roman"/>
          <w:kern w:val="0"/>
          <w:sz w:val="24"/>
          <w:szCs w:val="24"/>
          <w:lang w:eastAsia="en-GB"/>
          <w14:ligatures w14:val="none"/>
        </w:rPr>
        <w:t>. pp.7–8.</w:t>
      </w:r>
    </w:p>
    <w:p w14:paraId="1A9CE272"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Estyn (2024). </w:t>
      </w:r>
      <w:r w:rsidRPr="00C004F0">
        <w:rPr>
          <w:rFonts w:eastAsia="Times New Roman" w:cs="Times New Roman"/>
          <w:i/>
          <w:iCs/>
          <w:kern w:val="0"/>
          <w:sz w:val="24"/>
          <w:szCs w:val="24"/>
          <w:lang w:eastAsia="en-GB"/>
          <w14:ligatures w14:val="none"/>
        </w:rPr>
        <w:t>Developing a Rich Curriculum and Effective Teaching That Meets the Needs of All Learners and Promotes Strong Attitudes to Learning - Estyn</w:t>
      </w:r>
      <w:r w:rsidRPr="00C004F0">
        <w:rPr>
          <w:rFonts w:eastAsia="Times New Roman" w:cs="Times New Roman"/>
          <w:kern w:val="0"/>
          <w:sz w:val="24"/>
          <w:szCs w:val="24"/>
          <w:lang w:eastAsia="en-GB"/>
          <w14:ligatures w14:val="none"/>
        </w:rPr>
        <w:t>. [online] Estyn. Available at: https://estyn.gov.wales/improvement-resources/developing-a-rich-curriculum-and-effective-teaching-that-meets-the-needs-of-all-learners-and-promotes-strong-attitudes-to-learning/.</w:t>
      </w:r>
    </w:p>
    <w:p w14:paraId="0FA7E7FD"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Gibbs, B.C. (2014). Reconfiguring Bruner: Compressing the Spiral Curriculum. </w:t>
      </w:r>
      <w:r w:rsidRPr="00C004F0">
        <w:rPr>
          <w:rFonts w:eastAsia="Times New Roman" w:cs="Times New Roman"/>
          <w:i/>
          <w:iCs/>
          <w:kern w:val="0"/>
          <w:sz w:val="24"/>
          <w:szCs w:val="24"/>
          <w:lang w:eastAsia="en-GB"/>
          <w14:ligatures w14:val="none"/>
        </w:rPr>
        <w:t xml:space="preserve">Phi Delta </w:t>
      </w:r>
      <w:proofErr w:type="spellStart"/>
      <w:r w:rsidRPr="00C004F0">
        <w:rPr>
          <w:rFonts w:eastAsia="Times New Roman" w:cs="Times New Roman"/>
          <w:i/>
          <w:iCs/>
          <w:kern w:val="0"/>
          <w:sz w:val="24"/>
          <w:szCs w:val="24"/>
          <w:lang w:eastAsia="en-GB"/>
          <w14:ligatures w14:val="none"/>
        </w:rPr>
        <w:t>Kappan</w:t>
      </w:r>
      <w:proofErr w:type="spellEnd"/>
      <w:r w:rsidRPr="00C004F0">
        <w:rPr>
          <w:rFonts w:eastAsia="Times New Roman" w:cs="Times New Roman"/>
          <w:kern w:val="0"/>
          <w:sz w:val="24"/>
          <w:szCs w:val="24"/>
          <w:lang w:eastAsia="en-GB"/>
          <w14:ligatures w14:val="none"/>
        </w:rPr>
        <w:t xml:space="preserve">, [online] 95(7), p.42.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://doi.org/10.1177/003172171409500710.</w:t>
      </w:r>
    </w:p>
    <w:p w14:paraId="377B8DB5"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proofErr w:type="spellStart"/>
      <w:r w:rsidRPr="00C004F0">
        <w:rPr>
          <w:rFonts w:eastAsia="Times New Roman" w:cs="Times New Roman"/>
          <w:kern w:val="0"/>
          <w:sz w:val="24"/>
          <w:szCs w:val="24"/>
          <w:lang w:eastAsia="en-GB"/>
          <w14:ligatures w14:val="none"/>
        </w:rPr>
        <w:t>Gov.Wales</w:t>
      </w:r>
      <w:proofErr w:type="spellEnd"/>
      <w:r w:rsidRPr="00C004F0">
        <w:rPr>
          <w:rFonts w:eastAsia="Times New Roman" w:cs="Times New Roman"/>
          <w:kern w:val="0"/>
          <w:sz w:val="24"/>
          <w:szCs w:val="24"/>
          <w:lang w:eastAsia="en-GB"/>
          <w14:ligatures w14:val="none"/>
        </w:rPr>
        <w:t xml:space="preserve"> (2022). </w:t>
      </w:r>
      <w:r w:rsidRPr="00C004F0">
        <w:rPr>
          <w:rFonts w:eastAsia="Times New Roman" w:cs="Times New Roman"/>
          <w:i/>
          <w:iCs/>
          <w:kern w:val="0"/>
          <w:sz w:val="24"/>
          <w:szCs w:val="24"/>
          <w:lang w:eastAsia="en-GB"/>
          <w14:ligatures w14:val="none"/>
        </w:rPr>
        <w:t>Analysis of Consultations on Additional Curriculum for Wales Guidance</w:t>
      </w:r>
      <w:r w:rsidRPr="00C004F0">
        <w:rPr>
          <w:rFonts w:eastAsia="Times New Roman" w:cs="Times New Roman"/>
          <w:kern w:val="0"/>
          <w:sz w:val="24"/>
          <w:szCs w:val="24"/>
          <w:lang w:eastAsia="en-GB"/>
          <w14:ligatures w14:val="none"/>
        </w:rPr>
        <w:t>. [online] Available at: https://www.gov.wales/sites/default/files/consultations/2022-04/ccs-summary-of-responses.pdf [Accessed 24 Feb. 2025].</w:t>
      </w:r>
    </w:p>
    <w:p w14:paraId="19F82675"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proofErr w:type="spellStart"/>
      <w:r w:rsidRPr="00C004F0">
        <w:rPr>
          <w:rFonts w:eastAsia="Times New Roman" w:cs="Times New Roman"/>
          <w:kern w:val="0"/>
          <w:sz w:val="24"/>
          <w:szCs w:val="24"/>
          <w:lang w:eastAsia="en-GB"/>
          <w14:ligatures w14:val="none"/>
        </w:rPr>
        <w:t>Gov.Wales</w:t>
      </w:r>
      <w:proofErr w:type="spellEnd"/>
      <w:r w:rsidRPr="00C004F0">
        <w:rPr>
          <w:rFonts w:eastAsia="Times New Roman" w:cs="Times New Roman"/>
          <w:kern w:val="0"/>
          <w:sz w:val="24"/>
          <w:szCs w:val="24"/>
          <w:lang w:eastAsia="en-GB"/>
          <w14:ligatures w14:val="none"/>
        </w:rPr>
        <w:t xml:space="preserve"> (2019). </w:t>
      </w:r>
      <w:r w:rsidRPr="00C004F0">
        <w:rPr>
          <w:rFonts w:eastAsia="Times New Roman" w:cs="Times New Roman"/>
          <w:i/>
          <w:iCs/>
          <w:kern w:val="0"/>
          <w:sz w:val="24"/>
          <w:szCs w:val="24"/>
          <w:lang w:eastAsia="en-GB"/>
          <w14:ligatures w14:val="none"/>
        </w:rPr>
        <w:t>Languages, Literacy and Communication: Designing Your Curriculum - Hwb</w:t>
      </w:r>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hwb.gov.wales</w:t>
      </w:r>
      <w:proofErr w:type="spellEnd"/>
      <w:r w:rsidRPr="00C004F0">
        <w:rPr>
          <w:rFonts w:eastAsia="Times New Roman" w:cs="Times New Roman"/>
          <w:kern w:val="0"/>
          <w:sz w:val="24"/>
          <w:szCs w:val="24"/>
          <w:lang w:eastAsia="en-GB"/>
          <w14:ligatures w14:val="none"/>
        </w:rPr>
        <w:t>. Available at: https://hwb.gov.wales/curriculum-for-wales/languages-literacy-and-communication/designing-your-curriculum#cross-curricular-skills-and-integral-skills.</w:t>
      </w:r>
    </w:p>
    <w:p w14:paraId="5FE817D7"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Halla </w:t>
      </w:r>
      <w:proofErr w:type="spellStart"/>
      <w:r w:rsidRPr="00C004F0">
        <w:rPr>
          <w:rFonts w:eastAsia="Times New Roman" w:cs="Times New Roman"/>
          <w:kern w:val="0"/>
          <w:sz w:val="24"/>
          <w:szCs w:val="24"/>
          <w:lang w:eastAsia="en-GB"/>
          <w14:ligatures w14:val="none"/>
        </w:rPr>
        <w:t>Holmarsdottir</w:t>
      </w:r>
      <w:proofErr w:type="spellEnd"/>
      <w:r w:rsidRPr="00C004F0">
        <w:rPr>
          <w:rFonts w:eastAsia="Times New Roman" w:cs="Times New Roman"/>
          <w:kern w:val="0"/>
          <w:sz w:val="24"/>
          <w:szCs w:val="24"/>
          <w:lang w:eastAsia="en-GB"/>
          <w14:ligatures w14:val="none"/>
        </w:rPr>
        <w:t xml:space="preserve">, Seland, I., Christer </w:t>
      </w:r>
      <w:proofErr w:type="spellStart"/>
      <w:r w:rsidRPr="00C004F0">
        <w:rPr>
          <w:rFonts w:eastAsia="Times New Roman" w:cs="Times New Roman"/>
          <w:kern w:val="0"/>
          <w:sz w:val="24"/>
          <w:szCs w:val="24"/>
          <w:lang w:eastAsia="en-GB"/>
          <w14:ligatures w14:val="none"/>
        </w:rPr>
        <w:t>Hyggen</w:t>
      </w:r>
      <w:proofErr w:type="spellEnd"/>
      <w:r w:rsidRPr="00C004F0">
        <w:rPr>
          <w:rFonts w:eastAsia="Times New Roman" w:cs="Times New Roman"/>
          <w:kern w:val="0"/>
          <w:sz w:val="24"/>
          <w:szCs w:val="24"/>
          <w:lang w:eastAsia="en-GB"/>
          <w14:ligatures w14:val="none"/>
        </w:rPr>
        <w:t xml:space="preserve"> and Roth, M. (2024). </w:t>
      </w:r>
      <w:r w:rsidRPr="00C004F0">
        <w:rPr>
          <w:rFonts w:eastAsia="Times New Roman" w:cs="Times New Roman"/>
          <w:i/>
          <w:iCs/>
          <w:kern w:val="0"/>
          <w:sz w:val="24"/>
          <w:szCs w:val="24"/>
          <w:lang w:eastAsia="en-GB"/>
          <w14:ligatures w14:val="none"/>
        </w:rPr>
        <w:t>Understanding The Everyday Digital Lives of Children and Young People</w:t>
      </w:r>
      <w:r w:rsidRPr="00C004F0">
        <w:rPr>
          <w:rFonts w:eastAsia="Times New Roman" w:cs="Times New Roman"/>
          <w:kern w:val="0"/>
          <w:sz w:val="24"/>
          <w:szCs w:val="24"/>
          <w:lang w:eastAsia="en-GB"/>
          <w14:ligatures w14:val="none"/>
        </w:rPr>
        <w:t>. Palgrave Macmillan.</w:t>
      </w:r>
    </w:p>
    <w:p w14:paraId="65E77BEE"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Kennedy, C. and McLoughlin, A. (2022). Developing the Emergent Literacy Skills of English Language Learners Through Dialogic Reading: A Systematic Review. </w:t>
      </w:r>
      <w:r w:rsidRPr="00C004F0">
        <w:rPr>
          <w:rFonts w:eastAsia="Times New Roman" w:cs="Times New Roman"/>
          <w:i/>
          <w:iCs/>
          <w:kern w:val="0"/>
          <w:sz w:val="24"/>
          <w:szCs w:val="24"/>
          <w:lang w:eastAsia="en-GB"/>
          <w14:ligatures w14:val="none"/>
        </w:rPr>
        <w:t>Early Childhood Education Journal</w:t>
      </w:r>
      <w:r w:rsidRPr="00C004F0">
        <w:rPr>
          <w:rFonts w:eastAsia="Times New Roman" w:cs="Times New Roman"/>
          <w:kern w:val="0"/>
          <w:sz w:val="24"/>
          <w:szCs w:val="24"/>
          <w:lang w:eastAsia="en-GB"/>
          <w14:ligatures w14:val="none"/>
        </w:rPr>
        <w:t xml:space="preserve">, 51.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://doi.org/10.1007/s10643-021-01291-1.</w:t>
      </w:r>
    </w:p>
    <w:p w14:paraId="7C8A37B8"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lastRenderedPageBreak/>
        <w:t xml:space="preserve">Kerry, T. (2015). </w:t>
      </w:r>
      <w:r w:rsidRPr="00C004F0">
        <w:rPr>
          <w:rFonts w:eastAsia="Times New Roman" w:cs="Times New Roman"/>
          <w:i/>
          <w:iCs/>
          <w:kern w:val="0"/>
          <w:sz w:val="24"/>
          <w:szCs w:val="24"/>
          <w:lang w:eastAsia="en-GB"/>
          <w14:ligatures w14:val="none"/>
        </w:rPr>
        <w:t>Cross-curricular Teaching in the Primary School / Planning and Facilitating Imaginative Lessons</w:t>
      </w:r>
      <w:r w:rsidRPr="00C004F0">
        <w:rPr>
          <w:rFonts w:eastAsia="Times New Roman" w:cs="Times New Roman"/>
          <w:kern w:val="0"/>
          <w:sz w:val="24"/>
          <w:szCs w:val="24"/>
          <w:lang w:eastAsia="en-GB"/>
          <w14:ligatures w14:val="none"/>
        </w:rPr>
        <w:t>. 2nd ed. London: Routledge.</w:t>
      </w:r>
    </w:p>
    <w:p w14:paraId="5D887B03"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Kirsten, N. (2019). Improving Literacy and Content Learning across the curriculum? How Teachers Relate Literacy Teaching to School Subjects in cross-curricular Professional Development. </w:t>
      </w:r>
      <w:r w:rsidRPr="00C004F0">
        <w:rPr>
          <w:rFonts w:eastAsia="Times New Roman" w:cs="Times New Roman"/>
          <w:i/>
          <w:iCs/>
          <w:kern w:val="0"/>
          <w:sz w:val="24"/>
          <w:szCs w:val="24"/>
          <w:lang w:eastAsia="en-GB"/>
          <w14:ligatures w14:val="none"/>
        </w:rPr>
        <w:t>Education Inquiry</w:t>
      </w:r>
      <w:r w:rsidRPr="00C004F0">
        <w:rPr>
          <w:rFonts w:eastAsia="Times New Roman" w:cs="Times New Roman"/>
          <w:kern w:val="0"/>
          <w:sz w:val="24"/>
          <w:szCs w:val="24"/>
          <w:lang w:eastAsia="en-GB"/>
          <w14:ligatures w14:val="none"/>
        </w:rPr>
        <w:t xml:space="preserve">, [online] 10(4), pp.1–17.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://doi.org/10.1080/20004508.2019.1580983.</w:t>
      </w:r>
    </w:p>
    <w:p w14:paraId="57E414F4"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Kukovec, M. (2014). Cross-Curricular Teaching: the Case of Mark Haddon’s the Curious Incident of the Dog in the Night-Time. </w:t>
      </w:r>
      <w:r w:rsidRPr="00C004F0">
        <w:rPr>
          <w:rFonts w:eastAsia="Times New Roman" w:cs="Times New Roman"/>
          <w:i/>
          <w:iCs/>
          <w:kern w:val="0"/>
          <w:sz w:val="24"/>
          <w:szCs w:val="24"/>
          <w:lang w:eastAsia="en-GB"/>
          <w14:ligatures w14:val="none"/>
        </w:rPr>
        <w:t>ELOPE: English Language Overseas Perspectives and Enquiries</w:t>
      </w:r>
      <w:r w:rsidRPr="00C004F0">
        <w:rPr>
          <w:rFonts w:eastAsia="Times New Roman" w:cs="Times New Roman"/>
          <w:kern w:val="0"/>
          <w:sz w:val="24"/>
          <w:szCs w:val="24"/>
          <w:lang w:eastAsia="en-GB"/>
          <w14:ligatures w14:val="none"/>
        </w:rPr>
        <w:t xml:space="preserve">, 11(1), pp.137–150.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://doi.org/10.4312/elope.11.1.137-150.</w:t>
      </w:r>
    </w:p>
    <w:p w14:paraId="6404BFF0"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Main, P. (2022). </w:t>
      </w:r>
      <w:r w:rsidRPr="00C004F0">
        <w:rPr>
          <w:rFonts w:eastAsia="Times New Roman" w:cs="Times New Roman"/>
          <w:i/>
          <w:iCs/>
          <w:kern w:val="0"/>
          <w:sz w:val="24"/>
          <w:szCs w:val="24"/>
          <w:lang w:eastAsia="en-GB"/>
          <w14:ligatures w14:val="none"/>
        </w:rPr>
        <w:t>The Spiral Curriculum: a teacher’s Guide</w:t>
      </w:r>
      <w:r w:rsidRPr="00C004F0">
        <w:rPr>
          <w:rFonts w:eastAsia="Times New Roman" w:cs="Times New Roman"/>
          <w:kern w:val="0"/>
          <w:sz w:val="24"/>
          <w:szCs w:val="24"/>
          <w:lang w:eastAsia="en-GB"/>
          <w14:ligatures w14:val="none"/>
        </w:rPr>
        <w:t>. [online] www.structural-learning.com. Available at: https://www.structural-learning.com/post/the-spiral-curriculum-a-teachers-guide.</w:t>
      </w:r>
    </w:p>
    <w:p w14:paraId="25443839"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Miteva, I. (2024). </w:t>
      </w:r>
      <w:r w:rsidRPr="00C004F0">
        <w:rPr>
          <w:rFonts w:eastAsia="Times New Roman" w:cs="Times New Roman"/>
          <w:i/>
          <w:iCs/>
          <w:kern w:val="0"/>
          <w:sz w:val="24"/>
          <w:szCs w:val="24"/>
          <w:lang w:eastAsia="en-GB"/>
          <w14:ligatures w14:val="none"/>
        </w:rPr>
        <w:t>Cross-curricular Teaching - Best Practice for EAL Learners</w:t>
      </w:r>
      <w:r w:rsidRPr="00C004F0">
        <w:rPr>
          <w:rFonts w:eastAsia="Times New Roman" w:cs="Times New Roman"/>
          <w:kern w:val="0"/>
          <w:sz w:val="24"/>
          <w:szCs w:val="24"/>
          <w:lang w:eastAsia="en-GB"/>
          <w14:ligatures w14:val="none"/>
        </w:rPr>
        <w:t>. [online] Learning Village. Available at: https://www.learningvillage.net/article/cross-curricular-best-practice.</w:t>
      </w:r>
    </w:p>
    <w:p w14:paraId="452DBAF9"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Murphy-Berman, V., Roseli , J. and Wright, G. (2001). Measuring Children’s Attention Span: a Microcomputer Assessment Technique. [online] Available at: https://research-ebsco-com.ezproxy.uwtsd.ac.uk/c/onvpsy/viewer/pdf/2j6jzpskw5?route=details [Accessed 2 Mar. 2025].</w:t>
      </w:r>
    </w:p>
    <w:p w14:paraId="066ABB40"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proofErr w:type="spellStart"/>
      <w:r w:rsidRPr="00C004F0">
        <w:rPr>
          <w:rFonts w:eastAsia="Times New Roman" w:cs="Times New Roman"/>
          <w:kern w:val="0"/>
          <w:sz w:val="24"/>
          <w:szCs w:val="24"/>
          <w:lang w:eastAsia="en-GB"/>
          <w14:ligatures w14:val="none"/>
        </w:rPr>
        <w:t>Passolunghi</w:t>
      </w:r>
      <w:proofErr w:type="spellEnd"/>
      <w:r w:rsidRPr="00C004F0">
        <w:rPr>
          <w:rFonts w:eastAsia="Times New Roman" w:cs="Times New Roman"/>
          <w:kern w:val="0"/>
          <w:sz w:val="24"/>
          <w:szCs w:val="24"/>
          <w:lang w:eastAsia="en-GB"/>
          <w14:ligatures w14:val="none"/>
        </w:rPr>
        <w:t xml:space="preserve">, M.C. and Costa, H.M. (2014). Working Memory and Early Numeracy Training in Preschool Children. </w:t>
      </w:r>
      <w:r w:rsidRPr="00C004F0">
        <w:rPr>
          <w:rFonts w:eastAsia="Times New Roman" w:cs="Times New Roman"/>
          <w:i/>
          <w:iCs/>
          <w:kern w:val="0"/>
          <w:sz w:val="24"/>
          <w:szCs w:val="24"/>
          <w:lang w:eastAsia="en-GB"/>
          <w14:ligatures w14:val="none"/>
        </w:rPr>
        <w:t>Child Neuropsychology</w:t>
      </w:r>
      <w:r w:rsidRPr="00C004F0">
        <w:rPr>
          <w:rFonts w:eastAsia="Times New Roman" w:cs="Times New Roman"/>
          <w:kern w:val="0"/>
          <w:sz w:val="24"/>
          <w:szCs w:val="24"/>
          <w:lang w:eastAsia="en-GB"/>
          <w14:ligatures w14:val="none"/>
        </w:rPr>
        <w:t xml:space="preserve">, 22(1), pp.81–98.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://doi.org/10.1080/09297049.2014.971726.</w:t>
      </w:r>
    </w:p>
    <w:p w14:paraId="479E4317"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Pinto, G., </w:t>
      </w:r>
      <w:proofErr w:type="spellStart"/>
      <w:r w:rsidRPr="00C004F0">
        <w:rPr>
          <w:rFonts w:eastAsia="Times New Roman" w:cs="Times New Roman"/>
          <w:kern w:val="0"/>
          <w:sz w:val="24"/>
          <w:szCs w:val="24"/>
          <w:lang w:eastAsia="en-GB"/>
          <w14:ligatures w14:val="none"/>
        </w:rPr>
        <w:t>Bigozzi</w:t>
      </w:r>
      <w:proofErr w:type="spellEnd"/>
      <w:r w:rsidRPr="00C004F0">
        <w:rPr>
          <w:rFonts w:eastAsia="Times New Roman" w:cs="Times New Roman"/>
          <w:kern w:val="0"/>
          <w:sz w:val="24"/>
          <w:szCs w:val="24"/>
          <w:lang w:eastAsia="en-GB"/>
          <w14:ligatures w14:val="none"/>
        </w:rPr>
        <w:t xml:space="preserve">, L., </w:t>
      </w:r>
      <w:proofErr w:type="spellStart"/>
      <w:r w:rsidRPr="00C004F0">
        <w:rPr>
          <w:rFonts w:eastAsia="Times New Roman" w:cs="Times New Roman"/>
          <w:kern w:val="0"/>
          <w:sz w:val="24"/>
          <w:szCs w:val="24"/>
          <w:lang w:eastAsia="en-GB"/>
          <w14:ligatures w14:val="none"/>
        </w:rPr>
        <w:t>Gamannossi</w:t>
      </w:r>
      <w:proofErr w:type="spellEnd"/>
      <w:r w:rsidRPr="00C004F0">
        <w:rPr>
          <w:rFonts w:eastAsia="Times New Roman" w:cs="Times New Roman"/>
          <w:kern w:val="0"/>
          <w:sz w:val="24"/>
          <w:szCs w:val="24"/>
          <w:lang w:eastAsia="en-GB"/>
          <w14:ligatures w14:val="none"/>
        </w:rPr>
        <w:t xml:space="preserve">, B.A. and Vezzani, C. (2012). Emergent Literacy and Early Writing Skills. </w:t>
      </w:r>
      <w:r w:rsidRPr="00C004F0">
        <w:rPr>
          <w:rFonts w:eastAsia="Times New Roman" w:cs="Times New Roman"/>
          <w:i/>
          <w:iCs/>
          <w:kern w:val="0"/>
          <w:sz w:val="24"/>
          <w:szCs w:val="24"/>
          <w:lang w:eastAsia="en-GB"/>
          <w14:ligatures w14:val="none"/>
        </w:rPr>
        <w:t>The Journal of Genetic Psychology</w:t>
      </w:r>
      <w:r w:rsidRPr="00C004F0">
        <w:rPr>
          <w:rFonts w:eastAsia="Times New Roman" w:cs="Times New Roman"/>
          <w:kern w:val="0"/>
          <w:sz w:val="24"/>
          <w:szCs w:val="24"/>
          <w:lang w:eastAsia="en-GB"/>
          <w14:ligatures w14:val="none"/>
        </w:rPr>
        <w:t xml:space="preserve">, 173(3), pp.330–354.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://doi.org/10.1080/00221325.2011.609848.</w:t>
      </w:r>
    </w:p>
    <w:p w14:paraId="1D80B614"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Purpura, D.J., Logan, J.A.R., Hassinger-Das, B. and Napoli, A.R. (2017). Why do early mathematics skills predict later reading? The role of mathematical language. </w:t>
      </w:r>
      <w:r w:rsidRPr="00C004F0">
        <w:rPr>
          <w:rFonts w:eastAsia="Times New Roman" w:cs="Times New Roman"/>
          <w:i/>
          <w:iCs/>
          <w:kern w:val="0"/>
          <w:sz w:val="24"/>
          <w:szCs w:val="24"/>
          <w:lang w:eastAsia="en-GB"/>
          <w14:ligatures w14:val="none"/>
        </w:rPr>
        <w:lastRenderedPageBreak/>
        <w:t>Developmental Psychology</w:t>
      </w:r>
      <w:r w:rsidRPr="00C004F0">
        <w:rPr>
          <w:rFonts w:eastAsia="Times New Roman" w:cs="Times New Roman"/>
          <w:kern w:val="0"/>
          <w:sz w:val="24"/>
          <w:szCs w:val="24"/>
          <w:lang w:eastAsia="en-GB"/>
          <w14:ligatures w14:val="none"/>
        </w:rPr>
        <w:t xml:space="preserve">, 53(9), pp.1633–1642.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://doi.org/10.1037/dev0000375.</w:t>
      </w:r>
    </w:p>
    <w:p w14:paraId="6DD5E63E"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Quantrell, G. (2017). </w:t>
      </w:r>
      <w:r w:rsidRPr="00C004F0">
        <w:rPr>
          <w:rFonts w:eastAsia="Times New Roman" w:cs="Times New Roman"/>
          <w:i/>
          <w:iCs/>
          <w:kern w:val="0"/>
          <w:sz w:val="24"/>
          <w:szCs w:val="24"/>
          <w:lang w:eastAsia="en-GB"/>
          <w14:ligatures w14:val="none"/>
        </w:rPr>
        <w:t>Continuous or Enhanced Provision in the EYFS – What’s the difference?</w:t>
      </w:r>
      <w:r w:rsidRPr="00C004F0">
        <w:rPr>
          <w:rFonts w:eastAsia="Times New Roman" w:cs="Times New Roman"/>
          <w:kern w:val="0"/>
          <w:sz w:val="24"/>
          <w:szCs w:val="24"/>
          <w:lang w:eastAsia="en-GB"/>
          <w14:ligatures w14:val="none"/>
        </w:rPr>
        <w:t xml:space="preserve"> [online] Cornerstones Education. Available at: https://cornerstoneseducation.co.uk/continuous-or-enhanced-provision-whats-the-difference/.</w:t>
      </w:r>
    </w:p>
    <w:p w14:paraId="41EED594"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Rowley, C. and Cooper, H. (2009). </w:t>
      </w:r>
      <w:r w:rsidRPr="00C004F0">
        <w:rPr>
          <w:rFonts w:eastAsia="Times New Roman" w:cs="Times New Roman"/>
          <w:i/>
          <w:iCs/>
          <w:kern w:val="0"/>
          <w:sz w:val="24"/>
          <w:szCs w:val="24"/>
          <w:lang w:eastAsia="en-GB"/>
          <w14:ligatures w14:val="none"/>
        </w:rPr>
        <w:t>Cross-curricular Approaches to Teaching and Learning</w:t>
      </w:r>
      <w:r w:rsidRPr="00C004F0">
        <w:rPr>
          <w:rFonts w:eastAsia="Times New Roman" w:cs="Times New Roman"/>
          <w:kern w:val="0"/>
          <w:sz w:val="24"/>
          <w:szCs w:val="24"/>
          <w:lang w:eastAsia="en-GB"/>
          <w14:ligatures w14:val="none"/>
        </w:rPr>
        <w:t>. Los Angeles: Sage.</w:t>
      </w:r>
    </w:p>
    <w:p w14:paraId="02846EC1"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Scanlon, M., Buckingham, D. and Burn, A. (2005). Motivating maths? Digital games and mathematical learning. </w:t>
      </w:r>
      <w:r w:rsidRPr="00C004F0">
        <w:rPr>
          <w:rFonts w:eastAsia="Times New Roman" w:cs="Times New Roman"/>
          <w:i/>
          <w:iCs/>
          <w:kern w:val="0"/>
          <w:sz w:val="24"/>
          <w:szCs w:val="24"/>
          <w:lang w:eastAsia="en-GB"/>
          <w14:ligatures w14:val="none"/>
        </w:rPr>
        <w:t>Technology, Pedagogy and Education</w:t>
      </w:r>
      <w:r w:rsidRPr="00C004F0">
        <w:rPr>
          <w:rFonts w:eastAsia="Times New Roman" w:cs="Times New Roman"/>
          <w:kern w:val="0"/>
          <w:sz w:val="24"/>
          <w:szCs w:val="24"/>
          <w:lang w:eastAsia="en-GB"/>
          <w14:ligatures w14:val="none"/>
        </w:rPr>
        <w:t xml:space="preserve">, 14(1), pp.127–139.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://doi.org/10.1080/14759390500200187.</w:t>
      </w:r>
    </w:p>
    <w:p w14:paraId="2D998961"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proofErr w:type="spellStart"/>
      <w:r w:rsidRPr="00C004F0">
        <w:rPr>
          <w:rFonts w:eastAsia="Times New Roman" w:cs="Times New Roman"/>
          <w:kern w:val="0"/>
          <w:sz w:val="24"/>
          <w:szCs w:val="24"/>
          <w:lang w:eastAsia="en-GB"/>
          <w14:ligatures w14:val="none"/>
        </w:rPr>
        <w:t>Sibieta</w:t>
      </w:r>
      <w:proofErr w:type="spellEnd"/>
      <w:r w:rsidRPr="00C004F0">
        <w:rPr>
          <w:rFonts w:eastAsia="Times New Roman" w:cs="Times New Roman"/>
          <w:kern w:val="0"/>
          <w:sz w:val="24"/>
          <w:szCs w:val="24"/>
          <w:lang w:eastAsia="en-GB"/>
          <w14:ligatures w14:val="none"/>
        </w:rPr>
        <w:t xml:space="preserve"> , L. (2024). </w:t>
      </w:r>
      <w:r w:rsidRPr="00C004F0">
        <w:rPr>
          <w:rFonts w:eastAsia="Times New Roman" w:cs="Times New Roman"/>
          <w:i/>
          <w:iCs/>
          <w:kern w:val="0"/>
          <w:sz w:val="24"/>
          <w:szCs w:val="24"/>
          <w:lang w:eastAsia="en-GB"/>
          <w14:ligatures w14:val="none"/>
        </w:rPr>
        <w:t>Major Challenges for Education in Wales</w:t>
      </w:r>
      <w:r w:rsidRPr="00C004F0">
        <w:rPr>
          <w:rFonts w:eastAsia="Times New Roman" w:cs="Times New Roman"/>
          <w:kern w:val="0"/>
          <w:sz w:val="24"/>
          <w:szCs w:val="24"/>
          <w:lang w:eastAsia="en-GB"/>
          <w14:ligatures w14:val="none"/>
        </w:rPr>
        <w:t>. Institute for Fiscal Studies, p.14.</w:t>
      </w:r>
    </w:p>
    <w:p w14:paraId="7638089B"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Sturgeon, A. (2017). Why Literacy Should Be Included in an Effective Elementary Math Curriculum. </w:t>
      </w:r>
      <w:r w:rsidRPr="00C004F0">
        <w:rPr>
          <w:rFonts w:eastAsia="Times New Roman" w:cs="Times New Roman"/>
          <w:i/>
          <w:iCs/>
          <w:kern w:val="0"/>
          <w:sz w:val="24"/>
          <w:szCs w:val="24"/>
          <w:lang w:eastAsia="en-GB"/>
          <w14:ligatures w14:val="none"/>
        </w:rPr>
        <w:t>Eurasia Journal of Mathematics, Science and Technology Education</w:t>
      </w:r>
      <w:r w:rsidRPr="00C004F0">
        <w:rPr>
          <w:rFonts w:eastAsia="Times New Roman" w:cs="Times New Roman"/>
          <w:kern w:val="0"/>
          <w:sz w:val="24"/>
          <w:szCs w:val="24"/>
          <w:lang w:eastAsia="en-GB"/>
          <w14:ligatures w14:val="none"/>
        </w:rPr>
        <w:t xml:space="preserve">.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://doi.org/10.12973/</w:t>
      </w:r>
      <w:proofErr w:type="spellStart"/>
      <w:r w:rsidRPr="00C004F0">
        <w:rPr>
          <w:rFonts w:eastAsia="Times New Roman" w:cs="Times New Roman"/>
          <w:kern w:val="0"/>
          <w:sz w:val="24"/>
          <w:szCs w:val="24"/>
          <w:lang w:eastAsia="en-GB"/>
          <w14:ligatures w14:val="none"/>
        </w:rPr>
        <w:t>ejmste</w:t>
      </w:r>
      <w:proofErr w:type="spellEnd"/>
      <w:r w:rsidRPr="00C004F0">
        <w:rPr>
          <w:rFonts w:eastAsia="Times New Roman" w:cs="Times New Roman"/>
          <w:kern w:val="0"/>
          <w:sz w:val="24"/>
          <w:szCs w:val="24"/>
          <w:lang w:eastAsia="en-GB"/>
          <w14:ligatures w14:val="none"/>
        </w:rPr>
        <w:t>/76957.</w:t>
      </w:r>
    </w:p>
    <w:p w14:paraId="5EAF2641"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Wang, S. (2019). </w:t>
      </w:r>
      <w:r w:rsidRPr="00C004F0">
        <w:rPr>
          <w:rFonts w:eastAsia="Times New Roman" w:cs="Times New Roman"/>
          <w:i/>
          <w:iCs/>
          <w:kern w:val="0"/>
          <w:sz w:val="24"/>
          <w:szCs w:val="24"/>
          <w:lang w:eastAsia="en-GB"/>
          <w14:ligatures w14:val="none"/>
        </w:rPr>
        <w:t>Enhancing critical thinking through interdisciplinary teaching and learning.</w:t>
      </w:r>
      <w:r w:rsidRPr="00C004F0">
        <w:rPr>
          <w:rFonts w:eastAsia="Times New Roman" w:cs="Times New Roman"/>
          <w:kern w:val="0"/>
          <w:sz w:val="24"/>
          <w:szCs w:val="24"/>
          <w:lang w:eastAsia="en-GB"/>
          <w14:ligatures w14:val="none"/>
        </w:rPr>
        <w:t xml:space="preserve"> [online] Available at: https://www.cetl.hku.hk/teaching-learning-cop/enhancing-critical-thinking-through-interdisciplinary-teaching-and-learning/.</w:t>
      </w:r>
    </w:p>
    <w:p w14:paraId="005B86E0"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Wasik, B.A. and Hindman, A.H. (2018). Why Wait? The Importance of Wait Time in Developing Young Students’ Language and Vocabulary Skills. </w:t>
      </w:r>
      <w:r w:rsidRPr="00C004F0">
        <w:rPr>
          <w:rFonts w:eastAsia="Times New Roman" w:cs="Times New Roman"/>
          <w:i/>
          <w:iCs/>
          <w:kern w:val="0"/>
          <w:sz w:val="24"/>
          <w:szCs w:val="24"/>
          <w:lang w:eastAsia="en-GB"/>
          <w14:ligatures w14:val="none"/>
        </w:rPr>
        <w:t>The Reading Teacher</w:t>
      </w:r>
      <w:r w:rsidRPr="00C004F0">
        <w:rPr>
          <w:rFonts w:eastAsia="Times New Roman" w:cs="Times New Roman"/>
          <w:kern w:val="0"/>
          <w:sz w:val="24"/>
          <w:szCs w:val="24"/>
          <w:lang w:eastAsia="en-GB"/>
          <w14:ligatures w14:val="none"/>
        </w:rPr>
        <w:t xml:space="preserve">, [online] 72(3), pp.369–378.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://doi.org/10.1002/trtr.1730.</w:t>
      </w:r>
    </w:p>
    <w:p w14:paraId="5251EB22"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Watson, M. (2023). </w:t>
      </w:r>
      <w:r w:rsidRPr="00C004F0">
        <w:rPr>
          <w:rFonts w:eastAsia="Times New Roman" w:cs="Times New Roman"/>
          <w:i/>
          <w:iCs/>
          <w:kern w:val="0"/>
          <w:sz w:val="24"/>
          <w:szCs w:val="24"/>
          <w:lang w:eastAsia="en-GB"/>
          <w14:ligatures w14:val="none"/>
        </w:rPr>
        <w:t xml:space="preserve">Cross Curricular - the Benefits to Primary Education by </w:t>
      </w:r>
      <w:proofErr w:type="spellStart"/>
      <w:r w:rsidRPr="00C004F0">
        <w:rPr>
          <w:rFonts w:eastAsia="Times New Roman" w:cs="Times New Roman"/>
          <w:i/>
          <w:iCs/>
          <w:kern w:val="0"/>
          <w:sz w:val="24"/>
          <w:szCs w:val="24"/>
          <w:lang w:eastAsia="en-GB"/>
          <w14:ligatures w14:val="none"/>
        </w:rPr>
        <w:t>PlanBee</w:t>
      </w:r>
      <w:proofErr w:type="spellEnd"/>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PlanBee</w:t>
      </w:r>
      <w:proofErr w:type="spellEnd"/>
      <w:r w:rsidRPr="00C004F0">
        <w:rPr>
          <w:rFonts w:eastAsia="Times New Roman" w:cs="Times New Roman"/>
          <w:kern w:val="0"/>
          <w:sz w:val="24"/>
          <w:szCs w:val="24"/>
          <w:lang w:eastAsia="en-GB"/>
          <w14:ligatures w14:val="none"/>
        </w:rPr>
        <w:t>. Available at: https://planbee.com/pages/cross-curricular.</w:t>
      </w:r>
    </w:p>
    <w:p w14:paraId="2BB65431"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(2020a). </w:t>
      </w:r>
      <w:r w:rsidRPr="00C004F0">
        <w:rPr>
          <w:rFonts w:eastAsia="Times New Roman" w:cs="Times New Roman"/>
          <w:i/>
          <w:iCs/>
          <w:kern w:val="0"/>
          <w:sz w:val="24"/>
          <w:szCs w:val="24"/>
          <w:lang w:eastAsia="en-GB"/>
          <w14:ligatures w14:val="none"/>
        </w:rPr>
        <w:t>Developing a Vision for Curriculum Design - Hwb</w:t>
      </w:r>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hwb.gov.wales</w:t>
      </w:r>
      <w:proofErr w:type="spellEnd"/>
      <w:r w:rsidRPr="00C004F0">
        <w:rPr>
          <w:rFonts w:eastAsia="Times New Roman" w:cs="Times New Roman"/>
          <w:kern w:val="0"/>
          <w:sz w:val="24"/>
          <w:szCs w:val="24"/>
          <w:lang w:eastAsia="en-GB"/>
          <w14:ligatures w14:val="none"/>
        </w:rPr>
        <w:t>. Available at: https://hwb.gov.wales/curriculum-for-wales/designing-</w:t>
      </w:r>
      <w:r w:rsidRPr="00C004F0">
        <w:rPr>
          <w:rFonts w:eastAsia="Times New Roman" w:cs="Times New Roman"/>
          <w:kern w:val="0"/>
          <w:sz w:val="24"/>
          <w:szCs w:val="24"/>
          <w:lang w:eastAsia="en-GB"/>
          <w14:ligatures w14:val="none"/>
        </w:rPr>
        <w:lastRenderedPageBreak/>
        <w:t>your-curriculum/developing-a-vision-for-curriculum-design#curriculum-design-and-the-four-purposes.</w:t>
      </w:r>
    </w:p>
    <w:p w14:paraId="0CC89FB0"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(2020b). </w:t>
      </w:r>
      <w:r w:rsidRPr="00C004F0">
        <w:rPr>
          <w:rFonts w:eastAsia="Times New Roman" w:cs="Times New Roman"/>
          <w:i/>
          <w:iCs/>
          <w:kern w:val="0"/>
          <w:sz w:val="24"/>
          <w:szCs w:val="24"/>
          <w:lang w:eastAsia="en-GB"/>
          <w14:ligatures w14:val="none"/>
        </w:rPr>
        <w:t>Introduction to Curriculum for Wales Guidance - Hwb</w:t>
      </w:r>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hwb.gov.wales</w:t>
      </w:r>
      <w:proofErr w:type="spellEnd"/>
      <w:r w:rsidRPr="00C004F0">
        <w:rPr>
          <w:rFonts w:eastAsia="Times New Roman" w:cs="Times New Roman"/>
          <w:kern w:val="0"/>
          <w:sz w:val="24"/>
          <w:szCs w:val="24"/>
          <w:lang w:eastAsia="en-GB"/>
          <w14:ligatures w14:val="none"/>
        </w:rPr>
        <w:t>. Available at: https://hwb.gov.wales/curriculum-for-wales/introduction-to-curriculum-for-wales-guidance/.</w:t>
      </w:r>
    </w:p>
    <w:p w14:paraId="07A2EC25"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(2022). </w:t>
      </w:r>
      <w:r w:rsidRPr="00C004F0">
        <w:rPr>
          <w:rFonts w:eastAsia="Times New Roman" w:cs="Times New Roman"/>
          <w:i/>
          <w:iCs/>
          <w:kern w:val="0"/>
          <w:sz w:val="24"/>
          <w:szCs w:val="24"/>
          <w:lang w:eastAsia="en-GB"/>
          <w14:ligatures w14:val="none"/>
        </w:rPr>
        <w:t>Cross-curricular Skills Frameworks - Hwb</w:t>
      </w:r>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hwb.gov.wales</w:t>
      </w:r>
      <w:proofErr w:type="spellEnd"/>
      <w:r w:rsidRPr="00C004F0">
        <w:rPr>
          <w:rFonts w:eastAsia="Times New Roman" w:cs="Times New Roman"/>
          <w:kern w:val="0"/>
          <w:sz w:val="24"/>
          <w:szCs w:val="24"/>
          <w:lang w:eastAsia="en-GB"/>
          <w14:ligatures w14:val="none"/>
        </w:rPr>
        <w:t>. Available at: https://hwb.gov.wales/curriculum-for-wales/cross-curricular-skills-frameworks.</w:t>
      </w:r>
    </w:p>
    <w:p w14:paraId="104A0CAE"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(2023). </w:t>
      </w:r>
      <w:r w:rsidRPr="00C004F0">
        <w:rPr>
          <w:rFonts w:eastAsia="Times New Roman" w:cs="Times New Roman"/>
          <w:i/>
          <w:iCs/>
          <w:kern w:val="0"/>
          <w:sz w:val="24"/>
          <w:szCs w:val="24"/>
          <w:lang w:eastAsia="en-GB"/>
          <w14:ligatures w14:val="none"/>
        </w:rPr>
        <w:t>Pedagogy - Hwb</w:t>
      </w:r>
      <w:r w:rsidRPr="00C004F0">
        <w:rPr>
          <w:rFonts w:eastAsia="Times New Roman" w:cs="Times New Roman"/>
          <w:kern w:val="0"/>
          <w:sz w:val="24"/>
          <w:szCs w:val="24"/>
          <w:lang w:eastAsia="en-GB"/>
          <w14:ligatures w14:val="none"/>
        </w:rPr>
        <w:t xml:space="preserve">. [online] </w:t>
      </w:r>
      <w:proofErr w:type="spellStart"/>
      <w:r w:rsidRPr="00C004F0">
        <w:rPr>
          <w:rFonts w:eastAsia="Times New Roman" w:cs="Times New Roman"/>
          <w:kern w:val="0"/>
          <w:sz w:val="24"/>
          <w:szCs w:val="24"/>
          <w:lang w:eastAsia="en-GB"/>
          <w14:ligatures w14:val="none"/>
        </w:rPr>
        <w:t>hwb.gov.wales</w:t>
      </w:r>
      <w:proofErr w:type="spellEnd"/>
      <w:r w:rsidRPr="00C004F0">
        <w:rPr>
          <w:rFonts w:eastAsia="Times New Roman" w:cs="Times New Roman"/>
          <w:kern w:val="0"/>
          <w:sz w:val="24"/>
          <w:szCs w:val="24"/>
          <w:lang w:eastAsia="en-GB"/>
          <w14:ligatures w14:val="none"/>
        </w:rPr>
        <w:t>. Available at: https://hwb.gov.wales/curriculum-for-wales/designing-your-curriculum/pedagogy.</w:t>
      </w:r>
    </w:p>
    <w:p w14:paraId="03D51C66"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(2013). </w:t>
      </w:r>
      <w:r w:rsidRPr="00C004F0">
        <w:rPr>
          <w:rFonts w:eastAsia="Times New Roman" w:cs="Times New Roman"/>
          <w:i/>
          <w:iCs/>
          <w:kern w:val="0"/>
          <w:sz w:val="24"/>
          <w:szCs w:val="24"/>
          <w:lang w:eastAsia="en-GB"/>
          <w14:ligatures w14:val="none"/>
        </w:rPr>
        <w:t xml:space="preserve">Curriculum Planning Guidance </w:t>
      </w:r>
      <w:proofErr w:type="spellStart"/>
      <w:r w:rsidRPr="00C004F0">
        <w:rPr>
          <w:rFonts w:eastAsia="Times New Roman" w:cs="Times New Roman"/>
          <w:i/>
          <w:iCs/>
          <w:kern w:val="0"/>
          <w:sz w:val="24"/>
          <w:szCs w:val="24"/>
          <w:lang w:eastAsia="en-GB"/>
          <w14:ligatures w14:val="none"/>
        </w:rPr>
        <w:t>Guidance</w:t>
      </w:r>
      <w:proofErr w:type="spellEnd"/>
      <w:r w:rsidRPr="00C004F0">
        <w:rPr>
          <w:rFonts w:eastAsia="Times New Roman" w:cs="Times New Roman"/>
          <w:kern w:val="0"/>
          <w:sz w:val="24"/>
          <w:szCs w:val="24"/>
          <w:lang w:eastAsia="en-GB"/>
          <w14:ligatures w14:val="none"/>
        </w:rPr>
        <w:t>. [online] Available at: https://hwb.gov.wales/api/storage/7e70391c-b7cb-436f-9036-26de781b8224/curriculum-planning-guidance.pdf.</w:t>
      </w:r>
    </w:p>
    <w:p w14:paraId="24FB5FFD" w14:textId="77777777" w:rsid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(2018). </w:t>
      </w:r>
      <w:r w:rsidRPr="00C004F0">
        <w:rPr>
          <w:rFonts w:eastAsia="Times New Roman" w:cs="Times New Roman"/>
          <w:i/>
          <w:iCs/>
          <w:kern w:val="0"/>
          <w:sz w:val="24"/>
          <w:szCs w:val="24"/>
          <w:lang w:eastAsia="en-GB"/>
          <w14:ligatures w14:val="none"/>
        </w:rPr>
        <w:t>Digital Competence Framework Your Questions Answered</w:t>
      </w:r>
      <w:r w:rsidRPr="00C004F0">
        <w:rPr>
          <w:rFonts w:eastAsia="Times New Roman" w:cs="Times New Roman"/>
          <w:kern w:val="0"/>
          <w:sz w:val="24"/>
          <w:szCs w:val="24"/>
          <w:lang w:eastAsia="en-GB"/>
          <w14:ligatures w14:val="none"/>
        </w:rPr>
        <w:t>. [online] Available at: https://hwb.gov.wales/storage/85f69bca-0134-426d-bff1-c46b4c1d067b/digital-competence-framework-your.</w:t>
      </w:r>
    </w:p>
    <w:p w14:paraId="54FDFA3F" w14:textId="503BE635"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(2020a). </w:t>
      </w:r>
      <w:r w:rsidRPr="00C004F0">
        <w:rPr>
          <w:rFonts w:eastAsia="Times New Roman" w:cs="Times New Roman"/>
          <w:i/>
          <w:iCs/>
          <w:kern w:val="0"/>
          <w:sz w:val="24"/>
          <w:szCs w:val="24"/>
          <w:lang w:eastAsia="en-GB"/>
          <w14:ligatures w14:val="none"/>
        </w:rPr>
        <w:t>Digital Competence Framework</w:t>
      </w:r>
      <w:r w:rsidRPr="00C004F0">
        <w:rPr>
          <w:rFonts w:eastAsia="Times New Roman" w:cs="Times New Roman"/>
          <w:kern w:val="0"/>
          <w:sz w:val="24"/>
          <w:szCs w:val="24"/>
          <w:lang w:eastAsia="en-GB"/>
          <w14:ligatures w14:val="none"/>
        </w:rPr>
        <w:t>. [online] Available at: https://hwb.gov.wales/api/storage/d26af733-abd1-4d33-92fe-4ea8eb1d928f/dcf40620.pdf [Accessed 26 Feb. 2025].</w:t>
      </w:r>
    </w:p>
    <w:p w14:paraId="2E761802"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(2020b). </w:t>
      </w:r>
      <w:r w:rsidRPr="00C004F0">
        <w:rPr>
          <w:rFonts w:eastAsia="Times New Roman" w:cs="Times New Roman"/>
          <w:i/>
          <w:iCs/>
          <w:kern w:val="0"/>
          <w:sz w:val="24"/>
          <w:szCs w:val="24"/>
          <w:lang w:eastAsia="en-GB"/>
          <w14:ligatures w14:val="none"/>
        </w:rPr>
        <w:t>Literacy Framework</w:t>
      </w:r>
      <w:r w:rsidRPr="00C004F0">
        <w:rPr>
          <w:rFonts w:eastAsia="Times New Roman" w:cs="Times New Roman"/>
          <w:kern w:val="0"/>
          <w:sz w:val="24"/>
          <w:szCs w:val="24"/>
          <w:lang w:eastAsia="en-GB"/>
          <w14:ligatures w14:val="none"/>
        </w:rPr>
        <w:t>. [online] Available at: https://hwb.gov.wales/api/storage/4d852cbe-03d6-4c36-8175-c281461c8690/literacy-framework.pdf [Accessed 27 Feb. 2025].</w:t>
      </w:r>
    </w:p>
    <w:p w14:paraId="0383C565"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Welsh Government (2020c). </w:t>
      </w:r>
      <w:r w:rsidRPr="00C004F0">
        <w:rPr>
          <w:rFonts w:eastAsia="Times New Roman" w:cs="Times New Roman"/>
          <w:i/>
          <w:iCs/>
          <w:kern w:val="0"/>
          <w:sz w:val="24"/>
          <w:szCs w:val="24"/>
          <w:lang w:eastAsia="en-GB"/>
          <w14:ligatures w14:val="none"/>
        </w:rPr>
        <w:t>Numeracy Framework</w:t>
      </w:r>
      <w:r w:rsidRPr="00C004F0">
        <w:rPr>
          <w:rFonts w:eastAsia="Times New Roman" w:cs="Times New Roman"/>
          <w:kern w:val="0"/>
          <w:sz w:val="24"/>
          <w:szCs w:val="24"/>
          <w:lang w:eastAsia="en-GB"/>
          <w14:ligatures w14:val="none"/>
        </w:rPr>
        <w:t>. [online] Available at: https://hwb.gov.wales/api/storage/2f34d783-b4b3-4d47-8fe9-49fdb993dfce/numeracy-framework.pdf.</w:t>
      </w:r>
    </w:p>
    <w:p w14:paraId="71385DCC"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t xml:space="preserve">White, B. (2022). </w:t>
      </w:r>
      <w:r w:rsidRPr="00C004F0">
        <w:rPr>
          <w:rFonts w:eastAsia="Times New Roman" w:cs="Times New Roman"/>
          <w:i/>
          <w:iCs/>
          <w:kern w:val="0"/>
          <w:sz w:val="24"/>
          <w:szCs w:val="24"/>
          <w:lang w:eastAsia="en-GB"/>
          <w14:ligatures w14:val="none"/>
        </w:rPr>
        <w:t>Continuous Provision in EYFS</w:t>
      </w:r>
      <w:r w:rsidRPr="00C004F0">
        <w:rPr>
          <w:rFonts w:eastAsia="Times New Roman" w:cs="Times New Roman"/>
          <w:kern w:val="0"/>
          <w:sz w:val="24"/>
          <w:szCs w:val="24"/>
          <w:lang w:eastAsia="en-GB"/>
          <w14:ligatures w14:val="none"/>
        </w:rPr>
        <w:t>. [online] Early Education. Available at: https://early-education.org.uk/continuous-provision-in-eyfs/.</w:t>
      </w:r>
    </w:p>
    <w:p w14:paraId="1A735E76" w14:textId="77777777" w:rsidR="00C004F0" w:rsidRPr="00C004F0" w:rsidRDefault="00C004F0" w:rsidP="00C004F0">
      <w:pPr>
        <w:spacing w:after="240" w:line="360" w:lineRule="auto"/>
        <w:rPr>
          <w:rFonts w:eastAsia="Times New Roman" w:cs="Times New Roman"/>
          <w:kern w:val="0"/>
          <w:sz w:val="24"/>
          <w:szCs w:val="24"/>
          <w:lang w:eastAsia="en-GB"/>
          <w14:ligatures w14:val="none"/>
        </w:rPr>
      </w:pPr>
      <w:r w:rsidRPr="00C004F0">
        <w:rPr>
          <w:rFonts w:eastAsia="Times New Roman" w:cs="Times New Roman"/>
          <w:kern w:val="0"/>
          <w:sz w:val="24"/>
          <w:szCs w:val="24"/>
          <w:lang w:eastAsia="en-GB"/>
          <w14:ligatures w14:val="none"/>
        </w:rPr>
        <w:lastRenderedPageBreak/>
        <w:t xml:space="preserve">Winters, S. and Lynn, M. (2020). The Thinking Classroom: an Exciting Transformation for Math Instruction. </w:t>
      </w:r>
      <w:r w:rsidRPr="00C004F0">
        <w:rPr>
          <w:rFonts w:eastAsia="Times New Roman" w:cs="Times New Roman"/>
          <w:i/>
          <w:iCs/>
          <w:kern w:val="0"/>
          <w:sz w:val="24"/>
          <w:szCs w:val="24"/>
          <w:lang w:eastAsia="en-GB"/>
          <w14:ligatures w14:val="none"/>
        </w:rPr>
        <w:t>Childhood Education</w:t>
      </w:r>
      <w:r w:rsidRPr="00C004F0">
        <w:rPr>
          <w:rFonts w:eastAsia="Times New Roman" w:cs="Times New Roman"/>
          <w:kern w:val="0"/>
          <w:sz w:val="24"/>
          <w:szCs w:val="24"/>
          <w:lang w:eastAsia="en-GB"/>
          <w14:ligatures w14:val="none"/>
        </w:rPr>
        <w:t xml:space="preserve">, 96(4), pp.50–53. </w:t>
      </w:r>
      <w:proofErr w:type="spellStart"/>
      <w:r w:rsidRPr="00C004F0">
        <w:rPr>
          <w:rFonts w:eastAsia="Times New Roman" w:cs="Times New Roman"/>
          <w:kern w:val="0"/>
          <w:sz w:val="24"/>
          <w:szCs w:val="24"/>
          <w:lang w:eastAsia="en-GB"/>
          <w14:ligatures w14:val="none"/>
        </w:rPr>
        <w:t>doi:https</w:t>
      </w:r>
      <w:proofErr w:type="spellEnd"/>
      <w:r w:rsidRPr="00C004F0">
        <w:rPr>
          <w:rFonts w:eastAsia="Times New Roman" w:cs="Times New Roman"/>
          <w:kern w:val="0"/>
          <w:sz w:val="24"/>
          <w:szCs w:val="24"/>
          <w:lang w:eastAsia="en-GB"/>
          <w14:ligatures w14:val="none"/>
        </w:rPr>
        <w:t>://doi.org/10.1080/00094056.2020.1796455.</w:t>
      </w:r>
    </w:p>
    <w:p w14:paraId="3953E8E4" w14:textId="77777777" w:rsidR="00DF3B4D" w:rsidRPr="00DF3B4D" w:rsidRDefault="00DF3B4D" w:rsidP="00C15043">
      <w:pPr>
        <w:rPr>
          <w:sz w:val="24"/>
          <w:szCs w:val="24"/>
        </w:rPr>
      </w:pPr>
    </w:p>
    <w:sectPr w:rsidR="00DF3B4D" w:rsidRPr="00DF3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241A9"/>
    <w:multiLevelType w:val="hybridMultilevel"/>
    <w:tmpl w:val="F5CE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7354A"/>
    <w:multiLevelType w:val="hybridMultilevel"/>
    <w:tmpl w:val="4D6A3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9365F"/>
    <w:multiLevelType w:val="hybridMultilevel"/>
    <w:tmpl w:val="21E2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F211F2"/>
    <w:multiLevelType w:val="hybridMultilevel"/>
    <w:tmpl w:val="8490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46367B"/>
    <w:multiLevelType w:val="multilevel"/>
    <w:tmpl w:val="868C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1958240">
    <w:abstractNumId w:val="1"/>
  </w:num>
  <w:num w:numId="2" w16cid:durableId="563492455">
    <w:abstractNumId w:val="3"/>
  </w:num>
  <w:num w:numId="3" w16cid:durableId="1671448680">
    <w:abstractNumId w:val="0"/>
  </w:num>
  <w:num w:numId="4" w16cid:durableId="409548106">
    <w:abstractNumId w:val="2"/>
  </w:num>
  <w:num w:numId="5" w16cid:durableId="10259074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DA9"/>
    <w:rsid w:val="00013D74"/>
    <w:rsid w:val="00016724"/>
    <w:rsid w:val="00023A68"/>
    <w:rsid w:val="00032A48"/>
    <w:rsid w:val="0004053A"/>
    <w:rsid w:val="000477B4"/>
    <w:rsid w:val="000D30BC"/>
    <w:rsid w:val="000E6006"/>
    <w:rsid w:val="000F5AD5"/>
    <w:rsid w:val="000F5DA9"/>
    <w:rsid w:val="000F684F"/>
    <w:rsid w:val="001419E6"/>
    <w:rsid w:val="00143354"/>
    <w:rsid w:val="00154673"/>
    <w:rsid w:val="00170EB5"/>
    <w:rsid w:val="001811E9"/>
    <w:rsid w:val="0018124F"/>
    <w:rsid w:val="001B1CA4"/>
    <w:rsid w:val="001C12A6"/>
    <w:rsid w:val="001F569C"/>
    <w:rsid w:val="00226587"/>
    <w:rsid w:val="002754B2"/>
    <w:rsid w:val="00290336"/>
    <w:rsid w:val="002B3913"/>
    <w:rsid w:val="002D35AB"/>
    <w:rsid w:val="002D6666"/>
    <w:rsid w:val="002F2F94"/>
    <w:rsid w:val="00304970"/>
    <w:rsid w:val="003450CA"/>
    <w:rsid w:val="00381FBA"/>
    <w:rsid w:val="003A64ED"/>
    <w:rsid w:val="003F1C92"/>
    <w:rsid w:val="003F216D"/>
    <w:rsid w:val="00420014"/>
    <w:rsid w:val="00423204"/>
    <w:rsid w:val="00466474"/>
    <w:rsid w:val="00494B72"/>
    <w:rsid w:val="004A018A"/>
    <w:rsid w:val="004B0215"/>
    <w:rsid w:val="004C4419"/>
    <w:rsid w:val="004D4F40"/>
    <w:rsid w:val="00514504"/>
    <w:rsid w:val="00520F4D"/>
    <w:rsid w:val="00536931"/>
    <w:rsid w:val="0056773A"/>
    <w:rsid w:val="0057294D"/>
    <w:rsid w:val="005761EC"/>
    <w:rsid w:val="00581ECF"/>
    <w:rsid w:val="005A051A"/>
    <w:rsid w:val="005A7F24"/>
    <w:rsid w:val="005B7324"/>
    <w:rsid w:val="005D2102"/>
    <w:rsid w:val="005E4A57"/>
    <w:rsid w:val="00653C4A"/>
    <w:rsid w:val="00681689"/>
    <w:rsid w:val="006A1D27"/>
    <w:rsid w:val="006A1E7B"/>
    <w:rsid w:val="006B77CD"/>
    <w:rsid w:val="006D6F64"/>
    <w:rsid w:val="006E3C30"/>
    <w:rsid w:val="006F0F71"/>
    <w:rsid w:val="006F4596"/>
    <w:rsid w:val="00727FB3"/>
    <w:rsid w:val="00730FE7"/>
    <w:rsid w:val="00733E2C"/>
    <w:rsid w:val="00764B1A"/>
    <w:rsid w:val="00782754"/>
    <w:rsid w:val="007E3CD1"/>
    <w:rsid w:val="007E67ED"/>
    <w:rsid w:val="00800B2B"/>
    <w:rsid w:val="00846FAE"/>
    <w:rsid w:val="0089487B"/>
    <w:rsid w:val="00901A65"/>
    <w:rsid w:val="00911F47"/>
    <w:rsid w:val="00952BC5"/>
    <w:rsid w:val="00977D18"/>
    <w:rsid w:val="009824E4"/>
    <w:rsid w:val="00985487"/>
    <w:rsid w:val="009C7A18"/>
    <w:rsid w:val="009E4015"/>
    <w:rsid w:val="009E6A7B"/>
    <w:rsid w:val="00A2301D"/>
    <w:rsid w:val="00A62E9B"/>
    <w:rsid w:val="00A80FDA"/>
    <w:rsid w:val="00AB5D35"/>
    <w:rsid w:val="00AC0899"/>
    <w:rsid w:val="00AD1599"/>
    <w:rsid w:val="00AE0015"/>
    <w:rsid w:val="00AE1BFE"/>
    <w:rsid w:val="00B01624"/>
    <w:rsid w:val="00B25789"/>
    <w:rsid w:val="00B35BF3"/>
    <w:rsid w:val="00B426F8"/>
    <w:rsid w:val="00B81E41"/>
    <w:rsid w:val="00B92D77"/>
    <w:rsid w:val="00BA59A8"/>
    <w:rsid w:val="00BC05DE"/>
    <w:rsid w:val="00C004F0"/>
    <w:rsid w:val="00C14FA3"/>
    <w:rsid w:val="00C15043"/>
    <w:rsid w:val="00C56E2F"/>
    <w:rsid w:val="00C62077"/>
    <w:rsid w:val="00CE78DB"/>
    <w:rsid w:val="00D00F43"/>
    <w:rsid w:val="00D140D9"/>
    <w:rsid w:val="00D302EA"/>
    <w:rsid w:val="00D34799"/>
    <w:rsid w:val="00D53523"/>
    <w:rsid w:val="00D91CBA"/>
    <w:rsid w:val="00DA4044"/>
    <w:rsid w:val="00DB585E"/>
    <w:rsid w:val="00DF3B4D"/>
    <w:rsid w:val="00E00CCB"/>
    <w:rsid w:val="00E16B82"/>
    <w:rsid w:val="00E42611"/>
    <w:rsid w:val="00E561FE"/>
    <w:rsid w:val="00E654FC"/>
    <w:rsid w:val="00E94767"/>
    <w:rsid w:val="00EC3552"/>
    <w:rsid w:val="00F025D3"/>
    <w:rsid w:val="00F34FE5"/>
    <w:rsid w:val="00F35A86"/>
    <w:rsid w:val="00F54A99"/>
    <w:rsid w:val="00F64ED8"/>
    <w:rsid w:val="00FA47A6"/>
    <w:rsid w:val="00FA486D"/>
    <w:rsid w:val="00FE3CCF"/>
    <w:rsid w:val="00FF2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7C156"/>
  <w15:chartTrackingRefBased/>
  <w15:docId w15:val="{2613A70D-0B6A-4C5A-9F73-3B7F6128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5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5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5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5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5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5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DA9"/>
    <w:rPr>
      <w:rFonts w:eastAsiaTheme="majorEastAsia" w:cstheme="majorBidi"/>
      <w:color w:val="272727" w:themeColor="text1" w:themeTint="D8"/>
    </w:rPr>
  </w:style>
  <w:style w:type="paragraph" w:styleId="Title">
    <w:name w:val="Title"/>
    <w:basedOn w:val="Normal"/>
    <w:next w:val="Normal"/>
    <w:link w:val="TitleChar"/>
    <w:uiPriority w:val="10"/>
    <w:qFormat/>
    <w:rsid w:val="000F5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DA9"/>
    <w:pPr>
      <w:spacing w:before="160"/>
      <w:jc w:val="center"/>
    </w:pPr>
    <w:rPr>
      <w:i/>
      <w:iCs/>
      <w:color w:val="404040" w:themeColor="text1" w:themeTint="BF"/>
    </w:rPr>
  </w:style>
  <w:style w:type="character" w:customStyle="1" w:styleId="QuoteChar">
    <w:name w:val="Quote Char"/>
    <w:basedOn w:val="DefaultParagraphFont"/>
    <w:link w:val="Quote"/>
    <w:uiPriority w:val="29"/>
    <w:rsid w:val="000F5DA9"/>
    <w:rPr>
      <w:i/>
      <w:iCs/>
      <w:color w:val="404040" w:themeColor="text1" w:themeTint="BF"/>
    </w:rPr>
  </w:style>
  <w:style w:type="paragraph" w:styleId="ListParagraph">
    <w:name w:val="List Paragraph"/>
    <w:basedOn w:val="Normal"/>
    <w:uiPriority w:val="34"/>
    <w:qFormat/>
    <w:rsid w:val="000F5DA9"/>
    <w:pPr>
      <w:ind w:left="720"/>
      <w:contextualSpacing/>
    </w:pPr>
  </w:style>
  <w:style w:type="character" w:styleId="IntenseEmphasis">
    <w:name w:val="Intense Emphasis"/>
    <w:basedOn w:val="DefaultParagraphFont"/>
    <w:uiPriority w:val="21"/>
    <w:qFormat/>
    <w:rsid w:val="000F5DA9"/>
    <w:rPr>
      <w:i/>
      <w:iCs/>
      <w:color w:val="0F4761" w:themeColor="accent1" w:themeShade="BF"/>
    </w:rPr>
  </w:style>
  <w:style w:type="paragraph" w:styleId="IntenseQuote">
    <w:name w:val="Intense Quote"/>
    <w:basedOn w:val="Normal"/>
    <w:next w:val="Normal"/>
    <w:link w:val="IntenseQuoteChar"/>
    <w:uiPriority w:val="30"/>
    <w:qFormat/>
    <w:rsid w:val="000F5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DA9"/>
    <w:rPr>
      <w:i/>
      <w:iCs/>
      <w:color w:val="0F4761" w:themeColor="accent1" w:themeShade="BF"/>
    </w:rPr>
  </w:style>
  <w:style w:type="character" w:styleId="IntenseReference">
    <w:name w:val="Intense Reference"/>
    <w:basedOn w:val="DefaultParagraphFont"/>
    <w:uiPriority w:val="32"/>
    <w:qFormat/>
    <w:rsid w:val="000F5DA9"/>
    <w:rPr>
      <w:b/>
      <w:bCs/>
      <w:smallCaps/>
      <w:color w:val="0F4761" w:themeColor="accent1" w:themeShade="BF"/>
      <w:spacing w:val="5"/>
    </w:rPr>
  </w:style>
  <w:style w:type="character" w:styleId="Hyperlink">
    <w:name w:val="Hyperlink"/>
    <w:basedOn w:val="DefaultParagraphFont"/>
    <w:uiPriority w:val="99"/>
    <w:unhideWhenUsed/>
    <w:rsid w:val="00C004F0"/>
    <w:rPr>
      <w:color w:val="467886" w:themeColor="hyperlink"/>
      <w:u w:val="single"/>
    </w:rPr>
  </w:style>
  <w:style w:type="character" w:styleId="UnresolvedMention">
    <w:name w:val="Unresolved Mention"/>
    <w:basedOn w:val="DefaultParagraphFont"/>
    <w:uiPriority w:val="99"/>
    <w:semiHidden/>
    <w:unhideWhenUsed/>
    <w:rsid w:val="00C00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426460">
      <w:bodyDiv w:val="1"/>
      <w:marLeft w:val="0"/>
      <w:marRight w:val="0"/>
      <w:marTop w:val="0"/>
      <w:marBottom w:val="0"/>
      <w:divBdr>
        <w:top w:val="none" w:sz="0" w:space="0" w:color="auto"/>
        <w:left w:val="none" w:sz="0" w:space="0" w:color="auto"/>
        <w:bottom w:val="none" w:sz="0" w:space="0" w:color="auto"/>
        <w:right w:val="none" w:sz="0" w:space="0" w:color="auto"/>
      </w:divBdr>
    </w:div>
    <w:div w:id="123470942">
      <w:bodyDiv w:val="1"/>
      <w:marLeft w:val="0"/>
      <w:marRight w:val="0"/>
      <w:marTop w:val="0"/>
      <w:marBottom w:val="0"/>
      <w:divBdr>
        <w:top w:val="none" w:sz="0" w:space="0" w:color="auto"/>
        <w:left w:val="none" w:sz="0" w:space="0" w:color="auto"/>
        <w:bottom w:val="none" w:sz="0" w:space="0" w:color="auto"/>
        <w:right w:val="none" w:sz="0" w:space="0" w:color="auto"/>
      </w:divBdr>
    </w:div>
    <w:div w:id="151145618">
      <w:bodyDiv w:val="1"/>
      <w:marLeft w:val="0"/>
      <w:marRight w:val="0"/>
      <w:marTop w:val="0"/>
      <w:marBottom w:val="0"/>
      <w:divBdr>
        <w:top w:val="none" w:sz="0" w:space="0" w:color="auto"/>
        <w:left w:val="none" w:sz="0" w:space="0" w:color="auto"/>
        <w:bottom w:val="none" w:sz="0" w:space="0" w:color="auto"/>
        <w:right w:val="none" w:sz="0" w:space="0" w:color="auto"/>
      </w:divBdr>
    </w:div>
    <w:div w:id="266667355">
      <w:bodyDiv w:val="1"/>
      <w:marLeft w:val="0"/>
      <w:marRight w:val="0"/>
      <w:marTop w:val="0"/>
      <w:marBottom w:val="0"/>
      <w:divBdr>
        <w:top w:val="none" w:sz="0" w:space="0" w:color="auto"/>
        <w:left w:val="none" w:sz="0" w:space="0" w:color="auto"/>
        <w:bottom w:val="none" w:sz="0" w:space="0" w:color="auto"/>
        <w:right w:val="none" w:sz="0" w:space="0" w:color="auto"/>
      </w:divBdr>
    </w:div>
    <w:div w:id="288704201">
      <w:bodyDiv w:val="1"/>
      <w:marLeft w:val="0"/>
      <w:marRight w:val="0"/>
      <w:marTop w:val="0"/>
      <w:marBottom w:val="0"/>
      <w:divBdr>
        <w:top w:val="none" w:sz="0" w:space="0" w:color="auto"/>
        <w:left w:val="none" w:sz="0" w:space="0" w:color="auto"/>
        <w:bottom w:val="none" w:sz="0" w:space="0" w:color="auto"/>
        <w:right w:val="none" w:sz="0" w:space="0" w:color="auto"/>
      </w:divBdr>
    </w:div>
    <w:div w:id="338191291">
      <w:bodyDiv w:val="1"/>
      <w:marLeft w:val="0"/>
      <w:marRight w:val="0"/>
      <w:marTop w:val="0"/>
      <w:marBottom w:val="0"/>
      <w:divBdr>
        <w:top w:val="none" w:sz="0" w:space="0" w:color="auto"/>
        <w:left w:val="none" w:sz="0" w:space="0" w:color="auto"/>
        <w:bottom w:val="none" w:sz="0" w:space="0" w:color="auto"/>
        <w:right w:val="none" w:sz="0" w:space="0" w:color="auto"/>
      </w:divBdr>
    </w:div>
    <w:div w:id="527453855">
      <w:bodyDiv w:val="1"/>
      <w:marLeft w:val="0"/>
      <w:marRight w:val="0"/>
      <w:marTop w:val="0"/>
      <w:marBottom w:val="0"/>
      <w:divBdr>
        <w:top w:val="none" w:sz="0" w:space="0" w:color="auto"/>
        <w:left w:val="none" w:sz="0" w:space="0" w:color="auto"/>
        <w:bottom w:val="none" w:sz="0" w:space="0" w:color="auto"/>
        <w:right w:val="none" w:sz="0" w:space="0" w:color="auto"/>
      </w:divBdr>
    </w:div>
    <w:div w:id="712384122">
      <w:bodyDiv w:val="1"/>
      <w:marLeft w:val="0"/>
      <w:marRight w:val="0"/>
      <w:marTop w:val="0"/>
      <w:marBottom w:val="0"/>
      <w:divBdr>
        <w:top w:val="none" w:sz="0" w:space="0" w:color="auto"/>
        <w:left w:val="none" w:sz="0" w:space="0" w:color="auto"/>
        <w:bottom w:val="none" w:sz="0" w:space="0" w:color="auto"/>
        <w:right w:val="none" w:sz="0" w:space="0" w:color="auto"/>
      </w:divBdr>
    </w:div>
    <w:div w:id="719863144">
      <w:bodyDiv w:val="1"/>
      <w:marLeft w:val="0"/>
      <w:marRight w:val="0"/>
      <w:marTop w:val="0"/>
      <w:marBottom w:val="0"/>
      <w:divBdr>
        <w:top w:val="none" w:sz="0" w:space="0" w:color="auto"/>
        <w:left w:val="none" w:sz="0" w:space="0" w:color="auto"/>
        <w:bottom w:val="none" w:sz="0" w:space="0" w:color="auto"/>
        <w:right w:val="none" w:sz="0" w:space="0" w:color="auto"/>
      </w:divBdr>
    </w:div>
    <w:div w:id="758718838">
      <w:bodyDiv w:val="1"/>
      <w:marLeft w:val="0"/>
      <w:marRight w:val="0"/>
      <w:marTop w:val="0"/>
      <w:marBottom w:val="0"/>
      <w:divBdr>
        <w:top w:val="none" w:sz="0" w:space="0" w:color="auto"/>
        <w:left w:val="none" w:sz="0" w:space="0" w:color="auto"/>
        <w:bottom w:val="none" w:sz="0" w:space="0" w:color="auto"/>
        <w:right w:val="none" w:sz="0" w:space="0" w:color="auto"/>
      </w:divBdr>
    </w:div>
    <w:div w:id="814565430">
      <w:bodyDiv w:val="1"/>
      <w:marLeft w:val="0"/>
      <w:marRight w:val="0"/>
      <w:marTop w:val="0"/>
      <w:marBottom w:val="0"/>
      <w:divBdr>
        <w:top w:val="none" w:sz="0" w:space="0" w:color="auto"/>
        <w:left w:val="none" w:sz="0" w:space="0" w:color="auto"/>
        <w:bottom w:val="none" w:sz="0" w:space="0" w:color="auto"/>
        <w:right w:val="none" w:sz="0" w:space="0" w:color="auto"/>
      </w:divBdr>
    </w:div>
    <w:div w:id="818229768">
      <w:bodyDiv w:val="1"/>
      <w:marLeft w:val="0"/>
      <w:marRight w:val="0"/>
      <w:marTop w:val="0"/>
      <w:marBottom w:val="0"/>
      <w:divBdr>
        <w:top w:val="none" w:sz="0" w:space="0" w:color="auto"/>
        <w:left w:val="none" w:sz="0" w:space="0" w:color="auto"/>
        <w:bottom w:val="none" w:sz="0" w:space="0" w:color="auto"/>
        <w:right w:val="none" w:sz="0" w:space="0" w:color="auto"/>
      </w:divBdr>
    </w:div>
    <w:div w:id="913778835">
      <w:bodyDiv w:val="1"/>
      <w:marLeft w:val="0"/>
      <w:marRight w:val="0"/>
      <w:marTop w:val="0"/>
      <w:marBottom w:val="0"/>
      <w:divBdr>
        <w:top w:val="none" w:sz="0" w:space="0" w:color="auto"/>
        <w:left w:val="none" w:sz="0" w:space="0" w:color="auto"/>
        <w:bottom w:val="none" w:sz="0" w:space="0" w:color="auto"/>
        <w:right w:val="none" w:sz="0" w:space="0" w:color="auto"/>
      </w:divBdr>
    </w:div>
    <w:div w:id="927230729">
      <w:bodyDiv w:val="1"/>
      <w:marLeft w:val="0"/>
      <w:marRight w:val="0"/>
      <w:marTop w:val="0"/>
      <w:marBottom w:val="0"/>
      <w:divBdr>
        <w:top w:val="none" w:sz="0" w:space="0" w:color="auto"/>
        <w:left w:val="none" w:sz="0" w:space="0" w:color="auto"/>
        <w:bottom w:val="none" w:sz="0" w:space="0" w:color="auto"/>
        <w:right w:val="none" w:sz="0" w:space="0" w:color="auto"/>
      </w:divBdr>
    </w:div>
    <w:div w:id="937524293">
      <w:bodyDiv w:val="1"/>
      <w:marLeft w:val="0"/>
      <w:marRight w:val="0"/>
      <w:marTop w:val="0"/>
      <w:marBottom w:val="0"/>
      <w:divBdr>
        <w:top w:val="none" w:sz="0" w:space="0" w:color="auto"/>
        <w:left w:val="none" w:sz="0" w:space="0" w:color="auto"/>
        <w:bottom w:val="none" w:sz="0" w:space="0" w:color="auto"/>
        <w:right w:val="none" w:sz="0" w:space="0" w:color="auto"/>
      </w:divBdr>
    </w:div>
    <w:div w:id="1004630792">
      <w:bodyDiv w:val="1"/>
      <w:marLeft w:val="0"/>
      <w:marRight w:val="0"/>
      <w:marTop w:val="0"/>
      <w:marBottom w:val="0"/>
      <w:divBdr>
        <w:top w:val="none" w:sz="0" w:space="0" w:color="auto"/>
        <w:left w:val="none" w:sz="0" w:space="0" w:color="auto"/>
        <w:bottom w:val="none" w:sz="0" w:space="0" w:color="auto"/>
        <w:right w:val="none" w:sz="0" w:space="0" w:color="auto"/>
      </w:divBdr>
    </w:div>
    <w:div w:id="1097676909">
      <w:bodyDiv w:val="1"/>
      <w:marLeft w:val="0"/>
      <w:marRight w:val="0"/>
      <w:marTop w:val="0"/>
      <w:marBottom w:val="0"/>
      <w:divBdr>
        <w:top w:val="none" w:sz="0" w:space="0" w:color="auto"/>
        <w:left w:val="none" w:sz="0" w:space="0" w:color="auto"/>
        <w:bottom w:val="none" w:sz="0" w:space="0" w:color="auto"/>
        <w:right w:val="none" w:sz="0" w:space="0" w:color="auto"/>
      </w:divBdr>
    </w:div>
    <w:div w:id="1178692023">
      <w:bodyDiv w:val="1"/>
      <w:marLeft w:val="0"/>
      <w:marRight w:val="0"/>
      <w:marTop w:val="0"/>
      <w:marBottom w:val="0"/>
      <w:divBdr>
        <w:top w:val="none" w:sz="0" w:space="0" w:color="auto"/>
        <w:left w:val="none" w:sz="0" w:space="0" w:color="auto"/>
        <w:bottom w:val="none" w:sz="0" w:space="0" w:color="auto"/>
        <w:right w:val="none" w:sz="0" w:space="0" w:color="auto"/>
      </w:divBdr>
    </w:div>
    <w:div w:id="1226335999">
      <w:bodyDiv w:val="1"/>
      <w:marLeft w:val="0"/>
      <w:marRight w:val="0"/>
      <w:marTop w:val="0"/>
      <w:marBottom w:val="0"/>
      <w:divBdr>
        <w:top w:val="none" w:sz="0" w:space="0" w:color="auto"/>
        <w:left w:val="none" w:sz="0" w:space="0" w:color="auto"/>
        <w:bottom w:val="none" w:sz="0" w:space="0" w:color="auto"/>
        <w:right w:val="none" w:sz="0" w:space="0" w:color="auto"/>
      </w:divBdr>
    </w:div>
    <w:div w:id="1239942629">
      <w:bodyDiv w:val="1"/>
      <w:marLeft w:val="0"/>
      <w:marRight w:val="0"/>
      <w:marTop w:val="0"/>
      <w:marBottom w:val="0"/>
      <w:divBdr>
        <w:top w:val="none" w:sz="0" w:space="0" w:color="auto"/>
        <w:left w:val="none" w:sz="0" w:space="0" w:color="auto"/>
        <w:bottom w:val="none" w:sz="0" w:space="0" w:color="auto"/>
        <w:right w:val="none" w:sz="0" w:space="0" w:color="auto"/>
      </w:divBdr>
    </w:div>
    <w:div w:id="1289891552">
      <w:bodyDiv w:val="1"/>
      <w:marLeft w:val="0"/>
      <w:marRight w:val="0"/>
      <w:marTop w:val="0"/>
      <w:marBottom w:val="0"/>
      <w:divBdr>
        <w:top w:val="none" w:sz="0" w:space="0" w:color="auto"/>
        <w:left w:val="none" w:sz="0" w:space="0" w:color="auto"/>
        <w:bottom w:val="none" w:sz="0" w:space="0" w:color="auto"/>
        <w:right w:val="none" w:sz="0" w:space="0" w:color="auto"/>
      </w:divBdr>
    </w:div>
    <w:div w:id="1321153910">
      <w:bodyDiv w:val="1"/>
      <w:marLeft w:val="0"/>
      <w:marRight w:val="0"/>
      <w:marTop w:val="0"/>
      <w:marBottom w:val="0"/>
      <w:divBdr>
        <w:top w:val="none" w:sz="0" w:space="0" w:color="auto"/>
        <w:left w:val="none" w:sz="0" w:space="0" w:color="auto"/>
        <w:bottom w:val="none" w:sz="0" w:space="0" w:color="auto"/>
        <w:right w:val="none" w:sz="0" w:space="0" w:color="auto"/>
      </w:divBdr>
    </w:div>
    <w:div w:id="1467352703">
      <w:bodyDiv w:val="1"/>
      <w:marLeft w:val="0"/>
      <w:marRight w:val="0"/>
      <w:marTop w:val="0"/>
      <w:marBottom w:val="0"/>
      <w:divBdr>
        <w:top w:val="none" w:sz="0" w:space="0" w:color="auto"/>
        <w:left w:val="none" w:sz="0" w:space="0" w:color="auto"/>
        <w:bottom w:val="none" w:sz="0" w:space="0" w:color="auto"/>
        <w:right w:val="none" w:sz="0" w:space="0" w:color="auto"/>
      </w:divBdr>
    </w:div>
    <w:div w:id="1541553205">
      <w:bodyDiv w:val="1"/>
      <w:marLeft w:val="0"/>
      <w:marRight w:val="0"/>
      <w:marTop w:val="0"/>
      <w:marBottom w:val="0"/>
      <w:divBdr>
        <w:top w:val="none" w:sz="0" w:space="0" w:color="auto"/>
        <w:left w:val="none" w:sz="0" w:space="0" w:color="auto"/>
        <w:bottom w:val="none" w:sz="0" w:space="0" w:color="auto"/>
        <w:right w:val="none" w:sz="0" w:space="0" w:color="auto"/>
      </w:divBdr>
    </w:div>
    <w:div w:id="1601909754">
      <w:bodyDiv w:val="1"/>
      <w:marLeft w:val="0"/>
      <w:marRight w:val="0"/>
      <w:marTop w:val="0"/>
      <w:marBottom w:val="0"/>
      <w:divBdr>
        <w:top w:val="none" w:sz="0" w:space="0" w:color="auto"/>
        <w:left w:val="none" w:sz="0" w:space="0" w:color="auto"/>
        <w:bottom w:val="none" w:sz="0" w:space="0" w:color="auto"/>
        <w:right w:val="none" w:sz="0" w:space="0" w:color="auto"/>
      </w:divBdr>
    </w:div>
    <w:div w:id="1609310525">
      <w:bodyDiv w:val="1"/>
      <w:marLeft w:val="0"/>
      <w:marRight w:val="0"/>
      <w:marTop w:val="0"/>
      <w:marBottom w:val="0"/>
      <w:divBdr>
        <w:top w:val="none" w:sz="0" w:space="0" w:color="auto"/>
        <w:left w:val="none" w:sz="0" w:space="0" w:color="auto"/>
        <w:bottom w:val="none" w:sz="0" w:space="0" w:color="auto"/>
        <w:right w:val="none" w:sz="0" w:space="0" w:color="auto"/>
      </w:divBdr>
    </w:div>
    <w:div w:id="1661733222">
      <w:bodyDiv w:val="1"/>
      <w:marLeft w:val="0"/>
      <w:marRight w:val="0"/>
      <w:marTop w:val="0"/>
      <w:marBottom w:val="0"/>
      <w:divBdr>
        <w:top w:val="none" w:sz="0" w:space="0" w:color="auto"/>
        <w:left w:val="none" w:sz="0" w:space="0" w:color="auto"/>
        <w:bottom w:val="none" w:sz="0" w:space="0" w:color="auto"/>
        <w:right w:val="none" w:sz="0" w:space="0" w:color="auto"/>
      </w:divBdr>
    </w:div>
    <w:div w:id="1778601785">
      <w:bodyDiv w:val="1"/>
      <w:marLeft w:val="0"/>
      <w:marRight w:val="0"/>
      <w:marTop w:val="0"/>
      <w:marBottom w:val="0"/>
      <w:divBdr>
        <w:top w:val="none" w:sz="0" w:space="0" w:color="auto"/>
        <w:left w:val="none" w:sz="0" w:space="0" w:color="auto"/>
        <w:bottom w:val="none" w:sz="0" w:space="0" w:color="auto"/>
        <w:right w:val="none" w:sz="0" w:space="0" w:color="auto"/>
      </w:divBdr>
    </w:div>
    <w:div w:id="1822579885">
      <w:bodyDiv w:val="1"/>
      <w:marLeft w:val="0"/>
      <w:marRight w:val="0"/>
      <w:marTop w:val="0"/>
      <w:marBottom w:val="0"/>
      <w:divBdr>
        <w:top w:val="none" w:sz="0" w:space="0" w:color="auto"/>
        <w:left w:val="none" w:sz="0" w:space="0" w:color="auto"/>
        <w:bottom w:val="none" w:sz="0" w:space="0" w:color="auto"/>
        <w:right w:val="none" w:sz="0" w:space="0" w:color="auto"/>
      </w:divBdr>
    </w:div>
    <w:div w:id="1883668096">
      <w:bodyDiv w:val="1"/>
      <w:marLeft w:val="0"/>
      <w:marRight w:val="0"/>
      <w:marTop w:val="0"/>
      <w:marBottom w:val="0"/>
      <w:divBdr>
        <w:top w:val="none" w:sz="0" w:space="0" w:color="auto"/>
        <w:left w:val="none" w:sz="0" w:space="0" w:color="auto"/>
        <w:bottom w:val="none" w:sz="0" w:space="0" w:color="auto"/>
        <w:right w:val="none" w:sz="0" w:space="0" w:color="auto"/>
      </w:divBdr>
      <w:divsChild>
        <w:div w:id="842859837">
          <w:marLeft w:val="0"/>
          <w:marRight w:val="0"/>
          <w:marTop w:val="0"/>
          <w:marBottom w:val="0"/>
          <w:divBdr>
            <w:top w:val="none" w:sz="0" w:space="0" w:color="auto"/>
            <w:left w:val="none" w:sz="0" w:space="0" w:color="auto"/>
            <w:bottom w:val="none" w:sz="0" w:space="0" w:color="auto"/>
            <w:right w:val="none" w:sz="0" w:space="0" w:color="auto"/>
          </w:divBdr>
        </w:div>
      </w:divsChild>
    </w:div>
    <w:div w:id="1900362582">
      <w:bodyDiv w:val="1"/>
      <w:marLeft w:val="0"/>
      <w:marRight w:val="0"/>
      <w:marTop w:val="0"/>
      <w:marBottom w:val="0"/>
      <w:divBdr>
        <w:top w:val="none" w:sz="0" w:space="0" w:color="auto"/>
        <w:left w:val="none" w:sz="0" w:space="0" w:color="auto"/>
        <w:bottom w:val="none" w:sz="0" w:space="0" w:color="auto"/>
        <w:right w:val="none" w:sz="0" w:space="0" w:color="auto"/>
      </w:divBdr>
    </w:div>
    <w:div w:id="1981572523">
      <w:bodyDiv w:val="1"/>
      <w:marLeft w:val="0"/>
      <w:marRight w:val="0"/>
      <w:marTop w:val="0"/>
      <w:marBottom w:val="0"/>
      <w:divBdr>
        <w:top w:val="none" w:sz="0" w:space="0" w:color="auto"/>
        <w:left w:val="none" w:sz="0" w:space="0" w:color="auto"/>
        <w:bottom w:val="none" w:sz="0" w:space="0" w:color="auto"/>
        <w:right w:val="none" w:sz="0" w:space="0" w:color="auto"/>
      </w:divBdr>
    </w:div>
    <w:div w:id="2054428773">
      <w:bodyDiv w:val="1"/>
      <w:marLeft w:val="0"/>
      <w:marRight w:val="0"/>
      <w:marTop w:val="0"/>
      <w:marBottom w:val="0"/>
      <w:divBdr>
        <w:top w:val="none" w:sz="0" w:space="0" w:color="auto"/>
        <w:left w:val="none" w:sz="0" w:space="0" w:color="auto"/>
        <w:bottom w:val="none" w:sz="0" w:space="0" w:color="auto"/>
        <w:right w:val="none" w:sz="0" w:space="0" w:color="auto"/>
      </w:divBdr>
    </w:div>
    <w:div w:id="2062970749">
      <w:bodyDiv w:val="1"/>
      <w:marLeft w:val="0"/>
      <w:marRight w:val="0"/>
      <w:marTop w:val="0"/>
      <w:marBottom w:val="0"/>
      <w:divBdr>
        <w:top w:val="none" w:sz="0" w:space="0" w:color="auto"/>
        <w:left w:val="none" w:sz="0" w:space="0" w:color="auto"/>
        <w:bottom w:val="none" w:sz="0" w:space="0" w:color="auto"/>
        <w:right w:val="none" w:sz="0" w:space="0" w:color="auto"/>
      </w:divBdr>
    </w:div>
    <w:div w:id="2070496946">
      <w:bodyDiv w:val="1"/>
      <w:marLeft w:val="0"/>
      <w:marRight w:val="0"/>
      <w:marTop w:val="0"/>
      <w:marBottom w:val="0"/>
      <w:divBdr>
        <w:top w:val="none" w:sz="0" w:space="0" w:color="auto"/>
        <w:left w:val="none" w:sz="0" w:space="0" w:color="auto"/>
        <w:bottom w:val="none" w:sz="0" w:space="0" w:color="auto"/>
        <w:right w:val="none" w:sz="0" w:space="0" w:color="auto"/>
      </w:divBdr>
    </w:div>
    <w:div w:id="2071885322">
      <w:bodyDiv w:val="1"/>
      <w:marLeft w:val="0"/>
      <w:marRight w:val="0"/>
      <w:marTop w:val="0"/>
      <w:marBottom w:val="0"/>
      <w:divBdr>
        <w:top w:val="none" w:sz="0" w:space="0" w:color="auto"/>
        <w:left w:val="none" w:sz="0" w:space="0" w:color="auto"/>
        <w:bottom w:val="none" w:sz="0" w:space="0" w:color="auto"/>
        <w:right w:val="none" w:sz="0" w:space="0" w:color="auto"/>
      </w:divBdr>
    </w:div>
    <w:div w:id="211616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10</Pages>
  <Words>3395</Words>
  <Characters>19355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Dye</dc:creator>
  <cp:keywords/>
  <dc:description/>
  <cp:lastModifiedBy>Emily Dye</cp:lastModifiedBy>
  <cp:revision>115</cp:revision>
  <dcterms:created xsi:type="dcterms:W3CDTF">2025-02-24T21:38:00Z</dcterms:created>
  <dcterms:modified xsi:type="dcterms:W3CDTF">2025-03-02T21:50:00Z</dcterms:modified>
</cp:coreProperties>
</file>