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177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43"/>
        <w:gridCol w:w="3798"/>
        <w:gridCol w:w="2268"/>
        <w:gridCol w:w="2268"/>
      </w:tblGrid>
      <w:tr w:rsidR="004205FA" w:rsidRPr="00240C02" w14:paraId="28719786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7B044973" w14:textId="7F222B9A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proofErr w:type="spellStart"/>
            <w:r w:rsidRPr="00240C02">
              <w:rPr>
                <w:rFonts w:cs="Arial"/>
                <w:b/>
                <w:szCs w:val="22"/>
              </w:rPr>
              <w:t>Programme</w:t>
            </w:r>
            <w:proofErr w:type="spellEnd"/>
          </w:p>
        </w:tc>
        <w:tc>
          <w:tcPr>
            <w:tcW w:w="8334" w:type="dxa"/>
            <w:gridSpan w:val="3"/>
            <w:vAlign w:val="center"/>
          </w:tcPr>
          <w:p w14:paraId="6E82BBF5" w14:textId="77777777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BSc Health and Social Care</w:t>
            </w:r>
          </w:p>
        </w:tc>
      </w:tr>
      <w:tr w:rsidR="00BC44DA" w:rsidRPr="00240C02" w14:paraId="38911EC5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6A0C07B2" w14:textId="29537772" w:rsidR="00BC44DA" w:rsidRPr="00240C02" w:rsidRDefault="00BC44D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Student ID</w:t>
            </w:r>
          </w:p>
        </w:tc>
        <w:tc>
          <w:tcPr>
            <w:tcW w:w="8334" w:type="dxa"/>
            <w:gridSpan w:val="3"/>
            <w:vAlign w:val="center"/>
          </w:tcPr>
          <w:p w14:paraId="6A903012" w14:textId="3A6CF095" w:rsidR="00BC44DA" w:rsidRPr="00240C02" w:rsidRDefault="00B63D22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2421930</w:t>
            </w:r>
          </w:p>
        </w:tc>
      </w:tr>
      <w:tr w:rsidR="004205FA" w:rsidRPr="00240C02" w14:paraId="4BC6E4C9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28CEAA5A" w14:textId="4BF7DE91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Module</w:t>
            </w:r>
          </w:p>
        </w:tc>
        <w:tc>
          <w:tcPr>
            <w:tcW w:w="8334" w:type="dxa"/>
            <w:gridSpan w:val="3"/>
            <w:vAlign w:val="center"/>
          </w:tcPr>
          <w:p w14:paraId="1B69FACA" w14:textId="77777777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Introduction to Independent Research Skills</w:t>
            </w:r>
          </w:p>
        </w:tc>
      </w:tr>
      <w:tr w:rsidR="004205FA" w:rsidRPr="00240C02" w14:paraId="191DC04F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2843BED9" w14:textId="4CBB63FE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8334" w:type="dxa"/>
            <w:gridSpan w:val="3"/>
            <w:vAlign w:val="center"/>
          </w:tcPr>
          <w:p w14:paraId="582185FB" w14:textId="628921FF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BMHP5019</w:t>
            </w:r>
          </w:p>
        </w:tc>
      </w:tr>
      <w:tr w:rsidR="004205FA" w:rsidRPr="00240C02" w14:paraId="55C19F32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25674D2D" w14:textId="74B48767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Lecturer</w:t>
            </w:r>
          </w:p>
        </w:tc>
        <w:tc>
          <w:tcPr>
            <w:tcW w:w="3798" w:type="dxa"/>
            <w:vAlign w:val="center"/>
          </w:tcPr>
          <w:p w14:paraId="07086CDA" w14:textId="005666AA" w:rsidR="004205FA" w:rsidRPr="00240C02" w:rsidRDefault="004205FA" w:rsidP="00CC2895">
            <w:pPr>
              <w:spacing w:before="120" w:after="120" w:line="360" w:lineRule="auto"/>
              <w:jc w:val="both"/>
              <w:rPr>
                <w:rFonts w:cs="Arial"/>
                <w:b/>
                <w:bCs/>
                <w:szCs w:val="22"/>
              </w:rPr>
            </w:pPr>
            <w:r w:rsidRPr="00240C02">
              <w:rPr>
                <w:rFonts w:cs="Arial"/>
                <w:b/>
                <w:bCs/>
                <w:szCs w:val="22"/>
              </w:rPr>
              <w:t>Precious I</w:t>
            </w:r>
            <w:proofErr w:type="spellStart"/>
            <w:r w:rsidRPr="00240C02">
              <w:rPr>
                <w:rFonts w:cs="Arial"/>
                <w:b/>
                <w:bCs/>
                <w:szCs w:val="22"/>
              </w:rPr>
              <w:t>gbinigie</w:t>
            </w:r>
            <w:proofErr w:type="spellEnd"/>
            <w:r w:rsidRPr="00240C02">
              <w:rPr>
                <w:rFonts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2268" w:type="dxa"/>
            <w:shd w:val="clear" w:color="auto" w:fill="D9D9D9" w:themeFill="background1" w:themeFillShade="D9"/>
            <w:vAlign w:val="center"/>
          </w:tcPr>
          <w:p w14:paraId="69448ED5" w14:textId="77777777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Internal Verifier:</w:t>
            </w:r>
          </w:p>
        </w:tc>
        <w:tc>
          <w:tcPr>
            <w:tcW w:w="2268" w:type="dxa"/>
            <w:vAlign w:val="center"/>
          </w:tcPr>
          <w:p w14:paraId="06285E98" w14:textId="77777777" w:rsidR="004205FA" w:rsidRPr="00240C02" w:rsidRDefault="004205FA" w:rsidP="00CC2895">
            <w:pPr>
              <w:spacing w:before="120" w:after="120" w:line="360" w:lineRule="auto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 xml:space="preserve">Chloe Harries </w:t>
            </w:r>
          </w:p>
        </w:tc>
      </w:tr>
      <w:tr w:rsidR="004205FA" w:rsidRPr="00240C02" w14:paraId="4609DC50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000520ED" w14:textId="1B21A49B" w:rsidR="004205FA" w:rsidRPr="00240C02" w:rsidRDefault="004205F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szCs w:val="22"/>
              </w:rPr>
              <w:t>Assignment Title</w:t>
            </w:r>
          </w:p>
        </w:tc>
        <w:tc>
          <w:tcPr>
            <w:tcW w:w="8334" w:type="dxa"/>
            <w:gridSpan w:val="3"/>
            <w:vAlign w:val="center"/>
          </w:tcPr>
          <w:p w14:paraId="38B2FFBE" w14:textId="1E43C04D" w:rsidR="004205FA" w:rsidRPr="00240C02" w:rsidRDefault="004205FA" w:rsidP="004205FA">
            <w:pPr>
              <w:spacing w:before="120" w:after="120" w:line="360" w:lineRule="auto"/>
              <w:rPr>
                <w:rFonts w:cs="Arial"/>
                <w:b/>
                <w:bCs/>
                <w:szCs w:val="22"/>
              </w:rPr>
            </w:pPr>
            <w:r w:rsidRPr="00240C02">
              <w:rPr>
                <w:rFonts w:cs="Arial"/>
                <w:b/>
                <w:bCs/>
                <w:szCs w:val="22"/>
              </w:rPr>
              <w:t>Component 1:  Written Assignment (Research Proposal)</w:t>
            </w:r>
          </w:p>
        </w:tc>
      </w:tr>
      <w:tr w:rsidR="004205FA" w:rsidRPr="00240C02" w14:paraId="28E2638C" w14:textId="77777777" w:rsidTr="004205FA">
        <w:trPr>
          <w:jc w:val="center"/>
        </w:trPr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5ADA93DC" w14:textId="3B788F63" w:rsidR="004205FA" w:rsidRPr="00240C02" w:rsidRDefault="00BC44DA" w:rsidP="00CC2895">
            <w:pPr>
              <w:spacing w:before="120" w:after="120"/>
              <w:jc w:val="both"/>
              <w:rPr>
                <w:rFonts w:cs="Arial"/>
                <w:b/>
                <w:szCs w:val="22"/>
              </w:rPr>
            </w:pPr>
            <w:r w:rsidRPr="00240C02">
              <w:rPr>
                <w:rFonts w:cs="Arial"/>
                <w:b/>
                <w:bCs/>
                <w:szCs w:val="22"/>
              </w:rPr>
              <w:t>Research Proposal</w:t>
            </w:r>
          </w:p>
        </w:tc>
        <w:tc>
          <w:tcPr>
            <w:tcW w:w="8334" w:type="dxa"/>
            <w:gridSpan w:val="3"/>
            <w:vAlign w:val="center"/>
          </w:tcPr>
          <w:p w14:paraId="0E67382A" w14:textId="1701403D" w:rsidR="004205FA" w:rsidRPr="00240C02" w:rsidRDefault="0033298C" w:rsidP="004205FA">
            <w:pPr>
              <w:spacing w:before="120" w:after="120" w:line="360" w:lineRule="auto"/>
              <w:rPr>
                <w:rFonts w:cs="Arial"/>
                <w:b/>
                <w:bCs/>
                <w:szCs w:val="22"/>
              </w:rPr>
            </w:pPr>
            <w:r w:rsidRPr="00240C02">
              <w:rPr>
                <w:rFonts w:cs="Arial"/>
                <w:b/>
                <w:bCs/>
                <w:szCs w:val="22"/>
              </w:rPr>
              <w:t>Diagnostic Uncertainty and Safety-Netting in NHS Remote Primary Care Consultations: A Scoping Review of UK Evidence</w:t>
            </w:r>
          </w:p>
        </w:tc>
      </w:tr>
    </w:tbl>
    <w:p w14:paraId="2FA4009B" w14:textId="5CE2F155" w:rsidR="004205FA" w:rsidRPr="00240C02" w:rsidRDefault="004205FA">
      <w:pPr>
        <w:rPr>
          <w:rFonts w:cs="Arial"/>
        </w:rPr>
      </w:pPr>
    </w:p>
    <w:p w14:paraId="1B6AF391" w14:textId="77777777" w:rsidR="00240C02" w:rsidRDefault="00240C02">
      <w:pPr>
        <w:spacing w:after="160" w:line="278" w:lineRule="auto"/>
        <w:rPr>
          <w:rFonts w:cs="Arial"/>
        </w:rPr>
      </w:pPr>
      <w:r>
        <w:rPr>
          <w:rFonts w:cs="Arial"/>
        </w:rPr>
        <w:br w:type="page"/>
      </w:r>
    </w:p>
    <w:sdt>
      <w:sdtPr>
        <w:rPr>
          <w:rFonts w:ascii="Arial" w:eastAsiaTheme="minorHAnsi" w:hAnsi="Arial" w:cs="Times New Roman"/>
          <w:color w:val="auto"/>
          <w:sz w:val="22"/>
          <w:szCs w:val="20"/>
          <w:lang w:val="en-GB"/>
        </w:rPr>
        <w:id w:val="80003664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F7AF7BB" w14:textId="57A97E18" w:rsidR="00240C02" w:rsidRPr="00240C02" w:rsidRDefault="00240C02" w:rsidP="00240C02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</w:rPr>
          </w:pPr>
          <w:r w:rsidRPr="00240C02">
            <w:rPr>
              <w:rFonts w:ascii="Arial" w:hAnsi="Arial" w:cs="Arial"/>
              <w:b/>
              <w:bCs/>
              <w:color w:val="auto"/>
              <w:lang w:val="en-GB"/>
            </w:rPr>
            <w:t>Contents</w:t>
          </w:r>
        </w:p>
        <w:p w14:paraId="3301E283" w14:textId="5BFBAB6B" w:rsidR="00080A92" w:rsidRDefault="00240C0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1498087" w:history="1">
            <w:r w:rsidR="00080A92" w:rsidRPr="00F22290">
              <w:rPr>
                <w:rStyle w:val="Hyperlink"/>
                <w:rFonts w:cs="Arial"/>
                <w:b/>
                <w:bCs/>
                <w:noProof/>
              </w:rPr>
              <w:t>Review Question</w:t>
            </w:r>
            <w:r w:rsidR="00080A92">
              <w:rPr>
                <w:noProof/>
                <w:webHidden/>
              </w:rPr>
              <w:tab/>
            </w:r>
            <w:r w:rsidR="00080A92">
              <w:rPr>
                <w:noProof/>
                <w:webHidden/>
              </w:rPr>
              <w:fldChar w:fldCharType="begin"/>
            </w:r>
            <w:r w:rsidR="00080A92">
              <w:rPr>
                <w:noProof/>
                <w:webHidden/>
              </w:rPr>
              <w:instrText xml:space="preserve"> PAGEREF _Toc241498087 \h </w:instrText>
            </w:r>
            <w:r w:rsidR="00080A92">
              <w:rPr>
                <w:noProof/>
                <w:webHidden/>
              </w:rPr>
            </w:r>
            <w:r w:rsidR="00080A92">
              <w:rPr>
                <w:noProof/>
                <w:webHidden/>
              </w:rPr>
              <w:fldChar w:fldCharType="separate"/>
            </w:r>
            <w:r w:rsidR="00080A92">
              <w:rPr>
                <w:noProof/>
                <w:webHidden/>
              </w:rPr>
              <w:t>1</w:t>
            </w:r>
            <w:r w:rsidR="00080A92">
              <w:rPr>
                <w:noProof/>
                <w:webHidden/>
              </w:rPr>
              <w:fldChar w:fldCharType="end"/>
            </w:r>
          </w:hyperlink>
        </w:p>
        <w:p w14:paraId="6A5B96A0" w14:textId="592CF33C" w:rsidR="00080A92" w:rsidRDefault="00080A9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1498088" w:history="1">
            <w:r w:rsidRPr="00F22290">
              <w:rPr>
                <w:rStyle w:val="Hyperlink"/>
                <w:rFonts w:cs="Arial"/>
                <w:b/>
                <w:bCs/>
                <w:noProof/>
              </w:rPr>
              <w:t>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_Toc241498088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E6C90" w14:textId="34B53697" w:rsidR="00080A92" w:rsidRDefault="00080A9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1498089" w:history="1">
            <w:r w:rsidRPr="00F22290">
              <w:rPr>
                <w:rStyle w:val="Hyperlink"/>
                <w:rFonts w:cs="Arial"/>
                <w:b/>
                <w:bCs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_Toc241498089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87B47D" w14:textId="2D9A5560" w:rsidR="00080A92" w:rsidRDefault="00080A9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1498090" w:history="1">
            <w:r w:rsidRPr="00F22290">
              <w:rPr>
                <w:rStyle w:val="Hyperlink"/>
                <w:rFonts w:cs="Arial"/>
                <w:b/>
                <w:bCs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_Toc241498090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419FD" w14:textId="278F966A" w:rsidR="00080A92" w:rsidRDefault="00080A9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1498091" w:history="1">
            <w:r w:rsidRPr="00F22290">
              <w:rPr>
                <w:rStyle w:val="Hyperlink"/>
                <w:rFonts w:cs="Arial"/>
                <w:b/>
                <w:bCs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_Toc241498091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060567" w14:textId="31FED040" w:rsidR="00080A92" w:rsidRDefault="00080A9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1498092" w:history="1">
            <w:r w:rsidRPr="00F22290">
              <w:rPr>
                <w:rStyle w:val="Hyperlink"/>
                <w:rFonts w:cs="Arial"/>
                <w:b/>
                <w:bCs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_Toc241498092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0A426C" w14:textId="548B0476" w:rsidR="00080A92" w:rsidRDefault="00080A9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1498093" w:history="1">
            <w:r w:rsidRPr="00F22290">
              <w:rPr>
                <w:rStyle w:val="Hyperlink"/>
                <w:rFonts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_Toc241498093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E868A" w14:textId="73A2E267" w:rsidR="00240C02" w:rsidRDefault="00240C02">
          <w:r>
            <w:rPr>
              <w:b/>
              <w:bCs/>
              <w:lang w:val="en-GB"/>
            </w:rPr>
            <w:fldChar w:fldCharType="end"/>
          </w:r>
        </w:p>
      </w:sdtContent>
    </w:sdt>
    <w:p w14:paraId="147638C8" w14:textId="59C95266" w:rsidR="007058E3" w:rsidRPr="00240C02" w:rsidRDefault="007058E3">
      <w:pPr>
        <w:spacing w:after="160" w:line="278" w:lineRule="auto"/>
        <w:rPr>
          <w:rFonts w:cs="Arial"/>
        </w:rPr>
      </w:pPr>
      <w:r w:rsidRPr="00240C02">
        <w:rPr>
          <w:rFonts w:cs="Arial"/>
        </w:rPr>
        <w:br w:type="page"/>
      </w:r>
    </w:p>
    <w:p w14:paraId="7445415C" w14:textId="77777777" w:rsidR="00240C02" w:rsidRDefault="00240C02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  <w:sectPr w:rsidR="00240C02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4F7311AF" w14:textId="77777777" w:rsidR="0033298C" w:rsidRPr="00240C02" w:rsidRDefault="0033298C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0" w:name="_Toc241498087"/>
      <w:r w:rsidRPr="00240C02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Review Question</w:t>
      </w:r>
      <w:bookmarkEnd w:id="0"/>
    </w:p>
    <w:p w14:paraId="0C7A4FC7" w14:textId="77777777" w:rsidR="0033298C" w:rsidRPr="0033298C" w:rsidRDefault="0033298C" w:rsidP="0033298C">
      <w:pPr>
        <w:spacing w:after="160" w:line="360" w:lineRule="auto"/>
        <w:jc w:val="both"/>
        <w:rPr>
          <w:rFonts w:cs="Arial"/>
        </w:rPr>
      </w:pPr>
      <w:r w:rsidRPr="0033298C">
        <w:rPr>
          <w:rFonts w:cs="Arial"/>
        </w:rPr>
        <w:t>How is diagnostic uncertainty managed through safety-netting in NHS remote primary care consultations, and what patient-safety concerns are reported in UK evidence?</w:t>
      </w:r>
    </w:p>
    <w:p w14:paraId="4B5339AB" w14:textId="77777777" w:rsidR="0033298C" w:rsidRPr="00240C02" w:rsidRDefault="0033298C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1" w:name="_Toc241498088"/>
      <w:r w:rsidRPr="00240C02">
        <w:rPr>
          <w:rFonts w:ascii="Arial" w:hAnsi="Arial" w:cs="Arial"/>
          <w:b/>
          <w:bCs/>
          <w:color w:val="auto"/>
          <w:sz w:val="32"/>
          <w:szCs w:val="32"/>
        </w:rPr>
        <w:t>Aim</w:t>
      </w:r>
      <w:bookmarkEnd w:id="1"/>
    </w:p>
    <w:p w14:paraId="52D82DAF" w14:textId="1D8D6AFB" w:rsidR="0033298C" w:rsidRPr="0033298C" w:rsidRDefault="0033298C" w:rsidP="0033298C">
      <w:pPr>
        <w:spacing w:after="160" w:line="360" w:lineRule="auto"/>
        <w:jc w:val="both"/>
        <w:rPr>
          <w:rFonts w:cs="Arial"/>
        </w:rPr>
      </w:pPr>
      <w:r w:rsidRPr="0033298C">
        <w:rPr>
          <w:rFonts w:cs="Arial"/>
        </w:rPr>
        <w:t>T</w:t>
      </w:r>
      <w:r w:rsidR="00AA4947">
        <w:rPr>
          <w:rFonts w:cs="Arial"/>
        </w:rPr>
        <w:t>he study aims t</w:t>
      </w:r>
      <w:r w:rsidRPr="0033298C">
        <w:rPr>
          <w:rFonts w:cs="Arial"/>
        </w:rPr>
        <w:t xml:space="preserve">o </w:t>
      </w:r>
      <w:r w:rsidR="00AA4947" w:rsidRPr="00AA4947">
        <w:rPr>
          <w:rFonts w:cs="Arial"/>
        </w:rPr>
        <w:t xml:space="preserve">document UK evidence to demonstrate the management of diagnostic uncertainty and </w:t>
      </w:r>
      <w:r w:rsidR="003D4BA8">
        <w:rPr>
          <w:rFonts w:cs="Arial"/>
        </w:rPr>
        <w:t>safety-netting</w:t>
      </w:r>
      <w:r w:rsidR="00AA4947" w:rsidRPr="00AA4947">
        <w:rPr>
          <w:rFonts w:cs="Arial"/>
        </w:rPr>
        <w:t xml:space="preserve"> in NHS remote primary care consultations</w:t>
      </w:r>
      <w:r w:rsidRPr="0033298C">
        <w:rPr>
          <w:rFonts w:cs="Arial"/>
        </w:rPr>
        <w:t>.</w:t>
      </w:r>
    </w:p>
    <w:p w14:paraId="4A5D873D" w14:textId="77777777" w:rsidR="0033298C" w:rsidRPr="00240C02" w:rsidRDefault="0033298C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2" w:name="_Toc241498089"/>
      <w:r w:rsidRPr="00240C02">
        <w:rPr>
          <w:rFonts w:ascii="Arial" w:hAnsi="Arial" w:cs="Arial"/>
          <w:b/>
          <w:bCs/>
          <w:color w:val="auto"/>
          <w:sz w:val="32"/>
          <w:szCs w:val="32"/>
        </w:rPr>
        <w:t>Objectives</w:t>
      </w:r>
      <w:bookmarkEnd w:id="2"/>
    </w:p>
    <w:p w14:paraId="011A01E3" w14:textId="69BC7693" w:rsidR="0033298C" w:rsidRPr="0033298C" w:rsidRDefault="00377557" w:rsidP="0033298C">
      <w:pPr>
        <w:numPr>
          <w:ilvl w:val="0"/>
          <w:numId w:val="3"/>
        </w:numPr>
        <w:spacing w:after="160" w:line="360" w:lineRule="auto"/>
        <w:jc w:val="both"/>
        <w:rPr>
          <w:rFonts w:cs="Arial"/>
        </w:rPr>
      </w:pPr>
      <w:r w:rsidRPr="00377557">
        <w:rPr>
          <w:rFonts w:cs="Arial"/>
        </w:rPr>
        <w:t>To determine reported strategies for safety-netting where a diagnosis is not certain during a remote consultation</w:t>
      </w:r>
      <w:r w:rsidR="0033298C" w:rsidRPr="0033298C">
        <w:rPr>
          <w:rFonts w:cs="Arial"/>
        </w:rPr>
        <w:t>.</w:t>
      </w:r>
    </w:p>
    <w:p w14:paraId="5DC702F5" w14:textId="132A972F" w:rsidR="0033298C" w:rsidRPr="0033298C" w:rsidRDefault="0033298C" w:rsidP="0033298C">
      <w:pPr>
        <w:numPr>
          <w:ilvl w:val="0"/>
          <w:numId w:val="3"/>
        </w:numPr>
        <w:spacing w:after="160" w:line="360" w:lineRule="auto"/>
        <w:jc w:val="both"/>
        <w:rPr>
          <w:rFonts w:cs="Arial"/>
        </w:rPr>
      </w:pPr>
      <w:r w:rsidRPr="0033298C">
        <w:rPr>
          <w:rFonts w:cs="Arial"/>
        </w:rPr>
        <w:t xml:space="preserve">To </w:t>
      </w:r>
      <w:r w:rsidR="00377557">
        <w:rPr>
          <w:rFonts w:cs="Arial"/>
        </w:rPr>
        <w:t>identify</w:t>
      </w:r>
      <w:r w:rsidRPr="0033298C">
        <w:rPr>
          <w:rFonts w:cs="Arial"/>
        </w:rPr>
        <w:t xml:space="preserve"> patient-safety concerns associated with </w:t>
      </w:r>
      <w:r w:rsidR="00377557" w:rsidRPr="0033298C">
        <w:rPr>
          <w:rFonts w:cs="Arial"/>
        </w:rPr>
        <w:t>insufficient</w:t>
      </w:r>
      <w:r w:rsidRPr="0033298C">
        <w:rPr>
          <w:rFonts w:cs="Arial"/>
        </w:rPr>
        <w:t xml:space="preserve"> safety-netting</w:t>
      </w:r>
      <w:r w:rsidR="00377557">
        <w:rPr>
          <w:rFonts w:cs="Arial"/>
        </w:rPr>
        <w:t xml:space="preserve"> and </w:t>
      </w:r>
      <w:r w:rsidR="00377557" w:rsidRPr="0033298C">
        <w:rPr>
          <w:rFonts w:cs="Arial"/>
        </w:rPr>
        <w:t>diagnostic uncertainty</w:t>
      </w:r>
      <w:r w:rsidRPr="0033298C">
        <w:rPr>
          <w:rFonts w:cs="Arial"/>
        </w:rPr>
        <w:t>.</w:t>
      </w:r>
    </w:p>
    <w:p w14:paraId="36C95243" w14:textId="4426D89D" w:rsidR="0033298C" w:rsidRPr="0033298C" w:rsidRDefault="00B629F4" w:rsidP="0033298C">
      <w:pPr>
        <w:numPr>
          <w:ilvl w:val="0"/>
          <w:numId w:val="3"/>
        </w:numPr>
        <w:spacing w:after="160" w:line="360" w:lineRule="auto"/>
        <w:jc w:val="both"/>
        <w:rPr>
          <w:rFonts w:cs="Arial"/>
        </w:rPr>
      </w:pPr>
      <w:r w:rsidRPr="00B629F4">
        <w:rPr>
          <w:rFonts w:cs="Arial"/>
        </w:rPr>
        <w:t>To explore implications for safer remote consultations in NHS primary care</w:t>
      </w:r>
      <w:r w:rsidR="0033298C" w:rsidRPr="0033298C">
        <w:rPr>
          <w:rFonts w:cs="Arial"/>
        </w:rPr>
        <w:t>.</w:t>
      </w:r>
    </w:p>
    <w:p w14:paraId="6465B0CD" w14:textId="77777777" w:rsidR="0033298C" w:rsidRPr="00240C02" w:rsidRDefault="0033298C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3" w:name="_Toc241498090"/>
      <w:r w:rsidRPr="00240C02">
        <w:rPr>
          <w:rFonts w:ascii="Arial" w:hAnsi="Arial" w:cs="Arial"/>
          <w:b/>
          <w:bCs/>
          <w:color w:val="auto"/>
          <w:sz w:val="32"/>
          <w:szCs w:val="32"/>
        </w:rPr>
        <w:t>Rationale</w:t>
      </w:r>
      <w:bookmarkEnd w:id="3"/>
    </w:p>
    <w:p w14:paraId="2C3C87DC" w14:textId="57A86577" w:rsidR="0033298C" w:rsidRPr="0033298C" w:rsidRDefault="009C624F" w:rsidP="0033298C">
      <w:pPr>
        <w:spacing w:after="160" w:line="360" w:lineRule="auto"/>
        <w:jc w:val="both"/>
        <w:rPr>
          <w:rFonts w:cs="Arial"/>
        </w:rPr>
      </w:pPr>
      <w:r w:rsidRPr="009C624F">
        <w:rPr>
          <w:rFonts w:cs="Arial"/>
        </w:rPr>
        <w:t>When conducting a remote consultation, physical examination may be limited</w:t>
      </w:r>
      <w:r w:rsidR="003D4BA8">
        <w:rPr>
          <w:rFonts w:cs="Arial"/>
        </w:rPr>
        <w:t>,</w:t>
      </w:r>
      <w:r w:rsidRPr="009C624F">
        <w:rPr>
          <w:rFonts w:cs="Arial"/>
        </w:rPr>
        <w:t xml:space="preserve"> and clinical decisions could be more difficult</w:t>
      </w:r>
      <w:r w:rsidR="00E732B5">
        <w:rPr>
          <w:rFonts w:cs="Arial"/>
        </w:rPr>
        <w:t xml:space="preserve"> </w:t>
      </w:r>
      <w:r w:rsidR="00E732B5" w:rsidRPr="00E732B5">
        <w:rPr>
          <w:rFonts w:cs="Arial"/>
        </w:rPr>
        <w:t>(</w:t>
      </w:r>
      <w:proofErr w:type="spellStart"/>
      <w:r w:rsidR="00E732B5" w:rsidRPr="000F2491">
        <w:t>Khanji</w:t>
      </w:r>
      <w:proofErr w:type="spellEnd"/>
      <w:r w:rsidR="00E732B5" w:rsidRPr="000F2491">
        <w:t xml:space="preserve"> et al., 2023)</w:t>
      </w:r>
      <w:r w:rsidRPr="000F2491">
        <w:t>. Limited clinical assessment and insufficient safety-netting are amongst different factors associa</w:t>
      </w:r>
      <w:r w:rsidRPr="009C624F">
        <w:rPr>
          <w:rFonts w:cs="Arial"/>
        </w:rPr>
        <w:t xml:space="preserve">ted with missed or delayed diagnosis in UK primary care identified by Payne et al. (2024). </w:t>
      </w:r>
      <w:r w:rsidR="000F2491" w:rsidRPr="000F2491">
        <w:rPr>
          <w:rFonts w:cs="Arial"/>
        </w:rPr>
        <w:t xml:space="preserve">Russell </w:t>
      </w:r>
      <w:r w:rsidRPr="009C624F">
        <w:rPr>
          <w:rFonts w:cs="Arial"/>
        </w:rPr>
        <w:t xml:space="preserve">et al. (2024) also investigated primary care physician communication and management of diagnostic uncertainty within a UK study. This mapping of evidence can support health professionals' </w:t>
      </w:r>
      <w:r w:rsidR="003D4BA8">
        <w:rPr>
          <w:rFonts w:cs="Arial"/>
        </w:rPr>
        <w:t>decision-making for follow-up</w:t>
      </w:r>
      <w:r w:rsidRPr="009C624F">
        <w:rPr>
          <w:rFonts w:cs="Arial"/>
        </w:rPr>
        <w:t>, escalation, and safer remote care</w:t>
      </w:r>
      <w:r w:rsidR="0033298C" w:rsidRPr="0033298C">
        <w:rPr>
          <w:rFonts w:cs="Arial"/>
        </w:rPr>
        <w:t>.</w:t>
      </w:r>
    </w:p>
    <w:p w14:paraId="2934BF2A" w14:textId="77777777" w:rsidR="0033298C" w:rsidRPr="00240C02" w:rsidRDefault="0033298C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4" w:name="_Toc241498091"/>
      <w:r w:rsidRPr="00240C02">
        <w:rPr>
          <w:rFonts w:ascii="Arial" w:hAnsi="Arial" w:cs="Arial"/>
          <w:b/>
          <w:bCs/>
          <w:color w:val="auto"/>
          <w:sz w:val="32"/>
          <w:szCs w:val="32"/>
        </w:rPr>
        <w:t>Methods</w:t>
      </w:r>
      <w:bookmarkEnd w:id="4"/>
    </w:p>
    <w:p w14:paraId="67968998" w14:textId="386CC46F" w:rsidR="0033298C" w:rsidRPr="0033298C" w:rsidRDefault="00542ACF" w:rsidP="0033298C">
      <w:pPr>
        <w:spacing w:after="160" w:line="360" w:lineRule="auto"/>
        <w:jc w:val="both"/>
        <w:rPr>
          <w:rFonts w:cs="Arial"/>
        </w:rPr>
      </w:pPr>
      <w:r w:rsidRPr="00542ACF">
        <w:rPr>
          <w:rFonts w:cs="Arial"/>
        </w:rPr>
        <w:t>A scoping review will be conducted, in accordance with the Joanna Briggs Institute (JBI) guidelines</w:t>
      </w:r>
      <w:r w:rsidR="00DC2DB5">
        <w:rPr>
          <w:rFonts w:cs="Arial"/>
        </w:rPr>
        <w:t xml:space="preserve"> (</w:t>
      </w:r>
      <w:r w:rsidR="00DC2DB5" w:rsidRPr="00ED6A3F">
        <w:rPr>
          <w:bCs/>
        </w:rPr>
        <w:t>Pollock</w:t>
      </w:r>
      <w:r w:rsidR="00DC2DB5">
        <w:rPr>
          <w:bCs/>
        </w:rPr>
        <w:t xml:space="preserve"> et al., 2026)</w:t>
      </w:r>
      <w:r w:rsidRPr="00542ACF">
        <w:rPr>
          <w:rFonts w:cs="Arial"/>
        </w:rPr>
        <w:t>, and will be reported using the PRISMA-</w:t>
      </w:r>
      <w:proofErr w:type="spellStart"/>
      <w:r w:rsidRPr="00542ACF">
        <w:rPr>
          <w:rFonts w:cs="Arial"/>
        </w:rPr>
        <w:t>ScR</w:t>
      </w:r>
      <w:proofErr w:type="spellEnd"/>
      <w:r w:rsidR="00DC2DB5">
        <w:rPr>
          <w:rFonts w:cs="Arial"/>
        </w:rPr>
        <w:t xml:space="preserve"> (</w:t>
      </w:r>
      <w:proofErr w:type="spellStart"/>
      <w:r w:rsidR="00DC2DB5" w:rsidRPr="00ED6A3F">
        <w:rPr>
          <w:bCs/>
        </w:rPr>
        <w:t>Tricco</w:t>
      </w:r>
      <w:proofErr w:type="spellEnd"/>
      <w:r w:rsidR="00DC2DB5">
        <w:rPr>
          <w:bCs/>
        </w:rPr>
        <w:t xml:space="preserve"> et al., 2018)</w:t>
      </w:r>
      <w:r w:rsidRPr="00542ACF">
        <w:rPr>
          <w:rFonts w:cs="Arial"/>
        </w:rPr>
        <w:t>. A pragmatic research philosophy will support numerical evidence mapping and qualitative analysis</w:t>
      </w:r>
      <w:r w:rsidR="003D4BA8">
        <w:rPr>
          <w:rFonts w:cs="Arial"/>
        </w:rPr>
        <w:t>, with an overall focus on a primarily inductive approach to describe patterns in</w:t>
      </w:r>
      <w:r w:rsidRPr="00542ACF">
        <w:rPr>
          <w:rFonts w:cs="Arial"/>
        </w:rPr>
        <w:t xml:space="preserve"> the </w:t>
      </w:r>
      <w:r w:rsidRPr="00542ACF">
        <w:rPr>
          <w:rFonts w:cs="Arial"/>
        </w:rPr>
        <w:lastRenderedPageBreak/>
        <w:t>literature. The methodological approach will involve descriptive quantitative summaries and content analysis</w:t>
      </w:r>
      <w:r w:rsidR="00DC2DB5">
        <w:rPr>
          <w:rFonts w:cs="Arial"/>
        </w:rPr>
        <w:t xml:space="preserve"> </w:t>
      </w:r>
      <w:r w:rsidR="00DC2DB5" w:rsidRPr="00DC2DB5">
        <w:rPr>
          <w:rFonts w:cs="Arial"/>
        </w:rPr>
        <w:t>(</w:t>
      </w:r>
      <w:proofErr w:type="spellStart"/>
      <w:r w:rsidR="00DC2DB5" w:rsidRPr="00DC2DB5">
        <w:rPr>
          <w:rFonts w:cs="Arial"/>
        </w:rPr>
        <w:t>Tri</w:t>
      </w:r>
      <w:r w:rsidR="00DC2DB5" w:rsidRPr="00DC2DB5">
        <w:t>cco</w:t>
      </w:r>
      <w:proofErr w:type="spellEnd"/>
      <w:r w:rsidR="00DC2DB5" w:rsidRPr="00DC2DB5">
        <w:t xml:space="preserve"> et al., 2016)</w:t>
      </w:r>
      <w:r w:rsidRPr="00DC2DB5">
        <w:t xml:space="preserve">. Primary and secondary studies published </w:t>
      </w:r>
      <w:r w:rsidR="003D4BA8" w:rsidRPr="00DC2DB5">
        <w:t>in</w:t>
      </w:r>
      <w:r w:rsidRPr="00DC2DB5">
        <w:t xml:space="preserve"> the PubMed/MEDLINE and Scopus databases from 2020 to 2026 will be searched for peer-reviewed studies. Titles, abstracts and full texts will then be subjected to a screening based on pre-established eligibility criteria after</w:t>
      </w:r>
      <w:r w:rsidRPr="00542ACF">
        <w:rPr>
          <w:rFonts w:cs="Arial"/>
        </w:rPr>
        <w:t xml:space="preserve"> the deduplication process. Data will be charted on a structured spreadsheet to document study characteristics, consultation types, safety-netting approaches and reported safety concerns. Data analysis will include (1) frequencies of study designs, type of consultation, and safety concerns raised; (2) coding safety/situation findings into categories of consultation, such as giving follow-up advice, instructing escalation and missed opportunities for </w:t>
      </w:r>
      <w:r w:rsidR="003D4BA8">
        <w:rPr>
          <w:rFonts w:cs="Arial"/>
        </w:rPr>
        <w:t>safety-netting</w:t>
      </w:r>
      <w:r w:rsidRPr="00542ACF">
        <w:rPr>
          <w:rFonts w:cs="Arial"/>
        </w:rPr>
        <w:t>; and (3) comparing categories across studies looking for common themes and gaps in evidence. Results will be discussed in the form of tables and a descriptive story. Formal quality appraisal will not be conducted as this is not an objective of the review to evaluate quality of studies or effects of interventions</w:t>
      </w:r>
      <w:r w:rsidR="00240C02" w:rsidRPr="00240C02">
        <w:rPr>
          <w:rFonts w:cs="Arial"/>
        </w:rPr>
        <w:t>.</w:t>
      </w:r>
    </w:p>
    <w:p w14:paraId="1529762C" w14:textId="77777777" w:rsidR="0033298C" w:rsidRPr="00240C02" w:rsidRDefault="0033298C" w:rsidP="0033298C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5" w:name="_Toc241498092"/>
      <w:r w:rsidRPr="00240C02">
        <w:rPr>
          <w:rFonts w:ascii="Arial" w:hAnsi="Arial" w:cs="Arial"/>
          <w:b/>
          <w:bCs/>
          <w:color w:val="auto"/>
          <w:sz w:val="32"/>
          <w:szCs w:val="32"/>
        </w:rPr>
        <w:t>Ethical Considerations</w:t>
      </w:r>
      <w:bookmarkEnd w:id="5"/>
    </w:p>
    <w:p w14:paraId="4F2405E8" w14:textId="6F3098BA" w:rsidR="0033298C" w:rsidRPr="00240C02" w:rsidRDefault="00542ACF" w:rsidP="00542ACF">
      <w:pPr>
        <w:spacing w:after="160" w:line="360" w:lineRule="auto"/>
        <w:jc w:val="both"/>
        <w:rPr>
          <w:rFonts w:cs="Arial"/>
        </w:rPr>
      </w:pPr>
      <w:r w:rsidRPr="00542ACF">
        <w:rPr>
          <w:rFonts w:cs="Arial"/>
        </w:rPr>
        <w:t>This review is based on published literature and no recruitment or identifiable patient information is accessed</w:t>
      </w:r>
      <w:r w:rsidR="003D4BA8">
        <w:rPr>
          <w:rFonts w:cs="Arial"/>
        </w:rPr>
        <w:t>; therefore, there is no need for formal approval,</w:t>
      </w:r>
      <w:r w:rsidRPr="00542ACF">
        <w:rPr>
          <w:rFonts w:cs="Arial"/>
        </w:rPr>
        <w:t xml:space="preserve"> subject to university requirements. </w:t>
      </w:r>
      <w:r w:rsidRPr="0033298C">
        <w:rPr>
          <w:rFonts w:cs="Arial"/>
        </w:rPr>
        <w:t>Exact referencing</w:t>
      </w:r>
      <w:r w:rsidRPr="00542ACF">
        <w:rPr>
          <w:rFonts w:cs="Arial"/>
        </w:rPr>
        <w:t>, appropriate screening and fair reporting will maintain research integrity</w:t>
      </w:r>
      <w:r w:rsidR="0033298C" w:rsidRPr="0033298C">
        <w:rPr>
          <w:rFonts w:cs="Arial"/>
        </w:rPr>
        <w:t>.</w:t>
      </w:r>
      <w:r w:rsidR="0033298C" w:rsidRPr="00240C02">
        <w:rPr>
          <w:rFonts w:cs="Arial"/>
        </w:rPr>
        <w:br w:type="page"/>
      </w:r>
    </w:p>
    <w:p w14:paraId="677312C2" w14:textId="32BA02B3" w:rsidR="0033298C" w:rsidRPr="00240C02" w:rsidRDefault="0033298C" w:rsidP="00240C0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32"/>
          <w:szCs w:val="32"/>
        </w:rPr>
      </w:pPr>
      <w:bookmarkStart w:id="6" w:name="_Toc241498093"/>
      <w:r w:rsidRPr="00240C02">
        <w:rPr>
          <w:rFonts w:ascii="Arial" w:hAnsi="Arial" w:cs="Arial"/>
          <w:b/>
          <w:bCs/>
          <w:color w:val="auto"/>
          <w:sz w:val="32"/>
          <w:szCs w:val="32"/>
        </w:rPr>
        <w:lastRenderedPageBreak/>
        <w:t>References</w:t>
      </w:r>
      <w:bookmarkEnd w:id="6"/>
    </w:p>
    <w:p w14:paraId="1C62CE8D" w14:textId="77777777" w:rsidR="00DC2DB5" w:rsidRDefault="00DC2DB5" w:rsidP="00DC2DB5">
      <w:pPr>
        <w:spacing w:line="360" w:lineRule="auto"/>
        <w:jc w:val="both"/>
      </w:pPr>
      <w:proofErr w:type="spellStart"/>
      <w:r w:rsidRPr="00ED6A3F">
        <w:rPr>
          <w:bCs/>
        </w:rPr>
        <w:t>Khanji</w:t>
      </w:r>
      <w:proofErr w:type="spellEnd"/>
      <w:r w:rsidRPr="00ED6A3F">
        <w:rPr>
          <w:bCs/>
        </w:rPr>
        <w:t xml:space="preserve">, M.Y., Gallagher, A.M., Rehill, N. and Archbold, R.A. (2023) 'Remote consultations: review of guiding themes for equitable and effective delivery', </w:t>
      </w:r>
      <w:r w:rsidRPr="00ED6A3F">
        <w:rPr>
          <w:bCs/>
          <w:i/>
          <w:iCs/>
        </w:rPr>
        <w:t>Current Problems in Cardiology</w:t>
      </w:r>
      <w:r w:rsidRPr="00ED6A3F">
        <w:rPr>
          <w:bCs/>
        </w:rPr>
        <w:t xml:space="preserve">, 48(8), 101736. Available at: </w:t>
      </w:r>
      <w:hyperlink r:id="rId11" w:history="1">
        <w:r w:rsidRPr="00CD65CE">
          <w:rPr>
            <w:rStyle w:val="Hyperlink"/>
          </w:rPr>
          <w:t>https://doi.org/10.1016/j.cpcardiol.2023.101736</w:t>
        </w:r>
      </w:hyperlink>
    </w:p>
    <w:p w14:paraId="159AAF1F" w14:textId="77777777" w:rsidR="00DC2DB5" w:rsidRDefault="00DC2DB5" w:rsidP="00DC2DB5">
      <w:pPr>
        <w:spacing w:line="360" w:lineRule="auto"/>
        <w:jc w:val="both"/>
      </w:pPr>
      <w:r w:rsidRPr="00ED6A3F">
        <w:rPr>
          <w:bCs/>
        </w:rPr>
        <w:t xml:space="preserve">Payne, R., Clarke, A., Swann, N., van Dael, J., Brenman, N., Rosen, R., </w:t>
      </w:r>
      <w:proofErr w:type="spellStart"/>
      <w:r w:rsidRPr="00ED6A3F">
        <w:rPr>
          <w:bCs/>
        </w:rPr>
        <w:t>Mackridge</w:t>
      </w:r>
      <w:proofErr w:type="spellEnd"/>
      <w:r w:rsidRPr="00ED6A3F">
        <w:rPr>
          <w:bCs/>
        </w:rPr>
        <w:t xml:space="preserve">, A., Moore, L., Kalin, A., Ladds, E., Hemmings, N., </w:t>
      </w:r>
      <w:proofErr w:type="spellStart"/>
      <w:r w:rsidRPr="00ED6A3F">
        <w:rPr>
          <w:bCs/>
        </w:rPr>
        <w:t>Rybczynska</w:t>
      </w:r>
      <w:proofErr w:type="spellEnd"/>
      <w:r w:rsidRPr="00ED6A3F">
        <w:rPr>
          <w:bCs/>
        </w:rPr>
        <w:t xml:space="preserve">-Bunt, S., Faulkner, S., Hanson, I., Spitters, S., Wieringa, S., Dakin, F.H., Shaw, E.S., </w:t>
      </w:r>
      <w:proofErr w:type="spellStart"/>
      <w:r w:rsidRPr="00ED6A3F">
        <w:rPr>
          <w:bCs/>
        </w:rPr>
        <w:t>Wherton</w:t>
      </w:r>
      <w:proofErr w:type="spellEnd"/>
      <w:r w:rsidRPr="00ED6A3F">
        <w:rPr>
          <w:bCs/>
        </w:rPr>
        <w:t xml:space="preserve">, J., Byng, R., Husain, L. and Greenhalgh, T. (2024) 'Patient safety in remote primary care encounters: multimethod qualitative study combining Safety I and Safety II analysis', </w:t>
      </w:r>
      <w:r w:rsidRPr="00ED6A3F">
        <w:rPr>
          <w:bCs/>
          <w:i/>
          <w:iCs/>
        </w:rPr>
        <w:t>BMJ Quality &amp; Safety</w:t>
      </w:r>
      <w:r w:rsidRPr="00ED6A3F">
        <w:rPr>
          <w:bCs/>
        </w:rPr>
        <w:t xml:space="preserve">, 33(8), pp. 573–586. Available at: </w:t>
      </w:r>
      <w:hyperlink r:id="rId12" w:history="1">
        <w:r w:rsidRPr="00CD65CE">
          <w:rPr>
            <w:rStyle w:val="Hyperlink"/>
          </w:rPr>
          <w:t>http://dx.doi.org/10.1136/bmjqs-2023-016872</w:t>
        </w:r>
      </w:hyperlink>
    </w:p>
    <w:p w14:paraId="6A3CFF11" w14:textId="77777777" w:rsidR="00DC2DB5" w:rsidRDefault="00DC2DB5" w:rsidP="00DC2DB5">
      <w:pPr>
        <w:spacing w:line="360" w:lineRule="auto"/>
        <w:jc w:val="both"/>
      </w:pPr>
      <w:r w:rsidRPr="00ED6A3F">
        <w:rPr>
          <w:bCs/>
        </w:rPr>
        <w:t xml:space="preserve">Pollock, D., Peters, M. D. J., </w:t>
      </w:r>
      <w:proofErr w:type="spellStart"/>
      <w:r w:rsidRPr="00ED6A3F">
        <w:rPr>
          <w:bCs/>
        </w:rPr>
        <w:t>Tricco</w:t>
      </w:r>
      <w:proofErr w:type="spellEnd"/>
      <w:r w:rsidRPr="00ED6A3F">
        <w:rPr>
          <w:bCs/>
        </w:rPr>
        <w:t>, A. C., Munn, Z., Jia, R. M., Alexander, L., Pieper, D., Evans, C., Godfrey, C. M., Brandão de Moraes, E., Saran, A., Campbell, F.</w:t>
      </w:r>
      <w:r>
        <w:t xml:space="preserve"> and </w:t>
      </w:r>
      <w:r w:rsidRPr="00ED6A3F">
        <w:rPr>
          <w:bCs/>
        </w:rPr>
        <w:t>Khalil, H. (2026)</w:t>
      </w:r>
      <w:r>
        <w:t xml:space="preserve"> ‘</w:t>
      </w:r>
      <w:r w:rsidRPr="00ED6A3F">
        <w:rPr>
          <w:bCs/>
        </w:rPr>
        <w:t>Scoping reviews</w:t>
      </w:r>
      <w:r>
        <w:t>’, i</w:t>
      </w:r>
      <w:r w:rsidRPr="00ED6A3F">
        <w:rPr>
          <w:bCs/>
        </w:rPr>
        <w:t xml:space="preserve">n E. </w:t>
      </w:r>
      <w:proofErr w:type="spellStart"/>
      <w:r w:rsidRPr="00ED6A3F">
        <w:rPr>
          <w:bCs/>
        </w:rPr>
        <w:t>Aromataris</w:t>
      </w:r>
      <w:proofErr w:type="spellEnd"/>
      <w:r w:rsidRPr="00ED6A3F">
        <w:rPr>
          <w:bCs/>
        </w:rPr>
        <w:t xml:space="preserve">, C. Lockwood, K. Porritt, B. Pilla, &amp; Z. Jordan (Eds.), </w:t>
      </w:r>
      <w:r w:rsidRPr="00ED6A3F">
        <w:rPr>
          <w:bCs/>
          <w:i/>
          <w:iCs/>
        </w:rPr>
        <w:t>JBI manual for evidence synthesis</w:t>
      </w:r>
      <w:r w:rsidRPr="00ED6A3F">
        <w:rPr>
          <w:bCs/>
        </w:rPr>
        <w:t xml:space="preserve">. JBI. Available at: </w:t>
      </w:r>
      <w:hyperlink r:id="rId13" w:history="1">
        <w:r w:rsidRPr="00CD65CE">
          <w:rPr>
            <w:rStyle w:val="Hyperlink"/>
          </w:rPr>
          <w:t>https://doi.org/10.46658/JBIMES-24-09</w:t>
        </w:r>
      </w:hyperlink>
    </w:p>
    <w:p w14:paraId="411221F7" w14:textId="77777777" w:rsidR="00DC2DB5" w:rsidRDefault="00DC2DB5" w:rsidP="00DC2DB5">
      <w:pPr>
        <w:spacing w:line="360" w:lineRule="auto"/>
        <w:jc w:val="both"/>
      </w:pPr>
      <w:r w:rsidRPr="00ED6A3F">
        <w:rPr>
          <w:bCs/>
        </w:rPr>
        <w:t>Russell, J., Boswell, L., Ip, A., Harris, J., Singh, H., Meyer, A.N., Giardina, T.D., Bhuiya, A., Whitaker, K.L. and Black, G.B.</w:t>
      </w:r>
      <w:r>
        <w:t xml:space="preserve"> </w:t>
      </w:r>
      <w:r w:rsidRPr="00ED6A3F">
        <w:rPr>
          <w:bCs/>
        </w:rPr>
        <w:t xml:space="preserve">(2024) 'How is diagnostic uncertainty communicated and managed in real world primary care settings?', </w:t>
      </w:r>
      <w:r w:rsidRPr="00ED6A3F">
        <w:rPr>
          <w:bCs/>
          <w:i/>
          <w:iCs/>
        </w:rPr>
        <w:t>BMC Primary Care</w:t>
      </w:r>
      <w:r w:rsidRPr="00ED6A3F">
        <w:rPr>
          <w:bCs/>
        </w:rPr>
        <w:t xml:space="preserve">, 25(296). Available at: </w:t>
      </w:r>
      <w:hyperlink r:id="rId14" w:history="1">
        <w:r w:rsidRPr="00CD65CE">
          <w:rPr>
            <w:rStyle w:val="Hyperlink"/>
          </w:rPr>
          <w:t>https://doi.org/10.1186/s12875-024-02526-x</w:t>
        </w:r>
      </w:hyperlink>
      <w:r>
        <w:t xml:space="preserve"> </w:t>
      </w:r>
    </w:p>
    <w:p w14:paraId="6FADE50F" w14:textId="77777777" w:rsidR="00DC2DB5" w:rsidRDefault="00DC2DB5" w:rsidP="00DC2DB5">
      <w:pPr>
        <w:spacing w:line="360" w:lineRule="auto"/>
        <w:jc w:val="both"/>
      </w:pPr>
      <w:proofErr w:type="spellStart"/>
      <w:r w:rsidRPr="00997056">
        <w:rPr>
          <w:bCs/>
        </w:rPr>
        <w:t>Tricco</w:t>
      </w:r>
      <w:proofErr w:type="spellEnd"/>
      <w:r w:rsidRPr="00997056">
        <w:rPr>
          <w:bCs/>
        </w:rPr>
        <w:t xml:space="preserve">, A.C., Lillie, E., Zarin, W., </w:t>
      </w:r>
      <w:proofErr w:type="spellStart"/>
      <w:r w:rsidRPr="00997056">
        <w:rPr>
          <w:bCs/>
        </w:rPr>
        <w:t>O’brien</w:t>
      </w:r>
      <w:proofErr w:type="spellEnd"/>
      <w:r w:rsidRPr="00997056">
        <w:rPr>
          <w:bCs/>
        </w:rPr>
        <w:t>, K., Colquhoun, H., Kastner, M., Levac, D., Ng, C., Sharpe, J.P., Wilson, K. and Kenny, M.</w:t>
      </w:r>
      <w:r>
        <w:t xml:space="preserve"> (</w:t>
      </w:r>
      <w:r w:rsidRPr="00997056">
        <w:rPr>
          <w:bCs/>
        </w:rPr>
        <w:t>2016</w:t>
      </w:r>
      <w:r>
        <w:t>)</w:t>
      </w:r>
      <w:r w:rsidRPr="00997056">
        <w:rPr>
          <w:bCs/>
        </w:rPr>
        <w:t xml:space="preserve"> </w:t>
      </w:r>
      <w:r>
        <w:t>‘</w:t>
      </w:r>
      <w:r w:rsidRPr="00997056">
        <w:rPr>
          <w:bCs/>
        </w:rPr>
        <w:t>A scoping review on the conduct and reporting of scoping reviews</w:t>
      </w:r>
      <w:r>
        <w:t>’,</w:t>
      </w:r>
      <w:r w:rsidRPr="00997056">
        <w:rPr>
          <w:bCs/>
        </w:rPr>
        <w:t xml:space="preserve"> </w:t>
      </w:r>
      <w:r w:rsidRPr="00997056">
        <w:rPr>
          <w:bCs/>
          <w:i/>
          <w:iCs/>
        </w:rPr>
        <w:t>BMC medical research methodology</w:t>
      </w:r>
      <w:r w:rsidRPr="00997056">
        <w:rPr>
          <w:bCs/>
        </w:rPr>
        <w:t xml:space="preserve">, </w:t>
      </w:r>
      <w:r w:rsidRPr="00997056">
        <w:rPr>
          <w:bCs/>
          <w:i/>
          <w:iCs/>
        </w:rPr>
        <w:t>16</w:t>
      </w:r>
      <w:r w:rsidRPr="00997056">
        <w:rPr>
          <w:bCs/>
        </w:rPr>
        <w:t>(1), p.15.</w:t>
      </w:r>
      <w:r>
        <w:t xml:space="preserve"> </w:t>
      </w:r>
      <w:r w:rsidRPr="00ED6A3F">
        <w:rPr>
          <w:bCs/>
        </w:rPr>
        <w:t xml:space="preserve">Available at: </w:t>
      </w:r>
      <w:hyperlink r:id="rId15" w:history="1">
        <w:r w:rsidRPr="00CD65CE">
          <w:rPr>
            <w:rStyle w:val="Hyperlink"/>
          </w:rPr>
          <w:t>https://doi.org/10.1186/s12874-016-0116-4</w:t>
        </w:r>
      </w:hyperlink>
    </w:p>
    <w:p w14:paraId="7D39529A" w14:textId="77777777" w:rsidR="00DC2DB5" w:rsidRDefault="00DC2DB5" w:rsidP="00DC2DB5">
      <w:pPr>
        <w:spacing w:line="360" w:lineRule="auto"/>
        <w:jc w:val="both"/>
      </w:pPr>
      <w:proofErr w:type="spellStart"/>
      <w:r w:rsidRPr="00ED6A3F">
        <w:rPr>
          <w:bCs/>
        </w:rPr>
        <w:t>Tricco</w:t>
      </w:r>
      <w:proofErr w:type="spellEnd"/>
      <w:r w:rsidRPr="00ED6A3F">
        <w:rPr>
          <w:bCs/>
        </w:rPr>
        <w:t xml:space="preserve">, A.C., Lillie, E., Zarin, W., O'Brien, K.K., Colquhoun, H., Levac, D., Moher, D., Peters, M.D., Horsley, T., Weeks, L. and Hempel, S. </w:t>
      </w:r>
      <w:r>
        <w:t>(</w:t>
      </w:r>
      <w:r w:rsidRPr="00ED6A3F">
        <w:rPr>
          <w:bCs/>
        </w:rPr>
        <w:t>2018</w:t>
      </w:r>
      <w:r>
        <w:t>)</w:t>
      </w:r>
      <w:r w:rsidRPr="00ED6A3F">
        <w:rPr>
          <w:bCs/>
        </w:rPr>
        <w:t xml:space="preserve"> </w:t>
      </w:r>
      <w:r>
        <w:t>‘</w:t>
      </w:r>
      <w:r w:rsidRPr="00ED6A3F">
        <w:rPr>
          <w:bCs/>
        </w:rPr>
        <w:t>PRISMA extension for scoping reviews (PRISMA-</w:t>
      </w:r>
      <w:proofErr w:type="spellStart"/>
      <w:r w:rsidRPr="00ED6A3F">
        <w:rPr>
          <w:bCs/>
        </w:rPr>
        <w:t>ScR</w:t>
      </w:r>
      <w:proofErr w:type="spellEnd"/>
      <w:r w:rsidRPr="00ED6A3F">
        <w:rPr>
          <w:bCs/>
        </w:rPr>
        <w:t>): checklist and explanation</w:t>
      </w:r>
      <w:r>
        <w:t>’,</w:t>
      </w:r>
      <w:r w:rsidRPr="00ED6A3F">
        <w:rPr>
          <w:bCs/>
        </w:rPr>
        <w:t xml:space="preserve"> </w:t>
      </w:r>
      <w:r w:rsidRPr="00ED6A3F">
        <w:rPr>
          <w:bCs/>
          <w:i/>
          <w:iCs/>
        </w:rPr>
        <w:t>Annals of internal medicine</w:t>
      </w:r>
      <w:r w:rsidRPr="00ED6A3F">
        <w:rPr>
          <w:bCs/>
        </w:rPr>
        <w:t xml:space="preserve">, </w:t>
      </w:r>
      <w:r w:rsidRPr="00ED6A3F">
        <w:rPr>
          <w:bCs/>
          <w:i/>
          <w:iCs/>
        </w:rPr>
        <w:t>169</w:t>
      </w:r>
      <w:r w:rsidRPr="00ED6A3F">
        <w:rPr>
          <w:bCs/>
        </w:rPr>
        <w:t>(7), pp.467-473.</w:t>
      </w:r>
      <w:r>
        <w:t xml:space="preserve"> </w:t>
      </w:r>
      <w:r w:rsidRPr="00ED6A3F">
        <w:rPr>
          <w:bCs/>
        </w:rPr>
        <w:t xml:space="preserve">Available at: </w:t>
      </w:r>
      <w:hyperlink r:id="rId16" w:history="1">
        <w:r w:rsidRPr="00CD65CE">
          <w:rPr>
            <w:rStyle w:val="Hyperlink"/>
          </w:rPr>
          <w:t>https://www.acpjournals.org/doi/10.7326/M18-0850</w:t>
        </w:r>
      </w:hyperlink>
    </w:p>
    <w:p w14:paraId="09512ED0" w14:textId="688586D5" w:rsidR="004205FA" w:rsidRPr="00240C02" w:rsidRDefault="004205FA" w:rsidP="0033298C">
      <w:pPr>
        <w:spacing w:after="160" w:line="360" w:lineRule="auto"/>
        <w:jc w:val="both"/>
        <w:rPr>
          <w:rFonts w:cs="Arial"/>
        </w:rPr>
      </w:pPr>
      <w:r w:rsidRPr="00240C02">
        <w:rPr>
          <w:rFonts w:cs="Arial"/>
        </w:rPr>
        <w:br w:type="page"/>
      </w:r>
    </w:p>
    <w:p w14:paraId="21052180" w14:textId="585C1C13" w:rsidR="00771E57" w:rsidRPr="00240C02" w:rsidRDefault="004205FA">
      <w:pPr>
        <w:rPr>
          <w:rFonts w:cs="Arial"/>
        </w:rPr>
      </w:pPr>
      <w:r w:rsidRPr="00240C02">
        <w:rPr>
          <w:rFonts w:cs="Arial"/>
        </w:rPr>
        <w:lastRenderedPageBreak/>
        <w:t>rh</w:t>
      </w:r>
    </w:p>
    <w:sectPr w:rsidR="00771E57" w:rsidRPr="00240C02" w:rsidSect="00240C02">
      <w:footerReference w:type="default" r:id="rId17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8C11B8" w14:textId="77777777" w:rsidR="00CB6602" w:rsidRDefault="00CB6602" w:rsidP="00240C02">
      <w:r>
        <w:separator/>
      </w:r>
    </w:p>
  </w:endnote>
  <w:endnote w:type="continuationSeparator" w:id="0">
    <w:p w14:paraId="640DB615" w14:textId="77777777" w:rsidR="00CB6602" w:rsidRDefault="00CB6602" w:rsidP="00240C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71968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A360D0" w14:textId="3EBD44A8" w:rsidR="00240C02" w:rsidRDefault="00240C0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E3E08A" w14:textId="77777777" w:rsidR="00240C02" w:rsidRDefault="00240C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F2B87E" w14:textId="77777777" w:rsidR="00CB6602" w:rsidRDefault="00CB6602" w:rsidP="00240C02">
      <w:r>
        <w:separator/>
      </w:r>
    </w:p>
  </w:footnote>
  <w:footnote w:type="continuationSeparator" w:id="0">
    <w:p w14:paraId="5A31B53F" w14:textId="77777777" w:rsidR="00CB6602" w:rsidRDefault="00CB6602" w:rsidP="00240C0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30504"/>
    <w:multiLevelType w:val="multilevel"/>
    <w:tmpl w:val="224AD5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ECC4F78"/>
    <w:multiLevelType w:val="multilevel"/>
    <w:tmpl w:val="E54C2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1977B9D"/>
    <w:multiLevelType w:val="multilevel"/>
    <w:tmpl w:val="F23C7B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663502D"/>
    <w:multiLevelType w:val="hybridMultilevel"/>
    <w:tmpl w:val="4AFC368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536190520">
    <w:abstractNumId w:val="0"/>
  </w:num>
  <w:num w:numId="2" w16cid:durableId="288704914">
    <w:abstractNumId w:val="2"/>
  </w:num>
  <w:num w:numId="3" w16cid:durableId="55907455">
    <w:abstractNumId w:val="1"/>
  </w:num>
  <w:num w:numId="4" w16cid:durableId="6099721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DA7"/>
    <w:rsid w:val="00016A63"/>
    <w:rsid w:val="00020F98"/>
    <w:rsid w:val="000577D3"/>
    <w:rsid w:val="00065A3F"/>
    <w:rsid w:val="00070561"/>
    <w:rsid w:val="000748CF"/>
    <w:rsid w:val="00080A92"/>
    <w:rsid w:val="0009398B"/>
    <w:rsid w:val="000C530B"/>
    <w:rsid w:val="000E10FB"/>
    <w:rsid w:val="000F2491"/>
    <w:rsid w:val="00106700"/>
    <w:rsid w:val="0011428A"/>
    <w:rsid w:val="001272DC"/>
    <w:rsid w:val="00144082"/>
    <w:rsid w:val="00164A5B"/>
    <w:rsid w:val="00181C53"/>
    <w:rsid w:val="00187524"/>
    <w:rsid w:val="001B398B"/>
    <w:rsid w:val="001C2038"/>
    <w:rsid w:val="001D7DBA"/>
    <w:rsid w:val="001E4161"/>
    <w:rsid w:val="00240A34"/>
    <w:rsid w:val="00240C02"/>
    <w:rsid w:val="00244F87"/>
    <w:rsid w:val="00250CD5"/>
    <w:rsid w:val="00254A76"/>
    <w:rsid w:val="0027687F"/>
    <w:rsid w:val="002875D7"/>
    <w:rsid w:val="002917BD"/>
    <w:rsid w:val="002A2E71"/>
    <w:rsid w:val="002C1A78"/>
    <w:rsid w:val="002D7BE2"/>
    <w:rsid w:val="002E7390"/>
    <w:rsid w:val="00312D92"/>
    <w:rsid w:val="0033298C"/>
    <w:rsid w:val="0034154F"/>
    <w:rsid w:val="00345F59"/>
    <w:rsid w:val="003535E8"/>
    <w:rsid w:val="003763F5"/>
    <w:rsid w:val="00377557"/>
    <w:rsid w:val="00377818"/>
    <w:rsid w:val="00397BDE"/>
    <w:rsid w:val="003B5208"/>
    <w:rsid w:val="003C604B"/>
    <w:rsid w:val="003D3C92"/>
    <w:rsid w:val="003D4BA8"/>
    <w:rsid w:val="003F3C4A"/>
    <w:rsid w:val="00415212"/>
    <w:rsid w:val="004205FA"/>
    <w:rsid w:val="00435AF7"/>
    <w:rsid w:val="004B425E"/>
    <w:rsid w:val="004F4027"/>
    <w:rsid w:val="004F5D63"/>
    <w:rsid w:val="00500FD2"/>
    <w:rsid w:val="0050228C"/>
    <w:rsid w:val="00506A83"/>
    <w:rsid w:val="0051457D"/>
    <w:rsid w:val="00517B41"/>
    <w:rsid w:val="00542A6A"/>
    <w:rsid w:val="00542ACF"/>
    <w:rsid w:val="005523F5"/>
    <w:rsid w:val="005545F3"/>
    <w:rsid w:val="00557069"/>
    <w:rsid w:val="005660C8"/>
    <w:rsid w:val="005715BF"/>
    <w:rsid w:val="00581B16"/>
    <w:rsid w:val="005B3F77"/>
    <w:rsid w:val="005C0A24"/>
    <w:rsid w:val="0060153D"/>
    <w:rsid w:val="00623BAE"/>
    <w:rsid w:val="0063466E"/>
    <w:rsid w:val="00681AF3"/>
    <w:rsid w:val="00697B8C"/>
    <w:rsid w:val="006B21C2"/>
    <w:rsid w:val="006C5B75"/>
    <w:rsid w:val="006D475B"/>
    <w:rsid w:val="006F1557"/>
    <w:rsid w:val="006F22CA"/>
    <w:rsid w:val="00700237"/>
    <w:rsid w:val="007058E3"/>
    <w:rsid w:val="00715654"/>
    <w:rsid w:val="00720437"/>
    <w:rsid w:val="00741DA9"/>
    <w:rsid w:val="00771E57"/>
    <w:rsid w:val="007866F9"/>
    <w:rsid w:val="007A4037"/>
    <w:rsid w:val="007A56F1"/>
    <w:rsid w:val="007A5746"/>
    <w:rsid w:val="007B6418"/>
    <w:rsid w:val="007C2032"/>
    <w:rsid w:val="007E1095"/>
    <w:rsid w:val="007E614A"/>
    <w:rsid w:val="007E6274"/>
    <w:rsid w:val="0080294A"/>
    <w:rsid w:val="00804F71"/>
    <w:rsid w:val="00805A63"/>
    <w:rsid w:val="00811EFF"/>
    <w:rsid w:val="00831B14"/>
    <w:rsid w:val="00852FE4"/>
    <w:rsid w:val="00855069"/>
    <w:rsid w:val="008C735C"/>
    <w:rsid w:val="009048EF"/>
    <w:rsid w:val="009359BD"/>
    <w:rsid w:val="00966F20"/>
    <w:rsid w:val="009715A7"/>
    <w:rsid w:val="00981775"/>
    <w:rsid w:val="009A62E6"/>
    <w:rsid w:val="009C2195"/>
    <w:rsid w:val="009C624F"/>
    <w:rsid w:val="009E33E7"/>
    <w:rsid w:val="009E7175"/>
    <w:rsid w:val="00A06213"/>
    <w:rsid w:val="00A1030C"/>
    <w:rsid w:val="00A126FC"/>
    <w:rsid w:val="00A16F51"/>
    <w:rsid w:val="00A24DD8"/>
    <w:rsid w:val="00A256F3"/>
    <w:rsid w:val="00A339AF"/>
    <w:rsid w:val="00A34EED"/>
    <w:rsid w:val="00A559E5"/>
    <w:rsid w:val="00A93EE1"/>
    <w:rsid w:val="00A97428"/>
    <w:rsid w:val="00AA4947"/>
    <w:rsid w:val="00AB5B22"/>
    <w:rsid w:val="00AB6364"/>
    <w:rsid w:val="00AF59A0"/>
    <w:rsid w:val="00B05784"/>
    <w:rsid w:val="00B22D26"/>
    <w:rsid w:val="00B52CD1"/>
    <w:rsid w:val="00B5391A"/>
    <w:rsid w:val="00B5706C"/>
    <w:rsid w:val="00B5746F"/>
    <w:rsid w:val="00B629F4"/>
    <w:rsid w:val="00B63D22"/>
    <w:rsid w:val="00B74DA7"/>
    <w:rsid w:val="00B7679B"/>
    <w:rsid w:val="00B8236C"/>
    <w:rsid w:val="00B87450"/>
    <w:rsid w:val="00BA608E"/>
    <w:rsid w:val="00BC41B2"/>
    <w:rsid w:val="00BC44DA"/>
    <w:rsid w:val="00BE671D"/>
    <w:rsid w:val="00BF119C"/>
    <w:rsid w:val="00BF6EE4"/>
    <w:rsid w:val="00C50B33"/>
    <w:rsid w:val="00C94D6B"/>
    <w:rsid w:val="00CA7CD1"/>
    <w:rsid w:val="00CB5D71"/>
    <w:rsid w:val="00CB6602"/>
    <w:rsid w:val="00CC086F"/>
    <w:rsid w:val="00CD54FC"/>
    <w:rsid w:val="00CF7E72"/>
    <w:rsid w:val="00D25543"/>
    <w:rsid w:val="00D30855"/>
    <w:rsid w:val="00D32FE1"/>
    <w:rsid w:val="00D34819"/>
    <w:rsid w:val="00D50A3E"/>
    <w:rsid w:val="00D70A1D"/>
    <w:rsid w:val="00D82135"/>
    <w:rsid w:val="00D853BF"/>
    <w:rsid w:val="00DC2DB5"/>
    <w:rsid w:val="00DF72A7"/>
    <w:rsid w:val="00E0046E"/>
    <w:rsid w:val="00E30125"/>
    <w:rsid w:val="00E46649"/>
    <w:rsid w:val="00E51F8D"/>
    <w:rsid w:val="00E51FE3"/>
    <w:rsid w:val="00E714E1"/>
    <w:rsid w:val="00E732B5"/>
    <w:rsid w:val="00E81AC1"/>
    <w:rsid w:val="00E95109"/>
    <w:rsid w:val="00E97F55"/>
    <w:rsid w:val="00EB2CC8"/>
    <w:rsid w:val="00EE4F7C"/>
    <w:rsid w:val="00F33768"/>
    <w:rsid w:val="00F52F1C"/>
    <w:rsid w:val="00F769B9"/>
    <w:rsid w:val="00F95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449D9"/>
  <w15:chartTrackingRefBased/>
  <w15:docId w15:val="{D2FD0F1F-F5E2-4C3E-9A1E-58CE041BE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Times New Roman"/>
        <w:sz w:val="22"/>
        <w:lang w:val="en-US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05FA"/>
    <w:pPr>
      <w:spacing w:after="0"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B74D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B74D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DA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DA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DA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DA7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DA7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DA7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DA7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DA7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DA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DA7"/>
    <w:rPr>
      <w:rFonts w:asciiTheme="minorHAnsi" w:eastAsiaTheme="majorEastAsia" w:hAnsiTheme="minorHAnsi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DA7"/>
    <w:rPr>
      <w:rFonts w:asciiTheme="minorHAnsi" w:eastAsiaTheme="majorEastAsia" w:hAnsiTheme="minorHAnsi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DA7"/>
    <w:rPr>
      <w:rFonts w:asciiTheme="minorHAnsi" w:eastAsiaTheme="majorEastAsia" w:hAnsiTheme="minorHAnsi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DA7"/>
    <w:rPr>
      <w:rFonts w:asciiTheme="minorHAnsi" w:eastAsiaTheme="majorEastAsia" w:hAnsiTheme="minorHAnsi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DA7"/>
    <w:rPr>
      <w:rFonts w:asciiTheme="minorHAnsi" w:eastAsiaTheme="majorEastAsia" w:hAnsiTheme="minorHAnsi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DA7"/>
    <w:rPr>
      <w:rFonts w:asciiTheme="minorHAnsi" w:eastAsiaTheme="majorEastAsia" w:hAnsiTheme="minorHAnsi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DA7"/>
    <w:rPr>
      <w:rFonts w:asciiTheme="minorHAnsi" w:eastAsiaTheme="majorEastAsia" w:hAnsiTheme="minorHAnsi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74DA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DA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DA7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DA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B74D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DA7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B74D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DA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DA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DA7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B74DA7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40C0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40C02"/>
  </w:style>
  <w:style w:type="paragraph" w:styleId="Footer">
    <w:name w:val="footer"/>
    <w:basedOn w:val="Normal"/>
    <w:link w:val="FooterChar"/>
    <w:uiPriority w:val="99"/>
    <w:unhideWhenUsed/>
    <w:rsid w:val="00240C0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40C02"/>
  </w:style>
  <w:style w:type="paragraph" w:styleId="TOCHeading">
    <w:name w:val="TOC Heading"/>
    <w:basedOn w:val="Heading1"/>
    <w:next w:val="Normal"/>
    <w:uiPriority w:val="39"/>
    <w:unhideWhenUsed/>
    <w:qFormat/>
    <w:rsid w:val="00240C02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240C0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40C0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46658/JBIMES-24-09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dx.doi.org/10.1136/bmjqs-2023-016872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acpjournals.org/doi/10.7326/M18-0850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16/j.cpcardiol.2023.101736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doi.org/10.1186/s12874-016-0116-4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186/s12875-024-02526-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6" ma:contentTypeDescription="Create a new document." ma:contentTypeScope="" ma:versionID="b754f519cc72d02f3d16fb7e522d0f70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d8206ebacf3a08f74147bb8567c674f3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31C43FFA-A032-466D-ABC7-61D3EC2941C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2AF7AA2-B759-4FF7-8641-7A81CBA29B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C681B22-B7D1-48B2-AA14-CCEFF921C96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73A0C64-56C2-4993-9736-39C9F0E7EC13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986</Words>
  <Characters>5624</Characters>
  <Application>Microsoft Office Word</Application>
  <DocSecurity>0</DocSecurity>
  <Lines>46</Lines>
  <Paragraphs>13</Paragraphs>
  <ScaleCrop>false</ScaleCrop>
  <Company/>
  <LinksUpToDate>false</LinksUpToDate>
  <CharactersWithSpaces>6597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Somi Naz (2421930)</cp:lastModifiedBy>
  <cp:revision>2</cp:revision>
  <dcterms:created xsi:type="dcterms:W3CDTF">2026-10-01T18:40:00Z</dcterms:created>
  <dcterms:modified xsi:type="dcterms:W3CDTF">2026-10-01T18:40:00Z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8c245fef-fb61-4ed8-8be3-95501d9ee82e</vt:lpwstr>
  </property>
  <property fmtid="{D5CDD505-2E9C-101B-9397-08002B2CF9AE}" pid="3" name="ContentTypeId">
    <vt:lpwstr>0x0101007810DDF4EC27A54C9626255B384F637A</vt:lpwstr>
  </property>
</Properties>
</file>