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926693052"/>
        <w:docPartObj>
          <w:docPartGallery w:val="Cover Pages"/>
          <w:docPartUnique/>
        </w:docPartObj>
      </w:sdtPr>
      <w:sdtEndPr>
        <w:rPr>
          <w:rFonts w:eastAsiaTheme="minorHAnsi"/>
          <w:b/>
          <w:bCs/>
          <w:color w:val="auto"/>
          <w:kern w:val="2"/>
          <w:sz w:val="24"/>
          <w:szCs w:val="24"/>
          <w:lang w:eastAsia="en-US"/>
          <w14:ligatures w14:val="standardContextual"/>
        </w:rPr>
      </w:sdtEndPr>
      <w:sdtContent>
        <w:p w14:paraId="62C55A0D" w14:textId="10F245CA" w:rsidR="00232B64" w:rsidRDefault="00232B64">
          <w:pPr>
            <w:pStyle w:val="NoSpacing"/>
            <w:spacing w:before="1540" w:after="240"/>
            <w:jc w:val="center"/>
            <w:rPr>
              <w:color w:val="156082" w:themeColor="accent1"/>
            </w:rPr>
          </w:pPr>
          <w:r>
            <w:rPr>
              <w:noProof/>
              <w:color w:val="156082" w:themeColor="accent1"/>
            </w:rPr>
            <w:drawing>
              <wp:inline distT="0" distB="0" distL="0" distR="0" wp14:anchorId="4EEA47E1" wp14:editId="0CD455B0">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lgerian" w:hAnsi="Algerian" w:cs="Times New Roman"/>
              <w:color w:val="0070C0"/>
              <w:sz w:val="40"/>
              <w:szCs w:val="40"/>
            </w:rPr>
            <w:alias w:val="Title"/>
            <w:tag w:val=""/>
            <w:id w:val="1735040861"/>
            <w:placeholder>
              <w:docPart w:val="A21A144B706B4351B505E5F32549FA66"/>
            </w:placeholder>
            <w:dataBinding w:prefixMappings="xmlns:ns0='http://purl.org/dc/elements/1.1/' xmlns:ns1='http://schemas.openxmlformats.org/package/2006/metadata/core-properties' " w:xpath="/ns1:coreProperties[1]/ns0:title[1]" w:storeItemID="{6C3C8BC8-F283-45AE-878A-BAB7291924A1}"/>
            <w:text/>
          </w:sdtPr>
          <w:sdtContent>
            <w:p w14:paraId="481C85C1" w14:textId="004F5A7E" w:rsidR="00232B64" w:rsidRDefault="008669A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8669A7">
                <w:rPr>
                  <w:rFonts w:ascii="Algerian" w:hAnsi="Algerian" w:cs="Times New Roman"/>
                  <w:color w:val="0070C0"/>
                  <w:sz w:val="40"/>
                  <w:szCs w:val="40"/>
                </w:rPr>
                <w:t>Personnel Resourcing and Development (BMIH5005)</w:t>
              </w:r>
            </w:p>
          </w:sdtContent>
        </w:sdt>
        <w:sdt>
          <w:sdtPr>
            <w:rPr>
              <w:rFonts w:ascii="Algerian" w:hAnsi="Algerian" w:cs="Times New Roman"/>
              <w:color w:val="0070C0"/>
              <w:sz w:val="28"/>
              <w:szCs w:val="28"/>
            </w:rPr>
            <w:alias w:val="Subtitle"/>
            <w:tag w:val=""/>
            <w:id w:val="328029620"/>
            <w:placeholder>
              <w:docPart w:val="DBEFF9E0486D4D76AAD40A2CA3A517F2"/>
            </w:placeholder>
            <w:dataBinding w:prefixMappings="xmlns:ns0='http://purl.org/dc/elements/1.1/' xmlns:ns1='http://schemas.openxmlformats.org/package/2006/metadata/core-properties' " w:xpath="/ns1:coreProperties[1]/ns0:subject[1]" w:storeItemID="{6C3C8BC8-F283-45AE-878A-BAB7291924A1}"/>
            <w:text/>
          </w:sdtPr>
          <w:sdtContent>
            <w:p w14:paraId="09441F93" w14:textId="53D1D5E7" w:rsidR="00232B64" w:rsidRDefault="007C679B">
              <w:pPr>
                <w:pStyle w:val="NoSpacing"/>
                <w:jc w:val="center"/>
                <w:rPr>
                  <w:color w:val="156082" w:themeColor="accent1"/>
                  <w:sz w:val="28"/>
                  <w:szCs w:val="28"/>
                </w:rPr>
              </w:pPr>
              <w:r w:rsidRPr="007C679B">
                <w:rPr>
                  <w:rFonts w:ascii="Algerian" w:hAnsi="Algerian" w:cs="Times New Roman"/>
                  <w:color w:val="0070C0"/>
                  <w:sz w:val="28"/>
                  <w:szCs w:val="28"/>
                </w:rPr>
                <w:t>Analyse the impacts of socio-economic force on employees’ performance management and monitoring in different work modes: Hospitality HR’s perspective.</w:t>
              </w:r>
            </w:p>
          </w:sdtContent>
        </w:sdt>
        <w:p w14:paraId="157BF171" w14:textId="77777777" w:rsidR="00232B64" w:rsidRDefault="00232B6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8E7F756" wp14:editId="0608732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0070C0"/>
                                    <w:sz w:val="36"/>
                                    <w:szCs w:val="36"/>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4A3A77B" w14:textId="47C2417F" w:rsidR="00232B64" w:rsidRDefault="005417E3">
                                    <w:pPr>
                                      <w:pStyle w:val="NoSpacing"/>
                                      <w:spacing w:after="40"/>
                                      <w:jc w:val="center"/>
                                      <w:rPr>
                                        <w:caps/>
                                        <w:color w:val="156082" w:themeColor="accent1"/>
                                        <w:sz w:val="28"/>
                                        <w:szCs w:val="28"/>
                                      </w:rPr>
                                    </w:pPr>
                                    <w:r w:rsidRPr="005417E3">
                                      <w:rPr>
                                        <w:rFonts w:ascii="Times New Roman" w:hAnsi="Times New Roman" w:cs="Times New Roman"/>
                                        <w:color w:val="0070C0"/>
                                        <w:sz w:val="36"/>
                                        <w:szCs w:val="36"/>
                                      </w:rPr>
                                      <w:t xml:space="preserve">                                             Scott James</w:t>
                                    </w:r>
                                  </w:p>
                                </w:sdtContent>
                              </w:sdt>
                              <w:p w14:paraId="255D0E46" w14:textId="12E6BBA1" w:rsidR="00232B64" w:rsidRDefault="001A5A4F">
                                <w:pPr>
                                  <w:pStyle w:val="NoSpacing"/>
                                  <w:jc w:val="center"/>
                                  <w:rPr>
                                    <w:color w:val="156082" w:themeColor="accent1"/>
                                  </w:rPr>
                                </w:pPr>
                                <w:sdt>
                                  <w:sdtPr>
                                    <w:rPr>
                                      <w:rFonts w:ascii="Times New Roman" w:hAnsi="Times New Roman" w:cs="Times New Roman"/>
                                      <w:caps/>
                                      <w:color w:val="0070C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1A5A4F">
                                      <w:rPr>
                                        <w:rFonts w:ascii="Times New Roman" w:hAnsi="Times New Roman" w:cs="Times New Roman"/>
                                        <w:caps/>
                                        <w:color w:val="0070C0"/>
                                        <w:sz w:val="28"/>
                                        <w:szCs w:val="28"/>
                                      </w:rPr>
                                      <w:t>AZEB ATSEBHA (2234854)</w:t>
                                    </w:r>
                                  </w:sdtContent>
                                </w:sdt>
                              </w:p>
                              <w:p w14:paraId="7DF95F2E" w14:textId="7F5A24E3" w:rsidR="00232B64" w:rsidRDefault="00832915">
                                <w:pPr>
                                  <w:pStyle w:val="NoSpacing"/>
                                  <w:jc w:val="center"/>
                                  <w:rPr>
                                    <w:color w:val="156082" w:themeColor="accent1"/>
                                  </w:rPr>
                                </w:pPr>
                                <w:sdt>
                                  <w:sdtPr>
                                    <w:rPr>
                                      <w:rFonts w:ascii="Times New Roman" w:hAnsi="Times New Roman" w:cs="Times New Roman"/>
                                      <w:color w:val="0070C0"/>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832915">
                                      <w:rPr>
                                        <w:rFonts w:ascii="Times New Roman" w:hAnsi="Times New Roman" w:cs="Times New Roman"/>
                                        <w:color w:val="0070C0"/>
                                        <w:sz w:val="28"/>
                                        <w:szCs w:val="28"/>
                                      </w:rPr>
                                      <w:t>07/06/2024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E7F75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olor w:val="0070C0"/>
                              <w:sz w:val="36"/>
                              <w:szCs w:val="36"/>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54A3A77B" w14:textId="47C2417F" w:rsidR="00232B64" w:rsidRDefault="005417E3">
                              <w:pPr>
                                <w:pStyle w:val="NoSpacing"/>
                                <w:spacing w:after="40"/>
                                <w:jc w:val="center"/>
                                <w:rPr>
                                  <w:caps/>
                                  <w:color w:val="156082" w:themeColor="accent1"/>
                                  <w:sz w:val="28"/>
                                  <w:szCs w:val="28"/>
                                </w:rPr>
                              </w:pPr>
                              <w:r w:rsidRPr="005417E3">
                                <w:rPr>
                                  <w:rFonts w:ascii="Times New Roman" w:hAnsi="Times New Roman" w:cs="Times New Roman"/>
                                  <w:color w:val="0070C0"/>
                                  <w:sz w:val="36"/>
                                  <w:szCs w:val="36"/>
                                </w:rPr>
                                <w:t xml:space="preserve">                                             Scott James</w:t>
                              </w:r>
                            </w:p>
                          </w:sdtContent>
                        </w:sdt>
                        <w:p w14:paraId="255D0E46" w14:textId="12E6BBA1" w:rsidR="00232B64" w:rsidRDefault="001A5A4F">
                          <w:pPr>
                            <w:pStyle w:val="NoSpacing"/>
                            <w:jc w:val="center"/>
                            <w:rPr>
                              <w:color w:val="156082" w:themeColor="accent1"/>
                            </w:rPr>
                          </w:pPr>
                          <w:sdt>
                            <w:sdtPr>
                              <w:rPr>
                                <w:rFonts w:ascii="Times New Roman" w:hAnsi="Times New Roman" w:cs="Times New Roman"/>
                                <w:caps/>
                                <w:color w:val="0070C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1A5A4F">
                                <w:rPr>
                                  <w:rFonts w:ascii="Times New Roman" w:hAnsi="Times New Roman" w:cs="Times New Roman"/>
                                  <w:caps/>
                                  <w:color w:val="0070C0"/>
                                  <w:sz w:val="28"/>
                                  <w:szCs w:val="28"/>
                                </w:rPr>
                                <w:t>AZEB ATSEBHA (2234854)</w:t>
                              </w:r>
                            </w:sdtContent>
                          </w:sdt>
                        </w:p>
                        <w:p w14:paraId="7DF95F2E" w14:textId="7F5A24E3" w:rsidR="00232B64" w:rsidRDefault="00832915">
                          <w:pPr>
                            <w:pStyle w:val="NoSpacing"/>
                            <w:jc w:val="center"/>
                            <w:rPr>
                              <w:color w:val="156082" w:themeColor="accent1"/>
                            </w:rPr>
                          </w:pPr>
                          <w:sdt>
                            <w:sdtPr>
                              <w:rPr>
                                <w:rFonts w:ascii="Times New Roman" w:hAnsi="Times New Roman" w:cs="Times New Roman"/>
                                <w:color w:val="0070C0"/>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832915">
                                <w:rPr>
                                  <w:rFonts w:ascii="Times New Roman" w:hAnsi="Times New Roman" w:cs="Times New Roman"/>
                                  <w:color w:val="0070C0"/>
                                  <w:sz w:val="28"/>
                                  <w:szCs w:val="28"/>
                                </w:rPr>
                                <w:t>07/06/2024</w:t>
                              </w:r>
                            </w:sdtContent>
                          </w:sdt>
                        </w:p>
                      </w:txbxContent>
                    </v:textbox>
                    <w10:wrap anchorx="margin" anchory="page"/>
                  </v:shape>
                </w:pict>
              </mc:Fallback>
            </mc:AlternateContent>
          </w:r>
          <w:r>
            <w:rPr>
              <w:noProof/>
              <w:color w:val="156082" w:themeColor="accent1"/>
            </w:rPr>
            <w:drawing>
              <wp:inline distT="0" distB="0" distL="0" distR="0" wp14:anchorId="0D35D7D7" wp14:editId="65A60994">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855F4F8" w14:textId="132C37C6" w:rsidR="00232B64" w:rsidRDefault="00232B64">
          <w:pPr>
            <w:rPr>
              <w:rFonts w:ascii="Arial" w:hAnsi="Arial" w:cs="Arial"/>
            </w:rPr>
          </w:pPr>
          <w:r>
            <w:rPr>
              <w:b/>
              <w:bCs/>
            </w:rPr>
            <w:br w:type="page"/>
          </w:r>
        </w:p>
      </w:sdtContent>
    </w:sdt>
    <w:p w14:paraId="64FFC3C3" w14:textId="544363BC" w:rsidR="00832B9F" w:rsidRPr="00255473" w:rsidRDefault="00832B9F" w:rsidP="00255473">
      <w:pPr>
        <w:pStyle w:val="TOC1"/>
      </w:pPr>
      <w:r w:rsidRPr="00255473">
        <w:lastRenderedPageBreak/>
        <w:t>Table of Contents</w:t>
      </w:r>
    </w:p>
    <w:p w14:paraId="4305F6F1" w14:textId="7B4C7DAC" w:rsidR="00832B9F" w:rsidRPr="008D445E" w:rsidRDefault="00832B9F" w:rsidP="00255473">
      <w:pPr>
        <w:pStyle w:val="TOC1"/>
        <w:rPr>
          <w:noProof/>
        </w:rPr>
      </w:pPr>
      <w:r w:rsidRPr="008D445E">
        <w:t>Introduction and Background ……………………………….…………………………</w:t>
      </w:r>
      <w:hyperlink w:anchor="_Toc167822747" w:history="1">
        <w:r>
          <w:t>1</w:t>
        </w:r>
      </w:hyperlink>
    </w:p>
    <w:p w14:paraId="507FB323" w14:textId="08D0BD0E" w:rsidR="00832B9F" w:rsidRPr="00BE5B73" w:rsidRDefault="00832B9F" w:rsidP="00255473">
      <w:pPr>
        <w:pStyle w:val="TOC1"/>
        <w:rPr>
          <w:noProof/>
        </w:rPr>
      </w:pPr>
      <w:r w:rsidRPr="008D445E">
        <w:t>Discussion/Literature Review……………………………………………………………</w:t>
      </w:r>
      <w:hyperlink w:anchor="_Toc167822748" w:history="1">
        <w:r>
          <w:t>2</w:t>
        </w:r>
      </w:hyperlink>
      <w:r w:rsidRPr="00832B9F">
        <w:rPr>
          <w:rFonts w:eastAsia="Times New Roman"/>
          <w:color w:val="0E101A"/>
          <w:kern w:val="0"/>
          <w:lang w:eastAsia="en-GB"/>
          <w14:ligatures w14:val="none"/>
        </w:rPr>
        <w:t xml:space="preserve"> </w:t>
      </w:r>
      <w:r w:rsidRPr="00832B9F">
        <w:t>Socio-Economic Factors Affecting Hilton Performance Management</w:t>
      </w:r>
      <w:r w:rsidR="00BE5B73">
        <w:t>…</w:t>
      </w:r>
      <w:r w:rsidRPr="008D445E">
        <w:rPr>
          <w:rFonts w:eastAsia="Times New Roman"/>
          <w:color w:val="0E101A"/>
          <w:kern w:val="0"/>
          <w:lang w:eastAsia="en-GB"/>
          <w14:ligatures w14:val="none"/>
        </w:rPr>
        <w:t>…….</w:t>
      </w:r>
      <w:r w:rsidR="00BE5B73">
        <w:rPr>
          <w:rFonts w:eastAsia="Times New Roman"/>
          <w:color w:val="0E101A"/>
          <w:kern w:val="0"/>
          <w:lang w:eastAsia="en-GB"/>
          <w14:ligatures w14:val="none"/>
        </w:rPr>
        <w:t>2</w:t>
      </w:r>
      <w:r w:rsidRPr="008D445E">
        <w:rPr>
          <w:rFonts w:eastAsia="Times New Roman"/>
          <w:color w:val="0E101A"/>
          <w:kern w:val="0"/>
          <w:lang w:eastAsia="en-GB"/>
          <w14:ligatures w14:val="none"/>
        </w:rPr>
        <w:t>.1</w:t>
      </w:r>
    </w:p>
    <w:p w14:paraId="4E082FE3" w14:textId="647C7F99" w:rsidR="00832B9F" w:rsidRPr="00A92811" w:rsidRDefault="00832B9F" w:rsidP="00A92811">
      <w:pPr>
        <w:spacing w:line="360" w:lineRule="auto"/>
        <w:jc w:val="both"/>
        <w:rPr>
          <w:rFonts w:ascii="Arial" w:hAnsi="Arial" w:cs="Arial"/>
        </w:rPr>
      </w:pPr>
      <w:r w:rsidRPr="008D445E">
        <w:rPr>
          <w:rFonts w:ascii="Arial" w:eastAsia="Times New Roman" w:hAnsi="Arial" w:cs="Arial"/>
          <w:color w:val="0E101A"/>
          <w:kern w:val="0"/>
          <w:lang w:eastAsia="en-GB"/>
          <w14:ligatures w14:val="none"/>
        </w:rPr>
        <w:t xml:space="preserve">       </w:t>
      </w:r>
      <w:r w:rsidR="002B3F05">
        <w:rPr>
          <w:rFonts w:ascii="Arial" w:eastAsia="Times New Roman" w:hAnsi="Arial" w:cs="Arial"/>
          <w:color w:val="0E101A"/>
          <w:kern w:val="0"/>
          <w:lang w:eastAsia="en-GB"/>
          <w14:ligatures w14:val="none"/>
        </w:rPr>
        <w:t xml:space="preserve">   </w:t>
      </w:r>
      <w:r w:rsidR="00B14583">
        <w:rPr>
          <w:rFonts w:ascii="Arial" w:eastAsia="Times New Roman" w:hAnsi="Arial" w:cs="Arial"/>
          <w:color w:val="0E101A"/>
          <w:kern w:val="0"/>
          <w:lang w:eastAsia="en-GB"/>
          <w14:ligatures w14:val="none"/>
        </w:rPr>
        <w:t xml:space="preserve">         </w:t>
      </w:r>
      <w:r w:rsidRPr="008D445E">
        <w:rPr>
          <w:rFonts w:ascii="Arial" w:eastAsia="Times New Roman" w:hAnsi="Arial" w:cs="Arial"/>
          <w:color w:val="0E101A"/>
          <w:kern w:val="0"/>
          <w:lang w:eastAsia="en-GB"/>
          <w14:ligatures w14:val="none"/>
        </w:rPr>
        <w:t xml:space="preserve"> </w:t>
      </w:r>
      <w:r w:rsidR="00A92811" w:rsidRPr="00A92811">
        <w:rPr>
          <w:rFonts w:ascii="Arial" w:hAnsi="Arial" w:cs="Arial"/>
        </w:rPr>
        <w:t>Economic Factors</w:t>
      </w:r>
      <w:r w:rsidR="00A92811">
        <w:rPr>
          <w:rFonts w:ascii="Arial" w:hAnsi="Arial" w:cs="Arial"/>
        </w:rPr>
        <w:t>…………………………………</w:t>
      </w:r>
      <w:r w:rsidRPr="008D445E">
        <w:rPr>
          <w:rFonts w:ascii="Arial" w:eastAsia="Times New Roman" w:hAnsi="Arial" w:cs="Arial"/>
          <w:color w:val="0E101A"/>
          <w:kern w:val="0"/>
          <w:lang w:eastAsia="en-GB"/>
          <w14:ligatures w14:val="none"/>
        </w:rPr>
        <w:t>…………</w:t>
      </w:r>
      <w:r w:rsidR="00AF54A8">
        <w:rPr>
          <w:rFonts w:ascii="Arial" w:eastAsia="Times New Roman" w:hAnsi="Arial" w:cs="Arial"/>
          <w:color w:val="0E101A"/>
          <w:kern w:val="0"/>
          <w:lang w:eastAsia="en-GB"/>
          <w14:ligatures w14:val="none"/>
        </w:rPr>
        <w:t>………….</w:t>
      </w:r>
      <w:r w:rsidRPr="008D445E">
        <w:rPr>
          <w:rFonts w:ascii="Arial" w:eastAsia="Times New Roman" w:hAnsi="Arial" w:cs="Arial"/>
          <w:color w:val="0E101A"/>
          <w:kern w:val="0"/>
          <w:lang w:eastAsia="en-GB"/>
          <w14:ligatures w14:val="none"/>
        </w:rPr>
        <w:t>….</w:t>
      </w:r>
      <w:r w:rsidR="00AF54A8">
        <w:rPr>
          <w:rFonts w:ascii="Arial" w:eastAsia="Times New Roman" w:hAnsi="Arial" w:cs="Arial"/>
          <w:color w:val="0E101A"/>
          <w:kern w:val="0"/>
          <w:lang w:eastAsia="en-GB"/>
          <w14:ligatures w14:val="none"/>
        </w:rPr>
        <w:t>2</w:t>
      </w:r>
      <w:r w:rsidRPr="008D445E">
        <w:rPr>
          <w:rFonts w:ascii="Arial" w:eastAsia="Times New Roman" w:hAnsi="Arial" w:cs="Arial"/>
          <w:color w:val="0E101A"/>
          <w:kern w:val="0"/>
          <w:lang w:eastAsia="en-GB"/>
          <w14:ligatures w14:val="none"/>
        </w:rPr>
        <w:t>.2</w:t>
      </w:r>
    </w:p>
    <w:p w14:paraId="2B220011" w14:textId="1F8B2FD9" w:rsidR="00832B9F" w:rsidRPr="002B3F05" w:rsidRDefault="00832B9F" w:rsidP="002B3F05">
      <w:pPr>
        <w:spacing w:line="360" w:lineRule="auto"/>
        <w:jc w:val="both"/>
        <w:rPr>
          <w:rFonts w:ascii="Arial" w:hAnsi="Arial" w:cs="Arial"/>
          <w:i/>
          <w:iCs/>
        </w:rPr>
      </w:pPr>
      <w:r w:rsidRPr="002B3F05">
        <w:rPr>
          <w:rFonts w:ascii="Arial" w:eastAsia="Times New Roman" w:hAnsi="Arial" w:cs="Arial"/>
          <w:color w:val="0E101A"/>
          <w:kern w:val="0"/>
          <w:lang w:eastAsia="en-GB"/>
          <w14:ligatures w14:val="none"/>
        </w:rPr>
        <w:t xml:space="preserve">        </w:t>
      </w:r>
      <w:r w:rsidR="00B14583">
        <w:rPr>
          <w:rFonts w:ascii="Arial" w:eastAsia="Times New Roman" w:hAnsi="Arial" w:cs="Arial"/>
          <w:color w:val="0E101A"/>
          <w:kern w:val="0"/>
          <w:lang w:eastAsia="en-GB"/>
          <w14:ligatures w14:val="none"/>
        </w:rPr>
        <w:t xml:space="preserve">          </w:t>
      </w:r>
      <w:r w:rsidRPr="002B3F05">
        <w:rPr>
          <w:rFonts w:ascii="Arial" w:eastAsia="Times New Roman" w:hAnsi="Arial" w:cs="Arial"/>
          <w:color w:val="0E101A"/>
          <w:kern w:val="0"/>
          <w:lang w:eastAsia="en-GB"/>
          <w14:ligatures w14:val="none"/>
        </w:rPr>
        <w:t xml:space="preserve">  </w:t>
      </w:r>
      <w:r w:rsidR="002B3F05" w:rsidRPr="002B3F05">
        <w:rPr>
          <w:rFonts w:ascii="Arial" w:hAnsi="Arial" w:cs="Arial"/>
        </w:rPr>
        <w:t>Social Factors</w:t>
      </w:r>
      <w:r w:rsidR="002B3F05">
        <w:rPr>
          <w:rFonts w:ascii="Arial" w:hAnsi="Arial" w:cs="Arial"/>
          <w:i/>
          <w:iCs/>
        </w:rPr>
        <w:t>……………………………………</w:t>
      </w:r>
      <w:r w:rsidR="00AF54A8">
        <w:rPr>
          <w:rFonts w:ascii="Arial" w:hAnsi="Arial" w:cs="Arial"/>
          <w:i/>
          <w:iCs/>
        </w:rPr>
        <w:t>….</w:t>
      </w:r>
      <w:r w:rsidRPr="008D445E">
        <w:rPr>
          <w:rFonts w:ascii="Arial" w:eastAsia="Times New Roman" w:hAnsi="Arial" w:cs="Arial"/>
          <w:color w:val="0E101A"/>
          <w:kern w:val="0"/>
          <w:lang w:eastAsia="en-GB"/>
          <w14:ligatures w14:val="none"/>
        </w:rPr>
        <w:t>……</w:t>
      </w:r>
      <w:r w:rsidR="00AF54A8">
        <w:rPr>
          <w:rFonts w:ascii="Arial" w:eastAsia="Times New Roman" w:hAnsi="Arial" w:cs="Arial"/>
          <w:color w:val="0E101A"/>
          <w:kern w:val="0"/>
          <w:lang w:eastAsia="en-GB"/>
          <w14:ligatures w14:val="none"/>
        </w:rPr>
        <w:t>……….</w:t>
      </w:r>
      <w:r w:rsidRPr="008D445E">
        <w:rPr>
          <w:rFonts w:ascii="Arial" w:eastAsia="Times New Roman" w:hAnsi="Arial" w:cs="Arial"/>
          <w:color w:val="0E101A"/>
          <w:kern w:val="0"/>
          <w:lang w:eastAsia="en-GB"/>
          <w14:ligatures w14:val="none"/>
        </w:rPr>
        <w:t>……….</w:t>
      </w:r>
      <w:r w:rsidR="00AF54A8">
        <w:rPr>
          <w:rFonts w:ascii="Arial" w:eastAsia="Times New Roman" w:hAnsi="Arial" w:cs="Arial"/>
          <w:color w:val="0E101A"/>
          <w:kern w:val="0"/>
          <w:lang w:eastAsia="en-GB"/>
          <w14:ligatures w14:val="none"/>
        </w:rPr>
        <w:t>2.3</w:t>
      </w:r>
    </w:p>
    <w:p w14:paraId="25E90781" w14:textId="7A5CDA52" w:rsidR="00B14583" w:rsidRDefault="002B3F05" w:rsidP="00847663">
      <w:pPr>
        <w:spacing w:line="360" w:lineRule="auto"/>
        <w:jc w:val="both"/>
        <w:rPr>
          <w:rFonts w:ascii="Arial" w:hAnsi="Arial" w:cs="Arial"/>
          <w:i/>
          <w:iCs/>
        </w:rPr>
      </w:pPr>
      <w:r>
        <w:rPr>
          <w:rFonts w:ascii="Arial" w:eastAsia="Times New Roman" w:hAnsi="Arial" w:cs="Arial"/>
          <w:color w:val="0E101A"/>
          <w:kern w:val="0"/>
          <w:lang w:eastAsia="en-GB"/>
          <w14:ligatures w14:val="none"/>
        </w:rPr>
        <w:t xml:space="preserve">     </w:t>
      </w:r>
      <w:r w:rsidR="00B14583">
        <w:rPr>
          <w:rFonts w:ascii="Arial" w:eastAsia="Times New Roman" w:hAnsi="Arial" w:cs="Arial"/>
          <w:color w:val="0E101A"/>
          <w:kern w:val="0"/>
          <w:lang w:eastAsia="en-GB"/>
          <w14:ligatures w14:val="none"/>
        </w:rPr>
        <w:t xml:space="preserve">           </w:t>
      </w:r>
      <w:r>
        <w:rPr>
          <w:rFonts w:ascii="Arial" w:eastAsia="Times New Roman" w:hAnsi="Arial" w:cs="Arial"/>
          <w:color w:val="0E101A"/>
          <w:kern w:val="0"/>
          <w:lang w:eastAsia="en-GB"/>
          <w14:ligatures w14:val="none"/>
        </w:rPr>
        <w:t xml:space="preserve">  </w:t>
      </w:r>
      <w:r w:rsidRPr="002B3F05">
        <w:rPr>
          <w:rFonts w:ascii="Arial" w:hAnsi="Arial" w:cs="Arial"/>
        </w:rPr>
        <w:t>Technological Factor</w:t>
      </w:r>
      <w:r w:rsidR="00F332D2">
        <w:rPr>
          <w:rFonts w:ascii="Arial" w:hAnsi="Arial" w:cs="Arial"/>
        </w:rPr>
        <w:t>……………………………………</w:t>
      </w:r>
      <w:r w:rsidR="00AF54A8">
        <w:rPr>
          <w:rFonts w:ascii="Arial" w:hAnsi="Arial" w:cs="Arial"/>
        </w:rPr>
        <w:t>…………</w:t>
      </w:r>
      <w:r w:rsidR="00F332D2">
        <w:rPr>
          <w:rFonts w:ascii="Arial" w:hAnsi="Arial" w:cs="Arial"/>
        </w:rPr>
        <w:t>…………</w:t>
      </w:r>
      <w:r w:rsidR="00AF54A8">
        <w:rPr>
          <w:rFonts w:ascii="Arial" w:eastAsia="Times New Roman" w:hAnsi="Arial" w:cs="Arial"/>
          <w:color w:val="0E101A"/>
          <w:kern w:val="0"/>
          <w:lang w:eastAsia="en-GB"/>
          <w14:ligatures w14:val="none"/>
        </w:rPr>
        <w:t>2.4</w:t>
      </w:r>
    </w:p>
    <w:p w14:paraId="6BBCC850" w14:textId="4AF1885E" w:rsidR="00847663" w:rsidRPr="00B14583" w:rsidRDefault="00847663" w:rsidP="00847663">
      <w:pPr>
        <w:spacing w:line="360" w:lineRule="auto"/>
        <w:jc w:val="both"/>
        <w:rPr>
          <w:rFonts w:ascii="Arial" w:hAnsi="Arial" w:cs="Arial"/>
          <w:i/>
          <w:iCs/>
        </w:rPr>
      </w:pPr>
      <w:r w:rsidRPr="004B5218">
        <w:rPr>
          <w:rFonts w:ascii="Arial" w:hAnsi="Arial" w:cs="Arial"/>
          <w:b/>
          <w:bCs/>
          <w:lang w:eastAsia="en-GB"/>
        </w:rPr>
        <w:t>Industry Trends in Employee Retention and Turnover Rates</w:t>
      </w:r>
      <w:r w:rsidR="00F031F2">
        <w:rPr>
          <w:rFonts w:ascii="Arial" w:hAnsi="Arial" w:cs="Arial"/>
          <w:lang w:eastAsia="en-GB"/>
        </w:rPr>
        <w:t>……………………</w:t>
      </w:r>
      <w:r w:rsidR="009252FF">
        <w:rPr>
          <w:rFonts w:ascii="Arial" w:hAnsi="Arial" w:cs="Arial"/>
          <w:lang w:eastAsia="en-GB"/>
        </w:rPr>
        <w:t>….</w:t>
      </w:r>
      <w:r w:rsidR="00F031F2" w:rsidRPr="004B5218">
        <w:rPr>
          <w:rFonts w:ascii="Arial" w:hAnsi="Arial" w:cs="Arial"/>
          <w:b/>
          <w:bCs/>
          <w:lang w:eastAsia="en-GB"/>
        </w:rPr>
        <w:t>3</w:t>
      </w:r>
    </w:p>
    <w:p w14:paraId="3FB8A394" w14:textId="45F11743" w:rsidR="009252FF" w:rsidRPr="009252FF" w:rsidRDefault="009252FF" w:rsidP="009252FF">
      <w:pPr>
        <w:spacing w:line="360" w:lineRule="auto"/>
        <w:jc w:val="both"/>
        <w:rPr>
          <w:rFonts w:ascii="Arial" w:hAnsi="Arial" w:cs="Arial"/>
          <w:lang w:eastAsia="en-GB"/>
        </w:rPr>
      </w:pPr>
      <w:r>
        <w:rPr>
          <w:rFonts w:ascii="Arial" w:hAnsi="Arial" w:cs="Arial"/>
          <w:lang w:eastAsia="en-GB"/>
        </w:rPr>
        <w:t xml:space="preserve">                  </w:t>
      </w:r>
      <w:r w:rsidRPr="009252FF">
        <w:rPr>
          <w:rFonts w:ascii="Arial" w:hAnsi="Arial" w:cs="Arial"/>
          <w:lang w:eastAsia="en-GB"/>
        </w:rPr>
        <w:t>Retention Rates</w:t>
      </w:r>
      <w:r>
        <w:rPr>
          <w:rFonts w:ascii="Arial" w:hAnsi="Arial" w:cs="Arial"/>
          <w:lang w:eastAsia="en-GB"/>
        </w:rPr>
        <w:t xml:space="preserve">…………………………………………………………….3.1 </w:t>
      </w:r>
    </w:p>
    <w:p w14:paraId="32715A93" w14:textId="77777777" w:rsidR="00BA602B" w:rsidRDefault="00BA602B" w:rsidP="00BA602B">
      <w:pPr>
        <w:spacing w:line="360" w:lineRule="auto"/>
        <w:jc w:val="both"/>
        <w:rPr>
          <w:rFonts w:ascii="Arial" w:hAnsi="Arial" w:cs="Arial"/>
          <w:i/>
          <w:iCs/>
        </w:rPr>
      </w:pPr>
      <w:r>
        <w:rPr>
          <w:rFonts w:ascii="Arial" w:hAnsi="Arial" w:cs="Arial"/>
        </w:rPr>
        <w:t xml:space="preserve">                  </w:t>
      </w:r>
      <w:r w:rsidRPr="00BA602B">
        <w:rPr>
          <w:rFonts w:ascii="Arial" w:hAnsi="Arial" w:cs="Arial"/>
        </w:rPr>
        <w:t>Turnover Rates</w:t>
      </w:r>
      <w:r>
        <w:rPr>
          <w:rFonts w:ascii="Arial" w:hAnsi="Arial" w:cs="Arial"/>
        </w:rPr>
        <w:t>…………………………………………………………….3.2</w:t>
      </w:r>
    </w:p>
    <w:p w14:paraId="14D10A7A" w14:textId="16AEFD7F" w:rsidR="00BA602B" w:rsidRPr="00BA602B" w:rsidRDefault="00E67070" w:rsidP="00BA602B">
      <w:pPr>
        <w:spacing w:line="360" w:lineRule="auto"/>
        <w:jc w:val="both"/>
        <w:rPr>
          <w:rFonts w:ascii="Arial" w:hAnsi="Arial" w:cs="Arial"/>
          <w:i/>
          <w:iCs/>
        </w:rPr>
      </w:pPr>
      <w:r w:rsidRPr="004B5218">
        <w:rPr>
          <w:rFonts w:ascii="Arial" w:hAnsi="Arial" w:cs="Arial"/>
          <w:b/>
          <w:bCs/>
          <w:lang w:eastAsia="en-GB"/>
        </w:rPr>
        <w:t>The Emergence</w:t>
      </w:r>
      <w:r w:rsidR="00BA602B" w:rsidRPr="004B5218">
        <w:rPr>
          <w:rFonts w:ascii="Arial" w:hAnsi="Arial" w:cs="Arial"/>
          <w:b/>
          <w:bCs/>
          <w:lang w:eastAsia="en-GB"/>
        </w:rPr>
        <w:t xml:space="preserve"> of Different Work Modes in the Hospitality Industry</w:t>
      </w:r>
      <w:r w:rsidR="00BA602B">
        <w:rPr>
          <w:rFonts w:ascii="Arial" w:hAnsi="Arial" w:cs="Arial"/>
          <w:lang w:eastAsia="en-GB"/>
        </w:rPr>
        <w:t>…………….</w:t>
      </w:r>
      <w:r w:rsidR="00BA602B" w:rsidRPr="004B5218">
        <w:rPr>
          <w:rFonts w:ascii="Arial" w:hAnsi="Arial" w:cs="Arial"/>
          <w:b/>
          <w:bCs/>
          <w:lang w:eastAsia="en-GB"/>
        </w:rPr>
        <w:t>4</w:t>
      </w:r>
    </w:p>
    <w:p w14:paraId="64F0FA84" w14:textId="4ECA5A82" w:rsidR="00E67070" w:rsidRDefault="00E67070" w:rsidP="00E67070">
      <w:pPr>
        <w:spacing w:line="360" w:lineRule="auto"/>
        <w:jc w:val="both"/>
        <w:rPr>
          <w:rFonts w:ascii="Arial" w:hAnsi="Arial" w:cs="Arial"/>
          <w:lang w:eastAsia="en-GB"/>
        </w:rPr>
      </w:pPr>
      <w:r>
        <w:rPr>
          <w:rFonts w:ascii="Arial" w:hAnsi="Arial" w:cs="Arial"/>
          <w:lang w:eastAsia="en-GB"/>
        </w:rPr>
        <w:t xml:space="preserve">                    </w:t>
      </w:r>
      <w:r w:rsidRPr="00E67070">
        <w:rPr>
          <w:rFonts w:ascii="Arial" w:hAnsi="Arial" w:cs="Arial"/>
          <w:lang w:eastAsia="en-GB"/>
        </w:rPr>
        <w:t>Hybrid Work Mode</w:t>
      </w:r>
      <w:r>
        <w:rPr>
          <w:rFonts w:ascii="Arial" w:hAnsi="Arial" w:cs="Arial"/>
          <w:lang w:eastAsia="en-GB"/>
        </w:rPr>
        <w:t>……………………………………………………</w:t>
      </w:r>
      <w:r w:rsidR="00ED65CA">
        <w:rPr>
          <w:rFonts w:ascii="Arial" w:hAnsi="Arial" w:cs="Arial"/>
          <w:lang w:eastAsia="en-GB"/>
        </w:rPr>
        <w:t>….</w:t>
      </w:r>
      <w:r>
        <w:rPr>
          <w:rFonts w:ascii="Arial" w:hAnsi="Arial" w:cs="Arial"/>
          <w:lang w:eastAsia="en-GB"/>
        </w:rPr>
        <w:t>4.1</w:t>
      </w:r>
    </w:p>
    <w:p w14:paraId="6B73329E" w14:textId="23DBAC45" w:rsidR="00ED65CA" w:rsidRDefault="00ED65CA" w:rsidP="00E67070">
      <w:pPr>
        <w:spacing w:line="360" w:lineRule="auto"/>
        <w:jc w:val="both"/>
        <w:rPr>
          <w:rFonts w:ascii="Arial" w:hAnsi="Arial" w:cs="Arial"/>
          <w:lang w:eastAsia="en-GB"/>
        </w:rPr>
      </w:pPr>
      <w:r>
        <w:rPr>
          <w:rFonts w:ascii="Arial" w:hAnsi="Arial" w:cs="Arial"/>
          <w:lang w:eastAsia="en-GB"/>
        </w:rPr>
        <w:t xml:space="preserve">                    Remote work mode………………………………………………………4.2</w:t>
      </w:r>
    </w:p>
    <w:p w14:paraId="0E6AE08B" w14:textId="43FEFFDF" w:rsidR="00ED65CA" w:rsidRPr="00ED65CA" w:rsidRDefault="00ED65CA" w:rsidP="00ED65CA">
      <w:pPr>
        <w:spacing w:line="360" w:lineRule="auto"/>
        <w:jc w:val="both"/>
        <w:rPr>
          <w:rFonts w:ascii="Arial" w:hAnsi="Arial" w:cs="Arial"/>
        </w:rPr>
      </w:pPr>
      <w:r>
        <w:rPr>
          <w:rFonts w:ascii="Arial" w:hAnsi="Arial" w:cs="Arial"/>
        </w:rPr>
        <w:t xml:space="preserve">                    </w:t>
      </w:r>
      <w:r w:rsidRPr="00ED65CA">
        <w:rPr>
          <w:rFonts w:ascii="Arial" w:hAnsi="Arial" w:cs="Arial"/>
        </w:rPr>
        <w:t>Flexible work mode</w:t>
      </w:r>
      <w:r>
        <w:rPr>
          <w:rFonts w:ascii="Arial" w:hAnsi="Arial" w:cs="Arial"/>
        </w:rPr>
        <w:t>………………………………………………………4.3</w:t>
      </w:r>
    </w:p>
    <w:p w14:paraId="01FD2506" w14:textId="4D57E55F" w:rsidR="002D5F1B" w:rsidRPr="00F61128" w:rsidRDefault="00F61128" w:rsidP="00F61128">
      <w:pPr>
        <w:spacing w:line="360" w:lineRule="auto"/>
        <w:jc w:val="both"/>
        <w:rPr>
          <w:rFonts w:ascii="Arial" w:hAnsi="Arial" w:cs="Arial"/>
          <w:b/>
          <w:bCs/>
        </w:rPr>
      </w:pPr>
      <w:r w:rsidRPr="00F61128">
        <w:rPr>
          <w:rFonts w:ascii="Arial" w:hAnsi="Arial" w:cs="Arial"/>
          <w:b/>
          <w:bCs/>
        </w:rPr>
        <w:t>Examples from Major Hotel Brands</w:t>
      </w:r>
      <w:r w:rsidR="004C013F">
        <w:rPr>
          <w:rFonts w:ascii="Arial" w:hAnsi="Arial" w:cs="Arial"/>
          <w:b/>
          <w:bCs/>
        </w:rPr>
        <w:t>……………………………………………………5</w:t>
      </w:r>
    </w:p>
    <w:p w14:paraId="6ACF8DAB" w14:textId="5B816767" w:rsidR="00AE59CA" w:rsidRPr="00EA4E4F" w:rsidRDefault="00170F1F" w:rsidP="00EA4E4F">
      <w:pPr>
        <w:pStyle w:val="Heading3"/>
        <w:spacing w:before="0" w:after="0" w:line="360" w:lineRule="auto"/>
        <w:jc w:val="both"/>
        <w:rPr>
          <w:rFonts w:ascii="Arial" w:hAnsi="Arial" w:cs="Arial"/>
          <w:b/>
          <w:bCs/>
          <w:color w:val="0E101A"/>
          <w:sz w:val="24"/>
          <w:szCs w:val="24"/>
        </w:rPr>
      </w:pPr>
      <w:r w:rsidRPr="00170F1F">
        <w:rPr>
          <w:rStyle w:val="Strong"/>
          <w:rFonts w:ascii="Arial" w:hAnsi="Arial" w:cs="Arial"/>
          <w:color w:val="0E101A"/>
          <w:sz w:val="24"/>
          <w:szCs w:val="24"/>
        </w:rPr>
        <w:t>Potential Solutions</w:t>
      </w:r>
      <w:r>
        <w:rPr>
          <w:rStyle w:val="Strong"/>
          <w:rFonts w:ascii="Arial" w:hAnsi="Arial" w:cs="Arial"/>
          <w:color w:val="0E101A"/>
          <w:sz w:val="24"/>
          <w:szCs w:val="24"/>
        </w:rPr>
        <w:t>……………………………………………………………………</w:t>
      </w:r>
      <w:r w:rsidR="002D5F1B">
        <w:rPr>
          <w:rStyle w:val="Strong"/>
          <w:rFonts w:ascii="Arial" w:hAnsi="Arial" w:cs="Arial"/>
          <w:color w:val="0E101A"/>
          <w:sz w:val="24"/>
          <w:szCs w:val="24"/>
        </w:rPr>
        <w:t>….</w:t>
      </w:r>
      <w:r>
        <w:rPr>
          <w:rStyle w:val="Strong"/>
          <w:rFonts w:ascii="Arial" w:hAnsi="Arial" w:cs="Arial"/>
          <w:color w:val="0E101A"/>
          <w:sz w:val="24"/>
          <w:szCs w:val="24"/>
        </w:rPr>
        <w:t>6</w:t>
      </w:r>
    </w:p>
    <w:p w14:paraId="475F9A12" w14:textId="2592FBCB" w:rsidR="00832B9F" w:rsidRPr="008D445E" w:rsidRDefault="00832B9F" w:rsidP="00255473">
      <w:pPr>
        <w:pStyle w:val="TOC1"/>
        <w:rPr>
          <w:noProof/>
        </w:rPr>
      </w:pPr>
      <w:hyperlink w:anchor="_Toc167822749" w:history="1">
        <w:r w:rsidRPr="008D445E">
          <w:t>Evaluation and Conclusion</w:t>
        </w:r>
        <w:r w:rsidR="004E728D">
          <w:t>…………………………………………………………</w:t>
        </w:r>
        <w:r w:rsidR="004E2417">
          <w:t>…</w:t>
        </w:r>
        <w:r w:rsidRPr="008D445E">
          <w:rPr>
            <w:noProof/>
            <w:webHidden/>
          </w:rPr>
          <w:tab/>
        </w:r>
        <w:r w:rsidR="00170F1F">
          <w:rPr>
            <w:noProof/>
            <w:webHidden/>
          </w:rPr>
          <w:t>7</w:t>
        </w:r>
      </w:hyperlink>
    </w:p>
    <w:p w14:paraId="40B31EC9" w14:textId="37C087A9" w:rsidR="00832B9F" w:rsidRPr="008D445E" w:rsidRDefault="00832B9F" w:rsidP="00832B9F">
      <w:pPr>
        <w:spacing w:after="0" w:line="600" w:lineRule="auto"/>
        <w:rPr>
          <w:rFonts w:ascii="Arial" w:eastAsia="Times New Roman" w:hAnsi="Arial" w:cs="Arial"/>
          <w:color w:val="0E101A"/>
          <w:kern w:val="0"/>
          <w:lang w:eastAsia="en-GB"/>
          <w14:ligatures w14:val="none"/>
        </w:rPr>
      </w:pPr>
      <w:hyperlink w:anchor="_Toc167822753" w:history="1">
        <w:r w:rsidRPr="004E728D">
          <w:rPr>
            <w:rFonts w:ascii="Arial" w:eastAsia="Times New Roman" w:hAnsi="Arial" w:cs="Arial"/>
            <w:b/>
            <w:bCs/>
            <w:color w:val="0E101A"/>
            <w:kern w:val="0"/>
            <w:lang w:eastAsia="en-GB"/>
            <w14:ligatures w14:val="none"/>
          </w:rPr>
          <w:t>References</w:t>
        </w:r>
        <w:r w:rsidRPr="008D445E">
          <w:rPr>
            <w:rFonts w:ascii="Arial" w:eastAsia="Times New Roman" w:hAnsi="Arial" w:cs="Arial"/>
            <w:color w:val="0E101A"/>
            <w:kern w:val="0"/>
            <w:lang w:eastAsia="en-GB"/>
            <w14:ligatures w14:val="none"/>
          </w:rPr>
          <w:t xml:space="preserve"> ………………………………………………………………………………….</w:t>
        </w:r>
        <w:r w:rsidR="00170F1F" w:rsidRPr="002D5F1B">
          <w:rPr>
            <w:rFonts w:ascii="Arial" w:hAnsi="Arial" w:cs="Arial"/>
            <w:b/>
            <w:bCs/>
            <w:noProof/>
            <w:webHidden/>
          </w:rPr>
          <w:t>8</w:t>
        </w:r>
      </w:hyperlink>
    </w:p>
    <w:p w14:paraId="32B0D74B" w14:textId="77777777" w:rsidR="00832B9F" w:rsidRDefault="00832B9F" w:rsidP="00832B9F">
      <w:pPr>
        <w:spacing w:before="100" w:beforeAutospacing="1" w:after="100" w:afterAutospacing="1" w:line="600" w:lineRule="auto"/>
        <w:jc w:val="both"/>
        <w:rPr>
          <w:rFonts w:ascii="Times New Roman" w:eastAsia="Times New Roman" w:hAnsi="Times New Roman" w:cs="Times New Roman"/>
          <w:kern w:val="0"/>
          <w:lang w:eastAsia="en-GB"/>
          <w14:ligatures w14:val="none"/>
        </w:rPr>
      </w:pPr>
    </w:p>
    <w:p w14:paraId="45401CA8" w14:textId="77777777" w:rsidR="00832B9F" w:rsidRDefault="00832B9F" w:rsidP="00832B9F">
      <w:pPr>
        <w:spacing w:before="100" w:beforeAutospacing="1" w:after="100" w:afterAutospacing="1" w:line="600" w:lineRule="auto"/>
        <w:jc w:val="both"/>
        <w:rPr>
          <w:rFonts w:ascii="Times New Roman" w:eastAsia="Times New Roman" w:hAnsi="Times New Roman" w:cs="Times New Roman"/>
          <w:kern w:val="0"/>
          <w:lang w:eastAsia="en-GB"/>
          <w14:ligatures w14:val="none"/>
        </w:rPr>
      </w:pPr>
    </w:p>
    <w:p w14:paraId="5BCC6413" w14:textId="77777777" w:rsidR="00A45041" w:rsidRDefault="00A45041" w:rsidP="003949D7">
      <w:pPr>
        <w:spacing w:line="360" w:lineRule="auto"/>
        <w:jc w:val="both"/>
        <w:rPr>
          <w:rFonts w:ascii="Algerian" w:hAnsi="Algerian" w:cs="Arial"/>
          <w:b/>
          <w:bCs/>
          <w:lang w:eastAsia="en-GB"/>
        </w:rPr>
      </w:pPr>
    </w:p>
    <w:p w14:paraId="69B70F9F" w14:textId="77777777" w:rsidR="002B3F05" w:rsidRDefault="002B3F05" w:rsidP="003949D7">
      <w:pPr>
        <w:spacing w:line="360" w:lineRule="auto"/>
        <w:jc w:val="both"/>
        <w:rPr>
          <w:rFonts w:ascii="Algerian" w:hAnsi="Algerian" w:cs="Arial"/>
          <w:b/>
          <w:bCs/>
          <w:lang w:eastAsia="en-GB"/>
        </w:rPr>
      </w:pPr>
    </w:p>
    <w:p w14:paraId="23ED56CC" w14:textId="603980A8" w:rsidR="00C72DFC" w:rsidRPr="00E67BC4" w:rsidRDefault="00C72DFC" w:rsidP="003949D7">
      <w:pPr>
        <w:spacing w:line="360" w:lineRule="auto"/>
        <w:jc w:val="both"/>
        <w:rPr>
          <w:rFonts w:ascii="Algerian" w:hAnsi="Algerian" w:cs="Arial"/>
          <w:b/>
          <w:bCs/>
          <w:lang w:eastAsia="en-GB"/>
        </w:rPr>
      </w:pPr>
      <w:r w:rsidRPr="00E67BC4">
        <w:rPr>
          <w:rFonts w:ascii="Algerian" w:hAnsi="Algerian" w:cs="Arial"/>
          <w:b/>
          <w:bCs/>
          <w:lang w:eastAsia="en-GB"/>
        </w:rPr>
        <w:t>Introduction and Background</w:t>
      </w:r>
    </w:p>
    <w:p w14:paraId="7FC05CE2" w14:textId="3B2DE158" w:rsidR="002E27A3" w:rsidRPr="003949D7" w:rsidRDefault="002E27A3" w:rsidP="003949D7">
      <w:pPr>
        <w:spacing w:line="360" w:lineRule="auto"/>
        <w:jc w:val="both"/>
        <w:rPr>
          <w:rFonts w:ascii="Arial" w:hAnsi="Arial" w:cs="Arial"/>
        </w:rPr>
      </w:pPr>
      <w:r w:rsidRPr="003949D7">
        <w:rPr>
          <w:rFonts w:ascii="Arial" w:hAnsi="Arial" w:cs="Arial"/>
        </w:rPr>
        <w:t xml:space="preserve">This project proposal </w:t>
      </w:r>
      <w:r w:rsidR="006010F8">
        <w:rPr>
          <w:rFonts w:ascii="Arial" w:hAnsi="Arial" w:cs="Arial"/>
        </w:rPr>
        <w:t>is a comprehensive exploration of the significant impacts of socioeconomic forces on employee performance management and monitoring practices, particularly in the dynamic context of the hospitality industry. Our primary objective is to understand how these factors influence the workforce management strategies of Hilton Hotels &amp; Resorts, a global and fastest-growing hospitality company with a portfolio of 23 world-class brands, nearly 7626 properties, 1.1 million rooms in 126 countries and territories, and more than 173 million Hilton Honors members. (</w:t>
      </w:r>
      <w:proofErr w:type="spellStart"/>
      <w:r w:rsidR="006010F8">
        <w:rPr>
          <w:rFonts w:ascii="Arial" w:hAnsi="Arial" w:cs="Arial"/>
        </w:rPr>
        <w:t>Fachada</w:t>
      </w:r>
      <w:proofErr w:type="spellEnd"/>
      <w:r w:rsidR="006010F8">
        <w:rPr>
          <w:rFonts w:ascii="Arial" w:hAnsi="Arial" w:cs="Arial"/>
        </w:rPr>
        <w:t>, 2023: p. 7, Hilton, 2024). This vast reach and influence position</w:t>
      </w:r>
      <w:r w:rsidRPr="003949D7">
        <w:rPr>
          <w:rFonts w:ascii="Arial" w:hAnsi="Arial" w:cs="Arial"/>
        </w:rPr>
        <w:t xml:space="preserve"> it as the most diversified hospitality firm in the world. The launch of the Hilton Honors program further underscores the firm's commitment to growth and innovation. Hilton's human resource strategies and ability to effectively manage its workforce across various work arrangements are pivotal and set the industry's standard.</w:t>
      </w:r>
    </w:p>
    <w:p w14:paraId="11B84C2E" w14:textId="12A99310" w:rsidR="002E27A3" w:rsidRPr="003949D7" w:rsidRDefault="002E27A3" w:rsidP="003949D7">
      <w:pPr>
        <w:spacing w:line="360" w:lineRule="auto"/>
        <w:jc w:val="both"/>
        <w:rPr>
          <w:rFonts w:ascii="Arial" w:hAnsi="Arial" w:cs="Arial"/>
        </w:rPr>
      </w:pPr>
      <w:r w:rsidRPr="003949D7">
        <w:rPr>
          <w:rFonts w:ascii="Arial" w:hAnsi="Arial" w:cs="Arial"/>
        </w:rPr>
        <w:t xml:space="preserve">The COVID-19 pandemic has </w:t>
      </w:r>
      <w:r w:rsidR="006010F8">
        <w:rPr>
          <w:rFonts w:ascii="Arial" w:hAnsi="Arial" w:cs="Arial"/>
        </w:rPr>
        <w:t>not only been a health crisis but also a catalyst for a profound shift in workforce priorities, forcing firms to redefine their operations (Sarkis et al., 2020: p. 1). Socioeconomic factors have played a significant role in shaping these changes, influencing</w:t>
      </w:r>
      <w:r w:rsidRPr="003949D7">
        <w:rPr>
          <w:rFonts w:ascii="Arial" w:hAnsi="Arial" w:cs="Arial"/>
        </w:rPr>
        <w:t xml:space="preserve"> alternative work modes such as hybrid/remote work, flexi-hours, and job-sharing (</w:t>
      </w:r>
      <w:proofErr w:type="spellStart"/>
      <w:r w:rsidRPr="003949D7">
        <w:rPr>
          <w:rFonts w:ascii="Arial" w:hAnsi="Arial" w:cs="Arial"/>
        </w:rPr>
        <w:t>Spurk</w:t>
      </w:r>
      <w:proofErr w:type="spellEnd"/>
      <w:r w:rsidRPr="003949D7">
        <w:rPr>
          <w:rFonts w:ascii="Arial" w:hAnsi="Arial" w:cs="Arial"/>
        </w:rPr>
        <w:t xml:space="preserve"> and Straub, 2020: </w:t>
      </w:r>
      <w:r w:rsidR="001F24A6" w:rsidRPr="003949D7">
        <w:rPr>
          <w:rFonts w:ascii="Arial" w:hAnsi="Arial" w:cs="Arial"/>
        </w:rPr>
        <w:t>p.</w:t>
      </w:r>
      <w:r w:rsidRPr="003949D7">
        <w:rPr>
          <w:rFonts w:ascii="Arial" w:hAnsi="Arial" w:cs="Arial"/>
        </w:rPr>
        <w:t xml:space="preserve">1). Most residences, eateries, theme parks, and movie theatres were closed during the pandemic. According to Sigala (2020), the travel ecosystem's disruptive influence affected global tourism. </w:t>
      </w:r>
    </w:p>
    <w:p w14:paraId="664F40C6" w14:textId="77777777" w:rsidR="002E27A3" w:rsidRPr="003949D7" w:rsidRDefault="002E27A3" w:rsidP="003949D7">
      <w:pPr>
        <w:spacing w:line="360" w:lineRule="auto"/>
        <w:jc w:val="both"/>
        <w:rPr>
          <w:rFonts w:ascii="Arial" w:hAnsi="Arial" w:cs="Arial"/>
        </w:rPr>
      </w:pPr>
      <w:r w:rsidRPr="003949D7">
        <w:rPr>
          <w:rFonts w:ascii="Arial" w:hAnsi="Arial" w:cs="Arial"/>
        </w:rPr>
        <w:t>This proposal is a deep dive into the impacts of socioeconomic factors such as economic fluctuations, social trends, and technological advancements on Hilton's employee performance monitoring and evaluation strategies in different work modes. Understanding these impacts is crucial and necessary, as performance management is a key driver of employee engagement, productivity, and retention. By providing a comprehensive view of current issues and potential solutions, this research aims to equip the industry with the knowledge needed to navigate these challenging times.</w:t>
      </w:r>
    </w:p>
    <w:p w14:paraId="683C2DA8" w14:textId="0974D163" w:rsidR="00EE3324" w:rsidRPr="003949D7" w:rsidRDefault="002E27A3" w:rsidP="003949D7">
      <w:pPr>
        <w:spacing w:line="360" w:lineRule="auto"/>
        <w:jc w:val="both"/>
        <w:rPr>
          <w:rFonts w:ascii="Arial" w:hAnsi="Arial" w:cs="Arial"/>
        </w:rPr>
      </w:pPr>
      <w:r w:rsidRPr="003949D7">
        <w:rPr>
          <w:rFonts w:ascii="Arial" w:hAnsi="Arial" w:cs="Arial"/>
        </w:rPr>
        <w:t>Organisations should not just consider but implement effective performance management systems to ensure sustainable business growth.</w:t>
      </w:r>
    </w:p>
    <w:p w14:paraId="78512576" w14:textId="77777777" w:rsidR="00FE1BE3" w:rsidRPr="003949D7" w:rsidRDefault="00FE1BE3" w:rsidP="003949D7">
      <w:pPr>
        <w:spacing w:line="360" w:lineRule="auto"/>
        <w:jc w:val="both"/>
        <w:rPr>
          <w:rFonts w:ascii="Arial" w:hAnsi="Arial" w:cs="Arial"/>
        </w:rPr>
      </w:pPr>
    </w:p>
    <w:p w14:paraId="4D8D9D91" w14:textId="77777777" w:rsidR="00420335" w:rsidRPr="003949D7" w:rsidRDefault="00420335" w:rsidP="003949D7">
      <w:pPr>
        <w:spacing w:line="360" w:lineRule="auto"/>
        <w:jc w:val="both"/>
        <w:rPr>
          <w:rFonts w:ascii="Arial" w:hAnsi="Arial" w:cs="Arial"/>
        </w:rPr>
      </w:pPr>
    </w:p>
    <w:p w14:paraId="5789CCB5" w14:textId="77777777" w:rsidR="0023177A" w:rsidRPr="00375AB6" w:rsidRDefault="0023177A" w:rsidP="003949D7">
      <w:pPr>
        <w:spacing w:line="360" w:lineRule="auto"/>
        <w:jc w:val="both"/>
        <w:rPr>
          <w:rFonts w:ascii="Algerian" w:hAnsi="Algerian" w:cs="Arial"/>
          <w:b/>
          <w:bCs/>
        </w:rPr>
      </w:pPr>
      <w:r w:rsidRPr="00375AB6">
        <w:rPr>
          <w:rFonts w:ascii="Algerian" w:hAnsi="Algerian" w:cs="Arial"/>
          <w:b/>
          <w:bCs/>
        </w:rPr>
        <w:t>Discussion/Literature Review</w:t>
      </w:r>
    </w:p>
    <w:p w14:paraId="5C7F184A" w14:textId="77777777" w:rsidR="0023177A" w:rsidRPr="00375AB6" w:rsidRDefault="0023177A" w:rsidP="003949D7">
      <w:pPr>
        <w:spacing w:line="360" w:lineRule="auto"/>
        <w:jc w:val="both"/>
        <w:rPr>
          <w:rFonts w:ascii="Algerian" w:hAnsi="Algerian" w:cs="Arial"/>
          <w:b/>
          <w:bCs/>
        </w:rPr>
      </w:pPr>
      <w:r w:rsidRPr="00375AB6">
        <w:rPr>
          <w:rFonts w:ascii="Algerian" w:hAnsi="Algerian" w:cs="Arial"/>
          <w:b/>
          <w:bCs/>
        </w:rPr>
        <w:t>Socio-Economic Factors Affecting Hilton Performance Management</w:t>
      </w:r>
    </w:p>
    <w:p w14:paraId="12D3B53D" w14:textId="77777777" w:rsidR="0023177A" w:rsidRPr="000343FA" w:rsidRDefault="0023177A" w:rsidP="003949D7">
      <w:pPr>
        <w:spacing w:line="360" w:lineRule="auto"/>
        <w:jc w:val="both"/>
        <w:rPr>
          <w:rFonts w:ascii="Arial" w:hAnsi="Arial" w:cs="Arial"/>
          <w:u w:val="single"/>
        </w:rPr>
      </w:pPr>
      <w:r w:rsidRPr="004F231A">
        <w:rPr>
          <w:rFonts w:ascii="Arial" w:hAnsi="Arial" w:cs="Arial"/>
          <w:b/>
          <w:bCs/>
          <w:highlight w:val="yellow"/>
          <w:u w:val="single"/>
        </w:rPr>
        <w:t>Economic Factors</w:t>
      </w:r>
    </w:p>
    <w:p w14:paraId="5EDC9D48" w14:textId="14C70E70" w:rsidR="0023177A" w:rsidRDefault="0023177A" w:rsidP="003949D7">
      <w:pPr>
        <w:spacing w:after="0" w:line="360" w:lineRule="auto"/>
        <w:jc w:val="both"/>
        <w:outlineLvl w:val="3"/>
        <w:rPr>
          <w:rFonts w:ascii="Arial" w:eastAsia="Times New Roman" w:hAnsi="Arial" w:cs="Arial"/>
          <w:color w:val="0E101A"/>
          <w:kern w:val="0"/>
          <w:lang w:eastAsia="en-GB"/>
          <w14:ligatures w14:val="none"/>
        </w:rPr>
      </w:pPr>
      <w:r w:rsidRPr="003949D7">
        <w:rPr>
          <w:rFonts w:ascii="Arial" w:eastAsia="Times New Roman" w:hAnsi="Arial" w:cs="Arial"/>
          <w:color w:val="0E101A"/>
          <w:kern w:val="0"/>
          <w:lang w:eastAsia="en-GB"/>
          <w14:ligatures w14:val="none"/>
        </w:rPr>
        <w:t xml:space="preserve">Economic stability significantly impacts the hospitality industry. Economic downturns, such as the global recession or the COVID-19 pandemic, lead to reduced travel and lower occupancy rates, affecting revenue and employee performance management. Nearly 4 million jobs were lost in the accommodation and food services sectors between 2020-2021 (Bureau of Labor Statistics, 2022). Economic pressures from reduced revenues have forced cost-cutting measures like furloughs, layoffs, and operational adjustments. Layoffs, although sometimes necessary, can lead to negative emotions among workers and decreased productivity. These economic challenges </w:t>
      </w:r>
      <w:r w:rsidR="00FB5AF9" w:rsidRPr="003949D7">
        <w:rPr>
          <w:rFonts w:ascii="Arial" w:eastAsia="Times New Roman" w:hAnsi="Arial" w:cs="Arial"/>
          <w:color w:val="0E101A"/>
          <w:kern w:val="0"/>
          <w:lang w:eastAsia="en-GB"/>
          <w14:ligatures w14:val="none"/>
        </w:rPr>
        <w:t>incentivise</w:t>
      </w:r>
      <w:r w:rsidRPr="003949D7">
        <w:rPr>
          <w:rFonts w:ascii="Arial" w:eastAsia="Times New Roman" w:hAnsi="Arial" w:cs="Arial"/>
          <w:color w:val="0E101A"/>
          <w:kern w:val="0"/>
          <w:lang w:eastAsia="en-GB"/>
          <w14:ligatures w14:val="none"/>
        </w:rPr>
        <w:t xml:space="preserve"> Hilton Hotels to embrace flexible work options to attract and retain talent (Murton et al., 2010). Additionally, economic pressures have increased labour costs, with the industry facing retention challenges amidst staff shortages and high turnover rates, reaching 73.8% in 2022 (York, 2023).</w:t>
      </w:r>
    </w:p>
    <w:p w14:paraId="02E03D51" w14:textId="77777777" w:rsidR="000343FA" w:rsidRPr="003949D7" w:rsidRDefault="000343FA" w:rsidP="003949D7">
      <w:pPr>
        <w:spacing w:after="0" w:line="360" w:lineRule="auto"/>
        <w:jc w:val="both"/>
        <w:outlineLvl w:val="3"/>
        <w:rPr>
          <w:rFonts w:ascii="Arial" w:eastAsia="Times New Roman" w:hAnsi="Arial" w:cs="Arial"/>
          <w:color w:val="0E101A"/>
          <w:kern w:val="0"/>
          <w:lang w:eastAsia="en-GB"/>
          <w14:ligatures w14:val="none"/>
        </w:rPr>
      </w:pPr>
    </w:p>
    <w:p w14:paraId="3162E12E" w14:textId="77777777" w:rsidR="000343FA" w:rsidRPr="000343FA" w:rsidRDefault="004A1C71" w:rsidP="000343FA">
      <w:pPr>
        <w:spacing w:line="360" w:lineRule="auto"/>
        <w:jc w:val="both"/>
        <w:rPr>
          <w:rFonts w:ascii="Arial" w:hAnsi="Arial" w:cs="Arial"/>
          <w:b/>
          <w:bCs/>
          <w:i/>
          <w:iCs/>
          <w:u w:val="single"/>
        </w:rPr>
      </w:pPr>
      <w:r w:rsidRPr="004F231A">
        <w:rPr>
          <w:rFonts w:ascii="Arial" w:hAnsi="Arial" w:cs="Arial"/>
          <w:b/>
          <w:bCs/>
          <w:highlight w:val="yellow"/>
          <w:u w:val="single"/>
        </w:rPr>
        <w:t>Social Factors</w:t>
      </w:r>
    </w:p>
    <w:p w14:paraId="508AAEDE" w14:textId="2742311D" w:rsidR="0023177A" w:rsidRDefault="0023177A" w:rsidP="000343FA">
      <w:pPr>
        <w:spacing w:line="360" w:lineRule="auto"/>
        <w:jc w:val="both"/>
        <w:rPr>
          <w:rFonts w:ascii="Arial" w:eastAsia="Times New Roman" w:hAnsi="Arial" w:cs="Arial"/>
          <w:color w:val="0E101A"/>
          <w:kern w:val="0"/>
          <w:lang w:eastAsia="en-GB"/>
          <w14:ligatures w14:val="none"/>
        </w:rPr>
      </w:pPr>
      <w:r w:rsidRPr="003949D7">
        <w:rPr>
          <w:rFonts w:ascii="Arial" w:eastAsia="Times New Roman" w:hAnsi="Arial" w:cs="Arial"/>
          <w:color w:val="0E101A"/>
          <w:kern w:val="0"/>
          <w:lang w:eastAsia="en-GB"/>
          <w14:ligatures w14:val="none"/>
        </w:rPr>
        <w:t xml:space="preserve">Societal factors such as </w:t>
      </w:r>
      <w:r w:rsidR="00FB5AF9" w:rsidRPr="003949D7">
        <w:rPr>
          <w:rFonts w:ascii="Arial" w:eastAsia="Times New Roman" w:hAnsi="Arial" w:cs="Arial"/>
          <w:color w:val="0E101A"/>
          <w:kern w:val="0"/>
          <w:lang w:eastAsia="en-GB"/>
          <w14:ligatures w14:val="none"/>
        </w:rPr>
        <w:t>urbanisation</w:t>
      </w:r>
      <w:r w:rsidRPr="003949D7">
        <w:rPr>
          <w:rFonts w:ascii="Arial" w:eastAsia="Times New Roman" w:hAnsi="Arial" w:cs="Arial"/>
          <w:color w:val="0E101A"/>
          <w:kern w:val="0"/>
          <w:lang w:eastAsia="en-GB"/>
          <w14:ligatures w14:val="none"/>
        </w:rPr>
        <w:t xml:space="preserve">, population ageing, and </w:t>
      </w:r>
      <w:r w:rsidR="00FB5AF9" w:rsidRPr="003949D7">
        <w:rPr>
          <w:rFonts w:ascii="Arial" w:eastAsia="Times New Roman" w:hAnsi="Arial" w:cs="Arial"/>
          <w:color w:val="0E101A"/>
          <w:kern w:val="0"/>
          <w:lang w:eastAsia="en-GB"/>
          <w14:ligatures w14:val="none"/>
        </w:rPr>
        <w:t>digitalisation</w:t>
      </w:r>
      <w:r w:rsidRPr="003949D7">
        <w:rPr>
          <w:rFonts w:ascii="Arial" w:eastAsia="Times New Roman" w:hAnsi="Arial" w:cs="Arial"/>
          <w:color w:val="0E101A"/>
          <w:kern w:val="0"/>
          <w:lang w:eastAsia="en-GB"/>
          <w14:ligatures w14:val="none"/>
        </w:rPr>
        <w:t xml:space="preserve"> reshape guest behaviours and workplace norms. The pandemic led to a sharp decline in hotel occupancy and income due to government-imposed travel restrictions and stay-at-home orders (Torrington et al., 2020). Labour shortages became prevalent, with significant workforce losses in the accommodation and food service sectors (Johnston et al., 2012). Social media and digital communication have also transformed social interactions, influencing consumer expectations and employee engagement. Abbas et al. (2019). Hilton must adapt resourcing strategies to cultivate an adaptive, service-oriented workforce that meets dynamic consumer needs. HR's role is evolving to align talent with long-term strategic priorities, focusing on proactive workforce planning, culture moulding and employee engagement (Kang and Lee, 2021).</w:t>
      </w:r>
    </w:p>
    <w:p w14:paraId="73B3625E" w14:textId="77777777" w:rsidR="000343FA" w:rsidRDefault="000343FA" w:rsidP="000343FA">
      <w:pPr>
        <w:spacing w:line="360" w:lineRule="auto"/>
        <w:jc w:val="both"/>
        <w:rPr>
          <w:rFonts w:ascii="Arial" w:eastAsia="Times New Roman" w:hAnsi="Arial" w:cs="Arial"/>
          <w:color w:val="0E101A"/>
          <w:kern w:val="0"/>
          <w:lang w:eastAsia="en-GB"/>
          <w14:ligatures w14:val="none"/>
        </w:rPr>
      </w:pPr>
    </w:p>
    <w:p w14:paraId="029A8991" w14:textId="77777777" w:rsidR="002B3F05" w:rsidRDefault="002B3F05" w:rsidP="000343FA">
      <w:pPr>
        <w:spacing w:line="360" w:lineRule="auto"/>
        <w:jc w:val="both"/>
        <w:rPr>
          <w:rFonts w:ascii="Arial" w:eastAsia="Times New Roman" w:hAnsi="Arial" w:cs="Arial"/>
          <w:color w:val="0E101A"/>
          <w:kern w:val="0"/>
          <w:lang w:eastAsia="en-GB"/>
          <w14:ligatures w14:val="none"/>
        </w:rPr>
      </w:pPr>
    </w:p>
    <w:p w14:paraId="5CA6D29E" w14:textId="77777777" w:rsidR="000343FA" w:rsidRPr="000343FA" w:rsidRDefault="000343FA" w:rsidP="000343FA">
      <w:pPr>
        <w:spacing w:line="360" w:lineRule="auto"/>
        <w:jc w:val="both"/>
        <w:rPr>
          <w:rFonts w:ascii="Arial" w:hAnsi="Arial" w:cs="Arial"/>
          <w:i/>
          <w:iCs/>
        </w:rPr>
      </w:pPr>
    </w:p>
    <w:p w14:paraId="1096CAAE" w14:textId="77777777" w:rsidR="00930B08" w:rsidRPr="000343FA" w:rsidRDefault="00930B08" w:rsidP="003949D7">
      <w:pPr>
        <w:spacing w:line="360" w:lineRule="auto"/>
        <w:jc w:val="both"/>
        <w:rPr>
          <w:rFonts w:ascii="Arial" w:hAnsi="Arial" w:cs="Arial"/>
          <w:b/>
          <w:bCs/>
          <w:i/>
          <w:iCs/>
          <w:u w:val="single"/>
        </w:rPr>
      </w:pPr>
      <w:r w:rsidRPr="004F231A">
        <w:rPr>
          <w:rFonts w:ascii="Arial" w:hAnsi="Arial" w:cs="Arial"/>
          <w:b/>
          <w:bCs/>
          <w:highlight w:val="yellow"/>
          <w:u w:val="single"/>
        </w:rPr>
        <w:t>Technological Factors</w:t>
      </w:r>
    </w:p>
    <w:p w14:paraId="0B493E91" w14:textId="77777777" w:rsidR="004E742A" w:rsidRPr="003949D7" w:rsidRDefault="004E742A" w:rsidP="003949D7">
      <w:pPr>
        <w:pStyle w:val="NormalWeb"/>
        <w:spacing w:line="360" w:lineRule="auto"/>
        <w:jc w:val="both"/>
        <w:rPr>
          <w:rFonts w:ascii="Arial" w:hAnsi="Arial" w:cs="Arial"/>
        </w:rPr>
      </w:pPr>
      <w:r w:rsidRPr="003949D7">
        <w:rPr>
          <w:rFonts w:ascii="Arial" w:hAnsi="Arial" w:cs="Arial"/>
        </w:rPr>
        <w:t>Technological advancements enable new work modes and performance monitoring tools. Technology allows for real-time performance tracking, multi-source feedback, and virtual coaching, which are critical for managing a dispersed workforce. Contemporary performance management practices involve continual feedback, coaching, goal alignment, and career development opportunities (</w:t>
      </w:r>
      <w:proofErr w:type="spellStart"/>
      <w:r w:rsidRPr="003949D7">
        <w:rPr>
          <w:rFonts w:ascii="Arial" w:hAnsi="Arial" w:cs="Arial"/>
        </w:rPr>
        <w:t>Beerkens</w:t>
      </w:r>
      <w:proofErr w:type="spellEnd"/>
      <w:r w:rsidRPr="003949D7">
        <w:rPr>
          <w:rFonts w:ascii="Arial" w:hAnsi="Arial" w:cs="Arial"/>
        </w:rPr>
        <w:t>, 2022). Adopting digital platforms for remote work, virtual training programs, and advanced analytics for performance evaluation is becoming integral to performance management in the hospitality industry. Hilton manages and monitors employees effectively, regardless of their work mode.  However, technology also challenges ensuring consistent and fair performance assessments across different work modes.</w:t>
      </w:r>
    </w:p>
    <w:p w14:paraId="67A05D8C" w14:textId="77777777" w:rsidR="00D67D12" w:rsidRPr="00375AB6" w:rsidRDefault="00D67D12" w:rsidP="003949D7">
      <w:pPr>
        <w:spacing w:line="360" w:lineRule="auto"/>
        <w:jc w:val="both"/>
        <w:rPr>
          <w:rFonts w:ascii="Algerian" w:hAnsi="Algerian" w:cs="Arial"/>
          <w:b/>
          <w:bCs/>
          <w:lang w:eastAsia="en-GB"/>
        </w:rPr>
      </w:pPr>
      <w:r w:rsidRPr="00375AB6">
        <w:rPr>
          <w:rFonts w:ascii="Algerian" w:hAnsi="Algerian" w:cs="Arial"/>
          <w:b/>
          <w:bCs/>
          <w:lang w:eastAsia="en-GB"/>
        </w:rPr>
        <w:t>Industry Trends in Employee Retention and Turnover Rates</w:t>
      </w:r>
    </w:p>
    <w:p w14:paraId="0E31A81E" w14:textId="77777777" w:rsidR="00D67D12" w:rsidRPr="000343FA" w:rsidRDefault="00D67D12" w:rsidP="003949D7">
      <w:pPr>
        <w:spacing w:line="360" w:lineRule="auto"/>
        <w:jc w:val="both"/>
        <w:rPr>
          <w:rFonts w:ascii="Arial" w:hAnsi="Arial" w:cs="Arial"/>
          <w:b/>
          <w:bCs/>
          <w:u w:val="single"/>
          <w:lang w:eastAsia="en-GB"/>
        </w:rPr>
      </w:pPr>
      <w:r w:rsidRPr="004F231A">
        <w:rPr>
          <w:rFonts w:ascii="Arial" w:hAnsi="Arial" w:cs="Arial"/>
          <w:b/>
          <w:bCs/>
          <w:highlight w:val="yellow"/>
          <w:u w:val="single"/>
          <w:lang w:eastAsia="en-GB"/>
        </w:rPr>
        <w:t>Retention Rates</w:t>
      </w:r>
    </w:p>
    <w:p w14:paraId="7A3E9B27" w14:textId="2A3389F3" w:rsidR="00877CBC" w:rsidRPr="003949D7" w:rsidRDefault="00877CBC" w:rsidP="003949D7">
      <w:pPr>
        <w:spacing w:before="100" w:beforeAutospacing="1" w:after="100" w:afterAutospacing="1" w:line="360" w:lineRule="auto"/>
        <w:jc w:val="both"/>
        <w:outlineLvl w:val="3"/>
        <w:rPr>
          <w:rFonts w:ascii="Arial" w:eastAsia="Times New Roman" w:hAnsi="Arial" w:cs="Arial"/>
          <w:kern w:val="0"/>
          <w:lang w:eastAsia="en-GB"/>
          <w14:ligatures w14:val="none"/>
        </w:rPr>
      </w:pPr>
      <w:r w:rsidRPr="003949D7">
        <w:rPr>
          <w:rFonts w:ascii="Arial" w:eastAsia="Times New Roman" w:hAnsi="Arial" w:cs="Arial"/>
          <w:kern w:val="0"/>
          <w:lang w:eastAsia="en-GB"/>
          <w14:ligatures w14:val="none"/>
        </w:rPr>
        <w:t xml:space="preserve">Job satisfaction, career development opportunities, and work-life balance influence retention rates. For instance, during the pandemic, most restaurants had to restrict their business to takeout only, significantly impacting labour needs and job stability (Torrington et al., 2020). Hilton has implemented various strategies to improve retention, including comprehensive training programs, career advancement opportunities, and employee recognition initiatives. Businesses </w:t>
      </w:r>
      <w:r w:rsidR="001F6BF5" w:rsidRPr="003949D7">
        <w:rPr>
          <w:rFonts w:ascii="Arial" w:eastAsia="Times New Roman" w:hAnsi="Arial" w:cs="Arial"/>
          <w:kern w:val="0"/>
          <w:lang w:eastAsia="en-GB"/>
          <w14:ligatures w14:val="none"/>
        </w:rPr>
        <w:t xml:space="preserve">reimagining their operations and products can recover more effectively from the consequences of the pandemic </w:t>
      </w:r>
      <w:r w:rsidR="00921A3D" w:rsidRPr="003949D7">
        <w:rPr>
          <w:rFonts w:ascii="Arial" w:eastAsia="Times New Roman" w:hAnsi="Arial" w:cs="Arial"/>
          <w:kern w:val="0"/>
          <w:lang w:eastAsia="en-GB"/>
          <w14:ligatures w14:val="none"/>
        </w:rPr>
        <w:t>(</w:t>
      </w:r>
      <w:r w:rsidRPr="003949D7">
        <w:rPr>
          <w:rFonts w:ascii="Arial" w:eastAsia="Times New Roman" w:hAnsi="Arial" w:cs="Arial"/>
          <w:kern w:val="0"/>
          <w:lang w:eastAsia="en-GB"/>
          <w14:ligatures w14:val="none"/>
        </w:rPr>
        <w:t>Marchington and Wilkinson, 2016).</w:t>
      </w:r>
    </w:p>
    <w:p w14:paraId="43197B02" w14:textId="029B04D3" w:rsidR="00404A3A" w:rsidRPr="000343FA" w:rsidRDefault="00404A3A" w:rsidP="003949D7">
      <w:pPr>
        <w:spacing w:line="360" w:lineRule="auto"/>
        <w:jc w:val="both"/>
        <w:rPr>
          <w:rFonts w:ascii="Arial" w:hAnsi="Arial" w:cs="Arial"/>
          <w:b/>
          <w:bCs/>
          <w:i/>
          <w:iCs/>
          <w:u w:val="single"/>
        </w:rPr>
      </w:pPr>
      <w:r w:rsidRPr="004F231A">
        <w:rPr>
          <w:rFonts w:ascii="Arial" w:hAnsi="Arial" w:cs="Arial"/>
          <w:b/>
          <w:bCs/>
          <w:highlight w:val="yellow"/>
          <w:u w:val="single"/>
        </w:rPr>
        <w:t>Turnover Rates</w:t>
      </w:r>
    </w:p>
    <w:p w14:paraId="62D57D9D" w14:textId="1E741549" w:rsidR="00004E4D" w:rsidRPr="003949D7" w:rsidRDefault="00004E4D" w:rsidP="003949D7">
      <w:pPr>
        <w:spacing w:before="100" w:beforeAutospacing="1" w:after="100" w:afterAutospacing="1" w:line="360" w:lineRule="auto"/>
        <w:jc w:val="both"/>
        <w:outlineLvl w:val="3"/>
        <w:rPr>
          <w:rFonts w:ascii="Arial" w:eastAsia="Times New Roman" w:hAnsi="Arial" w:cs="Arial"/>
          <w:kern w:val="0"/>
          <w:lang w:eastAsia="en-GB"/>
          <w14:ligatures w14:val="none"/>
        </w:rPr>
      </w:pPr>
      <w:r w:rsidRPr="003949D7">
        <w:rPr>
          <w:rFonts w:ascii="Arial" w:eastAsia="Times New Roman" w:hAnsi="Arial" w:cs="Arial"/>
          <w:kern w:val="0"/>
          <w:lang w:eastAsia="en-GB"/>
          <w14:ligatures w14:val="none"/>
        </w:rPr>
        <w:t xml:space="preserve">The hospitality industry faces high turnover rates, with employees often seeking better opportunities or leaving due to job dissatisfaction. According to the Bureau of Labor Statistics, the hospitality industry consistently shows higher turnover rates than other sectors. The COVID-19 pandemic exacerbated these challenges, with staffing constraints increasing workloads for remaining employees and often leading to decreased output and work quality (Lippert et al., 2021). This high turnover disrupts </w:t>
      </w:r>
      <w:r w:rsidRPr="003949D7">
        <w:rPr>
          <w:rFonts w:ascii="Arial" w:eastAsia="Times New Roman" w:hAnsi="Arial" w:cs="Arial"/>
          <w:kern w:val="0"/>
          <w:lang w:eastAsia="en-GB"/>
          <w14:ligatures w14:val="none"/>
        </w:rPr>
        <w:lastRenderedPageBreak/>
        <w:t xml:space="preserve">operations and negatively impacts service quality, prompting companies like Hilton to address the issue through employee engagement and development programs. Hilton's "Thrive Hilton" initiative, which focuses on personal and professional growth through wellness initiatives, financial well-being, and recognition and rewards, has effectively reduced turnover rates. </w:t>
      </w:r>
      <w:r w:rsidR="00E86E99">
        <w:rPr>
          <w:rFonts w:ascii="Arial" w:eastAsia="Times New Roman" w:hAnsi="Arial" w:cs="Arial"/>
          <w:kern w:val="0"/>
          <w:lang w:eastAsia="en-GB"/>
          <w14:ligatures w14:val="none"/>
        </w:rPr>
        <w:t>(</w:t>
      </w:r>
      <w:r w:rsidRPr="003949D7">
        <w:rPr>
          <w:rFonts w:ascii="Arial" w:eastAsia="Times New Roman" w:hAnsi="Arial" w:cs="Arial"/>
          <w:kern w:val="0"/>
          <w:lang w:eastAsia="en-GB"/>
          <w14:ligatures w14:val="none"/>
        </w:rPr>
        <w:t>Hilton, 2022).</w:t>
      </w:r>
    </w:p>
    <w:p w14:paraId="298AA92D" w14:textId="77777777" w:rsidR="006D0FA9" w:rsidRPr="003949D7" w:rsidRDefault="006D0FA9" w:rsidP="003949D7">
      <w:pPr>
        <w:pStyle w:val="NormalWeb"/>
        <w:spacing w:line="360" w:lineRule="auto"/>
        <w:jc w:val="both"/>
        <w:rPr>
          <w:rFonts w:ascii="Arial" w:hAnsi="Arial" w:cs="Arial"/>
        </w:rPr>
      </w:pPr>
      <w:r w:rsidRPr="003949D7">
        <w:rPr>
          <w:rFonts w:ascii="Arial" w:hAnsi="Arial" w:cs="Arial"/>
        </w:rPr>
        <w:t xml:space="preserve">Success in retention and turnover management depends on resilience and adaptability, including a company's ability to manage its supply chain and operational adjustments (Mujtaba and </w:t>
      </w:r>
      <w:proofErr w:type="spellStart"/>
      <w:r w:rsidRPr="003949D7">
        <w:rPr>
          <w:rFonts w:ascii="Arial" w:hAnsi="Arial" w:cs="Arial"/>
        </w:rPr>
        <w:t>Senathip</w:t>
      </w:r>
      <w:proofErr w:type="spellEnd"/>
      <w:r w:rsidRPr="003949D7">
        <w:rPr>
          <w:rFonts w:ascii="Arial" w:hAnsi="Arial" w:cs="Arial"/>
        </w:rPr>
        <w:t>, 2020). These trends highlight the importance of effective performance management systems in retaining talent and reducing turnover costs in a post-pandemic world. Monitoring the effectiveness of these strategies across different work modes is crucial for sustaining a motivated and skilled workforce.</w:t>
      </w:r>
    </w:p>
    <w:p w14:paraId="598FA372" w14:textId="77777777" w:rsidR="00820620" w:rsidRPr="00375AB6" w:rsidRDefault="00820620" w:rsidP="003949D7">
      <w:pPr>
        <w:spacing w:line="360" w:lineRule="auto"/>
        <w:jc w:val="both"/>
        <w:rPr>
          <w:rFonts w:ascii="Algerian" w:hAnsi="Algerian" w:cs="Arial"/>
          <w:b/>
          <w:bCs/>
          <w:lang w:eastAsia="en-GB"/>
        </w:rPr>
      </w:pPr>
      <w:r w:rsidRPr="00375AB6">
        <w:rPr>
          <w:rFonts w:ascii="Algerian" w:hAnsi="Algerian" w:cs="Arial"/>
          <w:b/>
          <w:bCs/>
          <w:lang w:eastAsia="en-GB"/>
        </w:rPr>
        <w:t>Emergence of Different Work Modes in the Hospitality Industry</w:t>
      </w:r>
    </w:p>
    <w:p w14:paraId="767E420C" w14:textId="77777777" w:rsidR="00820620" w:rsidRPr="000343FA" w:rsidRDefault="00820620" w:rsidP="003949D7">
      <w:pPr>
        <w:spacing w:line="360" w:lineRule="auto"/>
        <w:jc w:val="both"/>
        <w:rPr>
          <w:rFonts w:ascii="Arial" w:hAnsi="Arial" w:cs="Arial"/>
          <w:b/>
          <w:bCs/>
          <w:u w:val="single"/>
          <w:lang w:eastAsia="en-GB"/>
        </w:rPr>
      </w:pPr>
      <w:r w:rsidRPr="006D6FF3">
        <w:rPr>
          <w:rFonts w:ascii="Arial" w:hAnsi="Arial" w:cs="Arial"/>
          <w:b/>
          <w:bCs/>
          <w:highlight w:val="yellow"/>
          <w:u w:val="single"/>
          <w:lang w:eastAsia="en-GB"/>
        </w:rPr>
        <w:t>Hybrid Work Mode</w:t>
      </w:r>
    </w:p>
    <w:p w14:paraId="415CFB9D" w14:textId="769ADFD7" w:rsidR="002840AC" w:rsidRPr="003949D7" w:rsidRDefault="002840AC" w:rsidP="003949D7">
      <w:pPr>
        <w:spacing w:before="100" w:beforeAutospacing="1" w:after="100" w:afterAutospacing="1" w:line="360" w:lineRule="auto"/>
        <w:jc w:val="both"/>
        <w:outlineLvl w:val="3"/>
        <w:rPr>
          <w:rFonts w:ascii="Arial" w:eastAsia="Times New Roman" w:hAnsi="Arial" w:cs="Arial"/>
          <w:b/>
          <w:bCs/>
          <w:kern w:val="0"/>
          <w:lang w:eastAsia="en-GB"/>
          <w14:ligatures w14:val="none"/>
        </w:rPr>
      </w:pPr>
      <w:r w:rsidRPr="003949D7">
        <w:rPr>
          <w:rFonts w:ascii="Arial" w:eastAsia="Times New Roman" w:hAnsi="Arial" w:cs="Arial"/>
          <w:kern w:val="0"/>
          <w:lang w:eastAsia="en-GB"/>
          <w14:ligatures w14:val="none"/>
        </w:rPr>
        <w:t>Hybrid work models have become a prominent arrangement where employees split their time between remote and onsite Work. These systems offer unique advantages, such as enhanced environmental experiences, lower labour costs, increased employee satisfaction, and greater flexibility (Grzegorczyk et al., 2021). While frontline roles such as housekeeping and front desk require physical presence, administrative and support roles can operate in a hybrid model. Hilton has implemented hybrid work arrangements for HR, Sales, Marketing Administrative and IT roles. (Hilton, 2024). Hybrid work modes can improve work-life balance and disrupt traditional office environments and interpersonal dynamics critical to hospitality workflows. Operational measurements and performance incentives must align with performance management goals and indicators to ensure efficient strategy implementation</w:t>
      </w:r>
      <w:r w:rsidRPr="003949D7">
        <w:rPr>
          <w:rFonts w:ascii="Arial" w:eastAsia="Times New Roman" w:hAnsi="Arial" w:cs="Arial"/>
          <w:b/>
          <w:bCs/>
          <w:kern w:val="0"/>
          <w:lang w:eastAsia="en-GB"/>
          <w14:ligatures w14:val="none"/>
        </w:rPr>
        <w:t>.</w:t>
      </w:r>
    </w:p>
    <w:p w14:paraId="1D8D6442" w14:textId="7785FF8C" w:rsidR="00231ACB" w:rsidRPr="000343FA" w:rsidRDefault="00231ACB" w:rsidP="003949D7">
      <w:pPr>
        <w:spacing w:line="360" w:lineRule="auto"/>
        <w:jc w:val="both"/>
        <w:rPr>
          <w:rFonts w:ascii="Arial" w:hAnsi="Arial" w:cs="Arial"/>
          <w:b/>
          <w:bCs/>
          <w:u w:val="single"/>
        </w:rPr>
      </w:pPr>
      <w:r w:rsidRPr="003949D7">
        <w:rPr>
          <w:rFonts w:ascii="Arial" w:hAnsi="Arial" w:cs="Arial"/>
        </w:rPr>
        <w:t> </w:t>
      </w:r>
      <w:r w:rsidR="00F53C75" w:rsidRPr="006D6FF3">
        <w:rPr>
          <w:rFonts w:ascii="Arial" w:hAnsi="Arial" w:cs="Arial"/>
          <w:b/>
          <w:bCs/>
          <w:highlight w:val="yellow"/>
          <w:u w:val="single"/>
        </w:rPr>
        <w:t>R</w:t>
      </w:r>
      <w:r w:rsidRPr="006D6FF3">
        <w:rPr>
          <w:rFonts w:ascii="Arial" w:hAnsi="Arial" w:cs="Arial"/>
          <w:b/>
          <w:bCs/>
          <w:highlight w:val="yellow"/>
          <w:u w:val="single"/>
        </w:rPr>
        <w:t xml:space="preserve">emote Work </w:t>
      </w:r>
      <w:r w:rsidR="007B18DB" w:rsidRPr="006D6FF3">
        <w:rPr>
          <w:rFonts w:ascii="Arial" w:hAnsi="Arial" w:cs="Arial"/>
          <w:b/>
          <w:bCs/>
          <w:highlight w:val="yellow"/>
          <w:u w:val="single"/>
        </w:rPr>
        <w:t>mode</w:t>
      </w:r>
    </w:p>
    <w:p w14:paraId="544C0C0C" w14:textId="77777777" w:rsidR="00231ACB" w:rsidRPr="003949D7" w:rsidRDefault="00231ACB" w:rsidP="003949D7">
      <w:pPr>
        <w:pStyle w:val="NormalWeb"/>
        <w:spacing w:before="0" w:beforeAutospacing="0" w:after="0" w:afterAutospacing="0" w:line="360" w:lineRule="auto"/>
        <w:jc w:val="both"/>
        <w:rPr>
          <w:rFonts w:ascii="Arial" w:hAnsi="Arial" w:cs="Arial"/>
          <w:color w:val="0E101A"/>
        </w:rPr>
      </w:pPr>
      <w:r w:rsidRPr="003949D7">
        <w:rPr>
          <w:rFonts w:ascii="Arial" w:hAnsi="Arial" w:cs="Arial"/>
          <w:color w:val="0E101A"/>
        </w:rPr>
        <w:t xml:space="preserve">Remote Work allows employees to operate from home or any location outside the traditional office environment, gaining significant traction during the COVID-19 pandemic to maintain operations while adhering to health guidelines. This mode offers improved work-life balance, reduced commuting time, and increased flexibility (Corporate Wellness Magazine, 2024). However, it also presents challenges, including </w:t>
      </w:r>
      <w:r w:rsidRPr="003949D7">
        <w:rPr>
          <w:rFonts w:ascii="Arial" w:hAnsi="Arial" w:cs="Arial"/>
          <w:color w:val="0E101A"/>
        </w:rPr>
        <w:lastRenderedPageBreak/>
        <w:t>potential disengagement from company culture and difficulties in seamless collaboration with onsite teams (Friedman, 2012). The suitability of remote Work depends on the company's size, culture, and needs. At the same time, industries like technology, creative, or consulting benefit from greater flexibility, and businesses such as construction sites, retail establishments, and manufacturing plants may find onsite personnel management more effective (</w:t>
      </w:r>
      <w:proofErr w:type="spellStart"/>
      <w:r w:rsidRPr="003949D7">
        <w:rPr>
          <w:rFonts w:ascii="Arial" w:hAnsi="Arial" w:cs="Arial"/>
          <w:color w:val="0E101A"/>
        </w:rPr>
        <w:t>Jooss</w:t>
      </w:r>
      <w:proofErr w:type="spellEnd"/>
      <w:r w:rsidRPr="003949D7">
        <w:rPr>
          <w:rFonts w:ascii="Arial" w:hAnsi="Arial" w:cs="Arial"/>
          <w:color w:val="0E101A"/>
        </w:rPr>
        <w:t xml:space="preserve"> et al., 2021).</w:t>
      </w:r>
    </w:p>
    <w:p w14:paraId="53FAF966" w14:textId="77777777" w:rsidR="007A4FCF" w:rsidRPr="003949D7" w:rsidRDefault="007A4FCF" w:rsidP="003949D7">
      <w:pPr>
        <w:pStyle w:val="NormalWeb"/>
        <w:spacing w:before="0" w:beforeAutospacing="0" w:after="0" w:afterAutospacing="0" w:line="360" w:lineRule="auto"/>
        <w:jc w:val="both"/>
        <w:rPr>
          <w:rFonts w:ascii="Arial" w:hAnsi="Arial" w:cs="Arial"/>
          <w:color w:val="0E101A"/>
        </w:rPr>
      </w:pPr>
    </w:p>
    <w:p w14:paraId="0DF46A86" w14:textId="77777777" w:rsidR="0020004D" w:rsidRPr="003949D7" w:rsidRDefault="0020004D" w:rsidP="003949D7">
      <w:pPr>
        <w:pStyle w:val="NormalWeb"/>
        <w:spacing w:before="0" w:beforeAutospacing="0" w:after="0" w:afterAutospacing="0" w:line="360" w:lineRule="auto"/>
        <w:jc w:val="both"/>
        <w:rPr>
          <w:rFonts w:ascii="Arial" w:hAnsi="Arial" w:cs="Arial"/>
          <w:color w:val="0E101A"/>
        </w:rPr>
      </w:pPr>
    </w:p>
    <w:p w14:paraId="19320A2D" w14:textId="5466BC2A" w:rsidR="007B18DB" w:rsidRPr="000343FA" w:rsidRDefault="0020004D" w:rsidP="003949D7">
      <w:pPr>
        <w:spacing w:line="360" w:lineRule="auto"/>
        <w:jc w:val="both"/>
        <w:rPr>
          <w:rFonts w:ascii="Arial" w:hAnsi="Arial" w:cs="Arial"/>
          <w:b/>
          <w:bCs/>
          <w:u w:val="single"/>
        </w:rPr>
      </w:pPr>
      <w:r w:rsidRPr="006D6FF3">
        <w:rPr>
          <w:rFonts w:ascii="Arial" w:hAnsi="Arial" w:cs="Arial"/>
          <w:b/>
          <w:bCs/>
          <w:highlight w:val="yellow"/>
          <w:u w:val="single"/>
        </w:rPr>
        <w:t>Flexible work mode</w:t>
      </w:r>
    </w:p>
    <w:p w14:paraId="0476FA8F" w14:textId="7AD4CAE9" w:rsidR="00231ACB" w:rsidRPr="003949D7" w:rsidRDefault="00231ACB" w:rsidP="003949D7">
      <w:pPr>
        <w:pStyle w:val="NormalWeb"/>
        <w:spacing w:before="0" w:beforeAutospacing="0" w:after="0" w:afterAutospacing="0" w:line="360" w:lineRule="auto"/>
        <w:jc w:val="both"/>
        <w:rPr>
          <w:rFonts w:ascii="Arial" w:hAnsi="Arial" w:cs="Arial"/>
          <w:color w:val="0E101A"/>
        </w:rPr>
      </w:pPr>
      <w:r w:rsidRPr="003949D7">
        <w:rPr>
          <w:rFonts w:ascii="Arial" w:hAnsi="Arial" w:cs="Arial"/>
          <w:color w:val="0E101A"/>
        </w:rPr>
        <w:t xml:space="preserve">Flexible work modes, including part-time roles and job-sharing arrangements, allow employees to work on schedules that suit their personal needs. This flexibility can improve employee satisfaction and reduce burnout, making the </w:t>
      </w:r>
      <w:proofErr w:type="spellStart"/>
      <w:r w:rsidR="00DA51A5" w:rsidRPr="003949D7">
        <w:rPr>
          <w:rFonts w:ascii="Arial" w:hAnsi="Arial" w:cs="Arial"/>
          <w:color w:val="0E101A"/>
        </w:rPr>
        <w:t>organisation</w:t>
      </w:r>
      <w:proofErr w:type="spellEnd"/>
      <w:r w:rsidRPr="003949D7">
        <w:rPr>
          <w:rFonts w:ascii="Arial" w:hAnsi="Arial" w:cs="Arial"/>
          <w:color w:val="0E101A"/>
        </w:rPr>
        <w:t xml:space="preserve"> more attractive to a diverse talent pool. However, schedules complicate monitoring productivity, attendance, and goal achievement (Horn, 2009).</w:t>
      </w:r>
    </w:p>
    <w:p w14:paraId="613A7602" w14:textId="77777777" w:rsidR="005D376C" w:rsidRPr="003949D7" w:rsidRDefault="005D376C" w:rsidP="003949D7">
      <w:pPr>
        <w:spacing w:line="360" w:lineRule="auto"/>
        <w:jc w:val="both"/>
        <w:rPr>
          <w:rFonts w:ascii="Arial" w:hAnsi="Arial" w:cs="Arial"/>
          <w:lang w:eastAsia="en-GB"/>
        </w:rPr>
      </w:pPr>
    </w:p>
    <w:p w14:paraId="59AEC28B" w14:textId="77777777" w:rsidR="00AC6AE5" w:rsidRPr="00375AB6" w:rsidRDefault="00AC6AE5" w:rsidP="003949D7">
      <w:pPr>
        <w:spacing w:line="360" w:lineRule="auto"/>
        <w:jc w:val="both"/>
        <w:rPr>
          <w:rFonts w:ascii="Algerian" w:hAnsi="Algerian" w:cs="Arial"/>
          <w:b/>
          <w:bCs/>
        </w:rPr>
      </w:pPr>
      <w:r w:rsidRPr="00375AB6">
        <w:rPr>
          <w:rFonts w:ascii="Algerian" w:hAnsi="Algerian" w:cs="Arial"/>
          <w:b/>
          <w:bCs/>
        </w:rPr>
        <w:t>Examples from Major Hotel Brands</w:t>
      </w:r>
    </w:p>
    <w:p w14:paraId="455DD539" w14:textId="6FBC777D" w:rsidR="00587A42" w:rsidRPr="003949D7" w:rsidRDefault="00766241" w:rsidP="003949D7">
      <w:pPr>
        <w:pStyle w:val="Heading4"/>
        <w:spacing w:before="0" w:after="0" w:line="360" w:lineRule="auto"/>
        <w:jc w:val="both"/>
        <w:rPr>
          <w:rFonts w:ascii="Arial" w:hAnsi="Arial" w:cs="Arial"/>
          <w:i w:val="0"/>
          <w:iCs w:val="0"/>
          <w:color w:val="auto"/>
        </w:rPr>
      </w:pPr>
      <w:r w:rsidRPr="006D6FF3">
        <w:rPr>
          <w:rStyle w:val="Strong"/>
          <w:rFonts w:ascii="Arial" w:hAnsi="Arial" w:cs="Arial"/>
          <w:i w:val="0"/>
          <w:iCs w:val="0"/>
          <w:color w:val="0E101A"/>
          <w:highlight w:val="yellow"/>
          <w:u w:val="single"/>
        </w:rPr>
        <w:t>Marriott International</w:t>
      </w:r>
      <w:r w:rsidRPr="003949D7">
        <w:rPr>
          <w:rStyle w:val="Strong"/>
          <w:rFonts w:ascii="Arial" w:hAnsi="Arial" w:cs="Arial"/>
          <w:color w:val="auto"/>
        </w:rPr>
        <w:t>:</w:t>
      </w:r>
      <w:r w:rsidRPr="003949D7">
        <w:rPr>
          <w:rFonts w:ascii="Arial" w:hAnsi="Arial" w:cs="Arial"/>
          <w:color w:val="auto"/>
        </w:rPr>
        <w:t xml:space="preserve"> </w:t>
      </w:r>
      <w:r w:rsidRPr="003949D7">
        <w:rPr>
          <w:rFonts w:ascii="Arial" w:hAnsi="Arial" w:cs="Arial"/>
          <w:i w:val="0"/>
          <w:iCs w:val="0"/>
          <w:color w:val="auto"/>
        </w:rPr>
        <w:t>Marriott has embraced technology to improve performance management across work settings. Tools like Workday and SuccessFactors facilitate continuous performance feedback, goal establishment, and development planning. Additionally, Marriott conducts employee engagement surveys to gather feedback and make enhancements.</w:t>
      </w:r>
      <w:r w:rsidR="00F11EA6" w:rsidRPr="003949D7">
        <w:rPr>
          <w:rFonts w:ascii="Arial" w:hAnsi="Arial" w:cs="Arial"/>
          <w:i w:val="0"/>
          <w:iCs w:val="0"/>
          <w:color w:val="auto"/>
        </w:rPr>
        <w:t xml:space="preserve"> (Andrew, 2019).</w:t>
      </w:r>
    </w:p>
    <w:p w14:paraId="02370903" w14:textId="7B8551CF" w:rsidR="00587A42" w:rsidRPr="003949D7" w:rsidRDefault="00701442" w:rsidP="003949D7">
      <w:pPr>
        <w:pStyle w:val="Heading4"/>
        <w:spacing w:before="0" w:after="0" w:line="360" w:lineRule="auto"/>
        <w:jc w:val="both"/>
        <w:rPr>
          <w:rFonts w:ascii="Arial" w:hAnsi="Arial" w:cs="Arial"/>
          <w:i w:val="0"/>
          <w:iCs w:val="0"/>
          <w:color w:val="auto"/>
        </w:rPr>
      </w:pPr>
      <w:r w:rsidRPr="006D6FF3">
        <w:rPr>
          <w:rFonts w:ascii="Arial" w:hAnsi="Arial" w:cs="Arial"/>
          <w:b/>
          <w:bCs/>
          <w:i w:val="0"/>
          <w:iCs w:val="0"/>
          <w:color w:val="auto"/>
          <w:highlight w:val="yellow"/>
          <w:u w:val="single"/>
        </w:rPr>
        <w:t>InterContinental Hotels Group (IHG</w:t>
      </w:r>
      <w:r w:rsidRPr="006D6FF3">
        <w:rPr>
          <w:rFonts w:ascii="Arial" w:hAnsi="Arial" w:cs="Arial"/>
          <w:i w:val="0"/>
          <w:iCs w:val="0"/>
          <w:color w:val="auto"/>
          <w:highlight w:val="yellow"/>
          <w:u w:val="single"/>
        </w:rPr>
        <w:t>):</w:t>
      </w:r>
      <w:r w:rsidRPr="003949D7">
        <w:rPr>
          <w:rFonts w:ascii="Arial" w:hAnsi="Arial" w:cs="Arial"/>
          <w:i w:val="0"/>
          <w:iCs w:val="0"/>
          <w:color w:val="auto"/>
        </w:rPr>
        <w:t xml:space="preserve"> IHG has introduced the "IHG Way of Sales" program, offering work arrangements for sales teams. </w:t>
      </w:r>
      <w:r w:rsidR="006923F1" w:rsidRPr="003949D7">
        <w:rPr>
          <w:rFonts w:ascii="Arial" w:hAnsi="Arial" w:cs="Arial"/>
          <w:i w:val="0"/>
          <w:iCs w:val="0"/>
          <w:color w:val="auto"/>
        </w:rPr>
        <w:t>(IHG Hotel and Resort, 2024).</w:t>
      </w:r>
      <w:r w:rsidR="006923F1" w:rsidRPr="003949D7">
        <w:rPr>
          <w:rFonts w:ascii="Arial" w:hAnsi="Arial" w:cs="Arial"/>
          <w:color w:val="auto"/>
        </w:rPr>
        <w:t xml:space="preserve"> </w:t>
      </w:r>
      <w:r w:rsidRPr="003949D7">
        <w:rPr>
          <w:rFonts w:ascii="Arial" w:hAnsi="Arial" w:cs="Arial"/>
          <w:i w:val="0"/>
          <w:iCs w:val="0"/>
          <w:color w:val="auto"/>
        </w:rPr>
        <w:t xml:space="preserve">This program </w:t>
      </w:r>
      <w:r w:rsidR="00EF392A" w:rsidRPr="003949D7">
        <w:rPr>
          <w:rFonts w:ascii="Arial" w:hAnsi="Arial" w:cs="Arial"/>
          <w:i w:val="0"/>
          <w:iCs w:val="0"/>
          <w:color w:val="auto"/>
        </w:rPr>
        <w:t>emphasises</w:t>
      </w:r>
      <w:r w:rsidRPr="003949D7">
        <w:rPr>
          <w:rFonts w:ascii="Arial" w:hAnsi="Arial" w:cs="Arial"/>
          <w:i w:val="0"/>
          <w:iCs w:val="0"/>
          <w:color w:val="auto"/>
        </w:rPr>
        <w:t xml:space="preserve"> performance management through check-ins and reviews to ensure consistency and accountability</w:t>
      </w:r>
      <w:r w:rsidRPr="003949D7">
        <w:rPr>
          <w:rFonts w:ascii="Arial" w:hAnsi="Arial" w:cs="Arial"/>
          <w:i w:val="0"/>
          <w:iCs w:val="0"/>
        </w:rPr>
        <w:t>.</w:t>
      </w:r>
    </w:p>
    <w:p w14:paraId="4E2AE723" w14:textId="3D6FA6FC" w:rsidR="00701442" w:rsidRPr="003949D7" w:rsidRDefault="00EF392A" w:rsidP="003949D7">
      <w:pPr>
        <w:spacing w:line="360" w:lineRule="auto"/>
        <w:jc w:val="both"/>
        <w:rPr>
          <w:rFonts w:ascii="Arial" w:hAnsi="Arial" w:cs="Arial"/>
        </w:rPr>
      </w:pPr>
      <w:r w:rsidRPr="006D6FF3">
        <w:rPr>
          <w:rStyle w:val="Strong"/>
          <w:rFonts w:ascii="Arial" w:hAnsi="Arial" w:cs="Arial"/>
          <w:color w:val="0E101A"/>
          <w:highlight w:val="yellow"/>
          <w:u w:val="single"/>
        </w:rPr>
        <w:t>Radisson Hotel Group</w:t>
      </w:r>
      <w:r w:rsidRPr="003949D7">
        <w:rPr>
          <w:rStyle w:val="Strong"/>
          <w:rFonts w:ascii="Arial" w:hAnsi="Arial" w:cs="Arial"/>
          <w:color w:val="0E101A"/>
        </w:rPr>
        <w:t>:</w:t>
      </w:r>
      <w:r w:rsidRPr="003949D7">
        <w:rPr>
          <w:rFonts w:ascii="Arial" w:hAnsi="Arial" w:cs="Arial"/>
        </w:rPr>
        <w:t xml:space="preserve"> Radisson has launched a "Balanced Work Life" initiative that promotes work options and remote work opportunities for </w:t>
      </w:r>
      <w:r w:rsidR="006058CC" w:rsidRPr="003949D7">
        <w:rPr>
          <w:rFonts w:ascii="Arial" w:hAnsi="Arial" w:cs="Arial"/>
        </w:rPr>
        <w:t xml:space="preserve">positions. (Radisson Hotels, 2024). </w:t>
      </w:r>
      <w:r w:rsidRPr="003949D7">
        <w:rPr>
          <w:rFonts w:ascii="Arial" w:hAnsi="Arial" w:cs="Arial"/>
        </w:rPr>
        <w:t>This initiative includes performance management strategies such as coaching, online training modules and tools for tracking performance.</w:t>
      </w:r>
    </w:p>
    <w:p w14:paraId="670DF655" w14:textId="77777777" w:rsidR="0070201B" w:rsidRPr="00375AB6" w:rsidRDefault="0070201B" w:rsidP="003949D7">
      <w:pPr>
        <w:pStyle w:val="Heading3"/>
        <w:spacing w:before="0" w:after="0" w:line="360" w:lineRule="auto"/>
        <w:jc w:val="both"/>
        <w:rPr>
          <w:rFonts w:ascii="Algerian" w:hAnsi="Algerian" w:cs="Arial"/>
          <w:color w:val="0E101A"/>
          <w:sz w:val="24"/>
          <w:szCs w:val="24"/>
        </w:rPr>
      </w:pPr>
      <w:r w:rsidRPr="00375AB6">
        <w:rPr>
          <w:rStyle w:val="Strong"/>
          <w:rFonts w:ascii="Algerian" w:hAnsi="Algerian" w:cs="Arial"/>
          <w:color w:val="0E101A"/>
          <w:sz w:val="24"/>
          <w:szCs w:val="24"/>
        </w:rPr>
        <w:t>Potential Solutions</w:t>
      </w:r>
    </w:p>
    <w:p w14:paraId="1DAFF864" w14:textId="77777777" w:rsidR="0070201B" w:rsidRPr="006D6FF3" w:rsidRDefault="0070201B" w:rsidP="003949D7">
      <w:pPr>
        <w:pStyle w:val="NormalWeb"/>
        <w:spacing w:before="0" w:beforeAutospacing="0" w:after="0" w:afterAutospacing="0" w:line="360" w:lineRule="auto"/>
        <w:jc w:val="both"/>
        <w:rPr>
          <w:rFonts w:ascii="Arial" w:hAnsi="Arial" w:cs="Arial"/>
          <w:color w:val="0E101A"/>
        </w:rPr>
      </w:pPr>
      <w:r w:rsidRPr="006D6FF3">
        <w:rPr>
          <w:rStyle w:val="Strong"/>
          <w:rFonts w:ascii="Arial" w:eastAsiaTheme="majorEastAsia" w:hAnsi="Arial" w:cs="Arial"/>
          <w:color w:val="0E101A"/>
          <w:highlight w:val="yellow"/>
        </w:rPr>
        <w:t>Hilton's HR Strategies for Managing Different Work Modes</w:t>
      </w:r>
    </w:p>
    <w:p w14:paraId="02D8E22F" w14:textId="77777777" w:rsidR="0070201B" w:rsidRPr="003949D7" w:rsidRDefault="0070201B" w:rsidP="003949D7">
      <w:pPr>
        <w:pStyle w:val="NormalWeb"/>
        <w:spacing w:before="0" w:beforeAutospacing="0" w:after="0" w:afterAutospacing="0" w:line="360" w:lineRule="auto"/>
        <w:jc w:val="both"/>
        <w:rPr>
          <w:rFonts w:ascii="Arial" w:hAnsi="Arial" w:cs="Arial"/>
          <w:color w:val="0E101A"/>
        </w:rPr>
      </w:pPr>
      <w:r w:rsidRPr="003949D7">
        <w:rPr>
          <w:rFonts w:ascii="Arial" w:hAnsi="Arial" w:cs="Arial"/>
          <w:color w:val="0E101A"/>
        </w:rPr>
        <w:lastRenderedPageBreak/>
        <w:t xml:space="preserve">Successful leadership is essential to any organisation's Success.  While managers track and regulate performance to maintain organisational stability, leaders are strategists and visionaries. Hilton's HR department should address several key priorities to optimise human capital management in this evolving landscape. Annual performance reviews ensure that staff demonstrates desired attributes like productivity, interpersonal skills, quality consciousness, attendance/punctuality, and job knowledge (Gallagher, 2016). Various cultural factors influence employee perceptions of fairness and openness in performance evaluation. Employee acceptance and trust in the assessment process rely on their perception of its impartial, transparent, and bias-free conduct (Nayem and Uddin, 2024). </w:t>
      </w:r>
    </w:p>
    <w:p w14:paraId="5569CDFC" w14:textId="6A9A5DA8" w:rsidR="0070201B" w:rsidRPr="003949D7" w:rsidRDefault="0070201B" w:rsidP="003949D7">
      <w:pPr>
        <w:pStyle w:val="NormalWeb"/>
        <w:spacing w:before="0" w:beforeAutospacing="0" w:after="0" w:afterAutospacing="0" w:line="360" w:lineRule="auto"/>
        <w:jc w:val="both"/>
        <w:rPr>
          <w:rFonts w:ascii="Arial" w:hAnsi="Arial" w:cs="Arial"/>
          <w:color w:val="0E101A"/>
        </w:rPr>
      </w:pPr>
      <w:r w:rsidRPr="003949D7">
        <w:rPr>
          <w:rFonts w:ascii="Arial" w:hAnsi="Arial" w:cs="Arial"/>
          <w:color w:val="0E101A"/>
        </w:rPr>
        <w:t xml:space="preserve">Hilton should implement integrated digital platforms to consolidate performance data and facilitate comprehensive performance evaluations across different work modes. Tracking these metrics requires enhanced digital tools and centralised reporting systems to capture data across dispersed teams (Johnston, Clark, and </w:t>
      </w:r>
      <w:proofErr w:type="spellStart"/>
      <w:r w:rsidRPr="003949D7">
        <w:rPr>
          <w:rFonts w:ascii="Arial" w:hAnsi="Arial" w:cs="Arial"/>
          <w:color w:val="0E101A"/>
        </w:rPr>
        <w:t>Shulver</w:t>
      </w:r>
      <w:proofErr w:type="spellEnd"/>
      <w:r w:rsidRPr="003949D7">
        <w:rPr>
          <w:rFonts w:ascii="Arial" w:hAnsi="Arial" w:cs="Arial"/>
          <w:color w:val="0E101A"/>
        </w:rPr>
        <w:t>, 2012). Developing customised performance metrics tailored to different work modes can also ensure fair and accurate assessments. Metrics should consider each work mode's unique challenges and opportunities, such as real-time analytics, customer feedback integration, and frequent coaching check-ins (Armstrong and Taylor, 2020). This approach will ensure that Hilton gathers comprehensive insights into staff productivity and service quality regardless of work location. Providing regular training and development opportunities can enhance employee skills and engagement. Managers should embrace online learning modules, webinars, microlearning apps, and other digital platforms to build skills continuously (Friedman, 2012). Hilton can also create opportunities for in-person training to facilitate hands-on learning. Implementing employee engagement initiatives, such as recognition programs, wellness activities, and feedback mechanisms, can boost morale and retention. Facilitating connection, communication, and a unified culture is critical across different work arrangements. It may involve virtual team building, messaging platforms, videoconferencing, and interactive training to mitigate feelings of isolation (Torrington et al., 2020). HR should facilitate mentoring programs and implement pulse surveys to gauge remote/hybrid staff engagement levels. Moreover, implementing new policies, technologies, and ways of working requires strategic change management.</w:t>
      </w:r>
      <w:r w:rsidR="0022164A" w:rsidRPr="003949D7">
        <w:rPr>
          <w:rFonts w:ascii="Arial" w:hAnsi="Arial" w:cs="Arial"/>
          <w:color w:val="0E101A"/>
        </w:rPr>
        <w:t xml:space="preserve"> Hilton</w:t>
      </w:r>
      <w:r w:rsidRPr="003949D7">
        <w:rPr>
          <w:rFonts w:ascii="Arial" w:hAnsi="Arial" w:cs="Arial"/>
          <w:color w:val="0E101A"/>
        </w:rPr>
        <w:t xml:space="preserve"> HR should conduct impact analyses, develop communication plans, provide resilience training, and solicit </w:t>
      </w:r>
      <w:r w:rsidRPr="003949D7">
        <w:rPr>
          <w:rFonts w:ascii="Arial" w:hAnsi="Arial" w:cs="Arial"/>
          <w:color w:val="0E101A"/>
        </w:rPr>
        <w:lastRenderedPageBreak/>
        <w:t>continuous feedback to ease new performance processes and work modes (Marchington and Wilkinson, 2016).</w:t>
      </w:r>
    </w:p>
    <w:p w14:paraId="5C0D8116" w14:textId="77777777" w:rsidR="00810F2D" w:rsidRPr="003949D7" w:rsidRDefault="00810F2D" w:rsidP="003949D7">
      <w:pPr>
        <w:spacing w:after="0" w:line="360" w:lineRule="auto"/>
        <w:jc w:val="both"/>
        <w:rPr>
          <w:rFonts w:ascii="Arial" w:eastAsia="Times New Roman" w:hAnsi="Arial" w:cs="Arial"/>
          <w:color w:val="0E101A"/>
          <w:kern w:val="0"/>
          <w:lang w:eastAsia="en-GB"/>
          <w14:ligatures w14:val="none"/>
        </w:rPr>
      </w:pPr>
    </w:p>
    <w:p w14:paraId="53EF3095" w14:textId="77777777" w:rsidR="00810F2D" w:rsidRPr="003949D7" w:rsidRDefault="00810F2D" w:rsidP="003949D7">
      <w:pPr>
        <w:spacing w:after="0" w:line="360" w:lineRule="auto"/>
        <w:jc w:val="both"/>
        <w:rPr>
          <w:rFonts w:ascii="Arial" w:eastAsia="Times New Roman" w:hAnsi="Arial" w:cs="Arial"/>
          <w:color w:val="0E101A"/>
          <w:kern w:val="0"/>
          <w:lang w:eastAsia="en-GB"/>
          <w14:ligatures w14:val="none"/>
        </w:rPr>
      </w:pPr>
    </w:p>
    <w:p w14:paraId="2DC648BE" w14:textId="77777777" w:rsidR="00563CD4" w:rsidRPr="004F231A" w:rsidRDefault="00563CD4" w:rsidP="003949D7">
      <w:pPr>
        <w:spacing w:line="360" w:lineRule="auto"/>
        <w:jc w:val="both"/>
        <w:rPr>
          <w:rFonts w:ascii="Algerian" w:hAnsi="Algerian" w:cs="Arial"/>
          <w:b/>
          <w:bCs/>
          <w:lang w:eastAsia="en-GB"/>
        </w:rPr>
      </w:pPr>
      <w:r w:rsidRPr="004F231A">
        <w:rPr>
          <w:rFonts w:ascii="Algerian" w:hAnsi="Algerian" w:cs="Arial"/>
          <w:b/>
          <w:bCs/>
          <w:lang w:eastAsia="en-GB"/>
        </w:rPr>
        <w:t>Evaluation and Conclusion</w:t>
      </w:r>
    </w:p>
    <w:p w14:paraId="5B819221" w14:textId="77777777" w:rsidR="0064782D" w:rsidRPr="003949D7" w:rsidRDefault="0064782D" w:rsidP="003949D7">
      <w:pPr>
        <w:spacing w:after="0" w:line="360" w:lineRule="auto"/>
        <w:jc w:val="both"/>
        <w:outlineLvl w:val="1"/>
        <w:rPr>
          <w:rFonts w:ascii="Arial" w:eastAsia="Times New Roman" w:hAnsi="Arial" w:cs="Arial"/>
          <w:color w:val="0E101A"/>
          <w:kern w:val="0"/>
          <w:lang w:eastAsia="en-GB"/>
          <w14:ligatures w14:val="none"/>
        </w:rPr>
      </w:pPr>
      <w:r w:rsidRPr="003949D7">
        <w:rPr>
          <w:rFonts w:ascii="Arial" w:eastAsia="Times New Roman" w:hAnsi="Arial" w:cs="Arial"/>
          <w:color w:val="0E101A"/>
          <w:kern w:val="0"/>
          <w:lang w:eastAsia="en-GB"/>
          <w14:ligatures w14:val="none"/>
        </w:rPr>
        <w:t>This research proposal has examined the impacts of socio-economic forces on employee performance management and monitoring in different work modes within Hilton Hotels &amp; Resorts. The analysis highlighted the influence of economic, social, and technological factors on performance management practices. The literature review also explored industry trends in employee retention and turnover, emphasising the need for effective performance management systems.</w:t>
      </w:r>
    </w:p>
    <w:p w14:paraId="14CFD96D" w14:textId="77777777" w:rsidR="0064782D" w:rsidRPr="003949D7" w:rsidRDefault="0064782D" w:rsidP="003949D7">
      <w:pPr>
        <w:spacing w:after="0" w:line="360" w:lineRule="auto"/>
        <w:jc w:val="both"/>
        <w:outlineLvl w:val="1"/>
        <w:rPr>
          <w:rFonts w:ascii="Arial" w:eastAsia="Times New Roman" w:hAnsi="Arial" w:cs="Arial"/>
          <w:color w:val="0E101A"/>
          <w:kern w:val="0"/>
          <w:lang w:eastAsia="en-GB"/>
          <w14:ligatures w14:val="none"/>
        </w:rPr>
      </w:pPr>
      <w:r w:rsidRPr="003949D7">
        <w:rPr>
          <w:rFonts w:ascii="Arial" w:eastAsia="Times New Roman" w:hAnsi="Arial" w:cs="Arial"/>
          <w:color w:val="0E101A"/>
          <w:kern w:val="0"/>
          <w:lang w:eastAsia="en-GB"/>
          <w14:ligatures w14:val="none"/>
        </w:rPr>
        <w:t>The emergence of different work modes, including hybrid, remote, and flexible arrangements, presents both opportunities and challenges for Hilton. Although improving the work-life balance, these rather unsystematic patterns create new challenges to effective and fair talent management. Continuous professional development will enable Hilton to develop and promote its professional practice (CIPD, 2024). Industry examples from Marriott, IHG, and Radisson demonstrate successful strategies for managing and monitoring employee performance across varied work modes.</w:t>
      </w:r>
    </w:p>
    <w:p w14:paraId="04D4F17C" w14:textId="77777777" w:rsidR="0064782D" w:rsidRPr="003949D7" w:rsidRDefault="0064782D" w:rsidP="003949D7">
      <w:pPr>
        <w:spacing w:after="0" w:line="360" w:lineRule="auto"/>
        <w:jc w:val="both"/>
        <w:outlineLvl w:val="1"/>
        <w:rPr>
          <w:rFonts w:ascii="Arial" w:eastAsia="Times New Roman" w:hAnsi="Arial" w:cs="Arial"/>
          <w:color w:val="0E101A"/>
          <w:kern w:val="0"/>
          <w:lang w:eastAsia="en-GB"/>
          <w14:ligatures w14:val="none"/>
        </w:rPr>
      </w:pPr>
    </w:p>
    <w:p w14:paraId="1294A2D5" w14:textId="7840CF13" w:rsidR="007E393A" w:rsidRPr="003949D7" w:rsidRDefault="0064782D" w:rsidP="003949D7">
      <w:pPr>
        <w:spacing w:after="0" w:line="360" w:lineRule="auto"/>
        <w:jc w:val="both"/>
        <w:outlineLvl w:val="1"/>
        <w:rPr>
          <w:rFonts w:ascii="Arial" w:eastAsia="Times New Roman" w:hAnsi="Arial" w:cs="Arial"/>
          <w:color w:val="0E101A"/>
          <w:kern w:val="0"/>
          <w:lang w:eastAsia="en-GB"/>
          <w14:ligatures w14:val="none"/>
        </w:rPr>
      </w:pPr>
      <w:r w:rsidRPr="003949D7">
        <w:rPr>
          <w:rFonts w:ascii="Arial" w:eastAsia="Times New Roman" w:hAnsi="Arial" w:cs="Arial"/>
          <w:color w:val="0E101A"/>
          <w:kern w:val="0"/>
          <w:lang w:eastAsia="en-GB"/>
          <w14:ligatures w14:val="none"/>
        </w:rPr>
        <w:t>Hilton Hotel and Resort HR departments can upgrade performance management processes through digital performance tracking tools, analytics, coaching, virtual training, and change management. Enhancing connectivity ensures the active participation of staff across different settings (Murton et al., 2010). Contemporary HR roles have shifted from traditional tasks to integrating human capital to execute key business strategies. The study will outline the new challenges and opportunities for HR and determine best practices in managing a diverse, distributed workforce in the current socioeconomic context by analysing Hilton as a case study. These results inform employee training and performance strategies in the various work arrangements in the hotel industry. The hospitality industry can effectively manage human resources to deliver excellent guest services during disruptions and change.</w:t>
      </w:r>
    </w:p>
    <w:p w14:paraId="4C0FC51E" w14:textId="77777777" w:rsidR="007E393A" w:rsidRDefault="007E393A" w:rsidP="003949D7">
      <w:pPr>
        <w:spacing w:after="0" w:line="360" w:lineRule="auto"/>
        <w:jc w:val="both"/>
        <w:outlineLvl w:val="1"/>
        <w:rPr>
          <w:rFonts w:ascii="Arial" w:eastAsia="Times New Roman" w:hAnsi="Arial" w:cs="Arial"/>
          <w:color w:val="0E101A"/>
          <w:kern w:val="0"/>
          <w:lang w:eastAsia="en-GB"/>
          <w14:ligatures w14:val="none"/>
        </w:rPr>
      </w:pPr>
    </w:p>
    <w:p w14:paraId="5286AB44" w14:textId="77777777" w:rsidR="007F58E4" w:rsidRDefault="007F58E4" w:rsidP="003949D7">
      <w:pPr>
        <w:spacing w:after="0" w:line="360" w:lineRule="auto"/>
        <w:jc w:val="both"/>
        <w:outlineLvl w:val="1"/>
        <w:rPr>
          <w:rFonts w:ascii="Arial" w:eastAsia="Times New Roman" w:hAnsi="Arial" w:cs="Arial"/>
          <w:color w:val="0E101A"/>
          <w:kern w:val="0"/>
          <w:lang w:eastAsia="en-GB"/>
          <w14:ligatures w14:val="none"/>
        </w:rPr>
      </w:pPr>
    </w:p>
    <w:p w14:paraId="35A6D846" w14:textId="77777777" w:rsidR="00F70360" w:rsidRDefault="00F70360" w:rsidP="003949D7">
      <w:pPr>
        <w:spacing w:after="0" w:line="360" w:lineRule="auto"/>
        <w:jc w:val="both"/>
        <w:outlineLvl w:val="1"/>
        <w:rPr>
          <w:rFonts w:ascii="Arial" w:eastAsia="Times New Roman" w:hAnsi="Arial" w:cs="Arial"/>
          <w:color w:val="0E101A"/>
          <w:kern w:val="0"/>
          <w:lang w:eastAsia="en-GB"/>
          <w14:ligatures w14:val="none"/>
        </w:rPr>
      </w:pPr>
    </w:p>
    <w:p w14:paraId="5D66AD95" w14:textId="77777777" w:rsidR="00F70360" w:rsidRPr="003949D7" w:rsidRDefault="00F70360" w:rsidP="003949D7">
      <w:pPr>
        <w:spacing w:after="0" w:line="360" w:lineRule="auto"/>
        <w:jc w:val="both"/>
        <w:outlineLvl w:val="1"/>
        <w:rPr>
          <w:rFonts w:ascii="Arial" w:eastAsia="Times New Roman" w:hAnsi="Arial" w:cs="Arial"/>
          <w:color w:val="0E101A"/>
          <w:kern w:val="0"/>
          <w:lang w:eastAsia="en-GB"/>
          <w14:ligatures w14:val="none"/>
        </w:rPr>
      </w:pPr>
    </w:p>
    <w:p w14:paraId="13341F9E" w14:textId="77777777" w:rsidR="00504E77" w:rsidRPr="003949D7" w:rsidRDefault="007E393A" w:rsidP="003949D7">
      <w:pPr>
        <w:pStyle w:val="ListParagraph"/>
        <w:spacing w:line="360" w:lineRule="auto"/>
        <w:jc w:val="both"/>
        <w:rPr>
          <w:rFonts w:ascii="Arial" w:hAnsi="Arial" w:cs="Arial"/>
          <w:b/>
          <w:bCs/>
          <w:u w:val="single"/>
        </w:rPr>
      </w:pPr>
      <w:r w:rsidRPr="003949D7">
        <w:rPr>
          <w:rFonts w:ascii="Arial" w:hAnsi="Arial" w:cs="Arial"/>
          <w:b/>
          <w:bCs/>
        </w:rPr>
        <w:t xml:space="preserve">                             </w:t>
      </w:r>
      <w:r w:rsidRPr="003949D7">
        <w:rPr>
          <w:rFonts w:ascii="Arial" w:hAnsi="Arial" w:cs="Arial"/>
          <w:b/>
          <w:bCs/>
          <w:u w:val="single"/>
        </w:rPr>
        <w:t>References</w:t>
      </w:r>
    </w:p>
    <w:p w14:paraId="53B2F047" w14:textId="2D46E10B" w:rsidR="007E393A" w:rsidRPr="003949D7" w:rsidRDefault="007E393A" w:rsidP="003949D7">
      <w:pPr>
        <w:spacing w:line="360" w:lineRule="auto"/>
        <w:jc w:val="both"/>
        <w:rPr>
          <w:rFonts w:ascii="Arial" w:hAnsi="Arial" w:cs="Arial"/>
          <w:b/>
          <w:bCs/>
          <w:u w:val="single"/>
        </w:rPr>
      </w:pPr>
      <w:r w:rsidRPr="003949D7">
        <w:rPr>
          <w:rFonts w:ascii="Arial" w:hAnsi="Arial" w:cs="Arial"/>
          <w:shd w:val="clear" w:color="auto" w:fill="FFFFFF"/>
        </w:rPr>
        <w:t>Abbas, J., Aman, J., Nurunnabi, M. and Bano, S., (2019). The impact of social media on learning behaviour for sustainable education: Evidence of students from selected universities in Pakistan. </w:t>
      </w:r>
      <w:r w:rsidRPr="003949D7">
        <w:rPr>
          <w:rFonts w:ascii="Arial" w:hAnsi="Arial" w:cs="Arial"/>
          <w:i/>
          <w:iCs/>
          <w:shd w:val="clear" w:color="auto" w:fill="FFFFFF"/>
        </w:rPr>
        <w:t>Sustainability</w:t>
      </w:r>
      <w:r w:rsidRPr="003949D7">
        <w:rPr>
          <w:rFonts w:ascii="Arial" w:hAnsi="Arial" w:cs="Arial"/>
          <w:shd w:val="clear" w:color="auto" w:fill="FFFFFF"/>
        </w:rPr>
        <w:t>, </w:t>
      </w:r>
      <w:r w:rsidRPr="003949D7">
        <w:rPr>
          <w:rFonts w:ascii="Arial" w:hAnsi="Arial" w:cs="Arial"/>
          <w:i/>
          <w:iCs/>
          <w:shd w:val="clear" w:color="auto" w:fill="FFFFFF"/>
        </w:rPr>
        <w:t>11</w:t>
      </w:r>
      <w:r w:rsidRPr="003949D7">
        <w:rPr>
          <w:rFonts w:ascii="Arial" w:hAnsi="Arial" w:cs="Arial"/>
          <w:shd w:val="clear" w:color="auto" w:fill="FFFFFF"/>
        </w:rPr>
        <w:t>(6), p.1683.</w:t>
      </w:r>
      <w:r w:rsidRPr="003949D7">
        <w:rPr>
          <w:rFonts w:ascii="Arial" w:hAnsi="Arial" w:cs="Arial"/>
        </w:rPr>
        <w:t xml:space="preserve"> </w:t>
      </w:r>
      <w:hyperlink r:id="rId11" w:history="1">
        <w:r w:rsidRPr="003949D7">
          <w:rPr>
            <w:rStyle w:val="Hyperlink"/>
            <w:rFonts w:ascii="Arial" w:hAnsi="Arial" w:cs="Arial"/>
            <w:color w:val="auto"/>
          </w:rPr>
          <w:t>https://doi.org/10.3390/su11061683</w:t>
        </w:r>
      </w:hyperlink>
    </w:p>
    <w:p w14:paraId="12B8A804" w14:textId="044276B4"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proofErr w:type="spellStart"/>
      <w:r w:rsidRPr="003949D7">
        <w:rPr>
          <w:rFonts w:ascii="Arial" w:hAnsi="Arial" w:cs="Arial"/>
        </w:rPr>
        <w:t>Aigbedo</w:t>
      </w:r>
      <w:proofErr w:type="spellEnd"/>
      <w:r w:rsidRPr="003949D7">
        <w:rPr>
          <w:rFonts w:ascii="Arial" w:hAnsi="Arial" w:cs="Arial"/>
        </w:rPr>
        <w:t>, H. (2021)</w:t>
      </w:r>
      <w:r w:rsidR="00A82307" w:rsidRPr="003949D7">
        <w:rPr>
          <w:rFonts w:ascii="Arial" w:hAnsi="Arial" w:cs="Arial"/>
        </w:rPr>
        <w:t>.</w:t>
      </w:r>
      <w:r w:rsidRPr="003949D7">
        <w:rPr>
          <w:rFonts w:ascii="Arial" w:hAnsi="Arial" w:cs="Arial"/>
        </w:rPr>
        <w:t xml:space="preserve"> 'Impact of COVID-19 on the hospitality industry: A supply chain resilience perspective', </w:t>
      </w:r>
      <w:r w:rsidRPr="003949D7">
        <w:rPr>
          <w:rFonts w:ascii="Arial" w:hAnsi="Arial" w:cs="Arial"/>
          <w:i/>
          <w:iCs/>
        </w:rPr>
        <w:t>International Journal of Hospitality Management</w:t>
      </w:r>
      <w:r w:rsidRPr="003949D7">
        <w:rPr>
          <w:rFonts w:ascii="Arial" w:hAnsi="Arial" w:cs="Arial"/>
        </w:rPr>
        <w:t xml:space="preserve">, 98, p.103012. Available at: </w:t>
      </w:r>
      <w:hyperlink r:id="rId12" w:tgtFrame="_blank" w:history="1">
        <w:r w:rsidRPr="003949D7">
          <w:rPr>
            <w:rStyle w:val="Hyperlink"/>
            <w:rFonts w:ascii="Arial" w:eastAsiaTheme="majorEastAsia" w:hAnsi="Arial" w:cs="Arial"/>
            <w:color w:val="auto"/>
          </w:rPr>
          <w:t>https://doi.org/10.1016/j.ijhm.2021.103012</w:t>
        </w:r>
      </w:hyperlink>
    </w:p>
    <w:p w14:paraId="51125B39" w14:textId="77777777" w:rsidR="007E393A" w:rsidRPr="003949D7" w:rsidRDefault="007E393A" w:rsidP="003949D7">
      <w:pPr>
        <w:pStyle w:val="NormalWeb"/>
        <w:spacing w:line="360" w:lineRule="auto"/>
        <w:jc w:val="both"/>
        <w:rPr>
          <w:rFonts w:ascii="Arial" w:hAnsi="Arial" w:cs="Arial"/>
        </w:rPr>
      </w:pPr>
      <w:r w:rsidRPr="003949D7">
        <w:rPr>
          <w:rFonts w:ascii="Arial" w:hAnsi="Arial" w:cs="Arial"/>
        </w:rPr>
        <w:t xml:space="preserve">Andrew, R. (2019). </w:t>
      </w:r>
      <w:r w:rsidRPr="003949D7">
        <w:rPr>
          <w:rFonts w:ascii="Arial" w:hAnsi="Arial" w:cs="Arial"/>
          <w:i/>
          <w:iCs/>
        </w:rPr>
        <w:t>Marriott’s CHRo makes employee well-being the company’s cornerstone</w:t>
      </w:r>
      <w:r w:rsidRPr="003949D7">
        <w:rPr>
          <w:rFonts w:ascii="Arial" w:hAnsi="Arial" w:cs="Arial"/>
        </w:rPr>
        <w:t xml:space="preserve">. Available at: </w:t>
      </w:r>
      <w:hyperlink r:id="rId13" w:history="1">
        <w:r w:rsidRPr="003949D7">
          <w:rPr>
            <w:rStyle w:val="Hyperlink"/>
            <w:rFonts w:ascii="Arial" w:eastAsiaTheme="majorEastAsia" w:hAnsi="Arial" w:cs="Arial"/>
            <w:color w:val="auto"/>
          </w:rPr>
          <w:t>https://hrexecutive.com/marriotts-chro-makes-employee-wellbeing-the-companys-cornerstone/</w:t>
        </w:r>
      </w:hyperlink>
      <w:r w:rsidRPr="003949D7">
        <w:rPr>
          <w:rFonts w:ascii="Arial" w:hAnsi="Arial" w:cs="Arial"/>
        </w:rPr>
        <w:t xml:space="preserve"> (Accessed: 31 May 2024).</w:t>
      </w:r>
    </w:p>
    <w:p w14:paraId="081981DC" w14:textId="4A4FA149" w:rsidR="00504E77"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Armstrong, M., and Taylor, S. (2020)</w:t>
      </w:r>
      <w:r w:rsidR="00963608" w:rsidRPr="003949D7">
        <w:rPr>
          <w:rFonts w:ascii="Arial" w:hAnsi="Arial" w:cs="Arial"/>
        </w:rPr>
        <w:t>.</w:t>
      </w:r>
      <w:r w:rsidRPr="003949D7">
        <w:rPr>
          <w:rFonts w:ascii="Arial" w:hAnsi="Arial" w:cs="Arial"/>
        </w:rPr>
        <w:t xml:space="preserve"> </w:t>
      </w:r>
      <w:r w:rsidRPr="003949D7">
        <w:rPr>
          <w:rFonts w:ascii="Arial" w:hAnsi="Arial" w:cs="Arial"/>
          <w:i/>
          <w:iCs/>
        </w:rPr>
        <w:t>Armstrong's handbook of human resource management practice.</w:t>
      </w:r>
      <w:r w:rsidRPr="003949D7">
        <w:rPr>
          <w:rFonts w:ascii="Arial" w:hAnsi="Arial" w:cs="Arial"/>
        </w:rPr>
        <w:t xml:space="preserve"> 15th edition. London: </w:t>
      </w:r>
      <w:proofErr w:type="spellStart"/>
      <w:r w:rsidRPr="003949D7">
        <w:rPr>
          <w:rFonts w:ascii="Arial" w:hAnsi="Arial" w:cs="Arial"/>
        </w:rPr>
        <w:t>KoganPage</w:t>
      </w:r>
      <w:proofErr w:type="spellEnd"/>
      <w:r w:rsidRPr="003949D7">
        <w:rPr>
          <w:rFonts w:ascii="Arial" w:hAnsi="Arial" w:cs="Arial"/>
        </w:rPr>
        <w:t>.</w:t>
      </w:r>
    </w:p>
    <w:p w14:paraId="5DB9CAB3" w14:textId="77777777" w:rsidR="00B5087F" w:rsidRPr="003949D7" w:rsidRDefault="00B5087F" w:rsidP="003949D7">
      <w:pPr>
        <w:pStyle w:val="NormalWeb"/>
        <w:spacing w:before="0" w:beforeAutospacing="0" w:after="0" w:afterAutospacing="0" w:line="360" w:lineRule="auto"/>
        <w:jc w:val="both"/>
        <w:rPr>
          <w:rFonts w:ascii="Arial" w:hAnsi="Arial" w:cs="Arial"/>
        </w:rPr>
      </w:pPr>
    </w:p>
    <w:p w14:paraId="3899B08F" w14:textId="6A8B7A2E"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proofErr w:type="spellStart"/>
      <w:r w:rsidRPr="003949D7">
        <w:rPr>
          <w:rFonts w:ascii="Arial" w:hAnsi="Arial" w:cs="Arial"/>
        </w:rPr>
        <w:t>Beerkens</w:t>
      </w:r>
      <w:proofErr w:type="spellEnd"/>
      <w:r w:rsidRPr="003949D7">
        <w:rPr>
          <w:rFonts w:ascii="Arial" w:hAnsi="Arial" w:cs="Arial"/>
        </w:rPr>
        <w:t>, M. (2022)</w:t>
      </w:r>
      <w:r w:rsidR="00963608" w:rsidRPr="003949D7">
        <w:rPr>
          <w:rFonts w:ascii="Arial" w:hAnsi="Arial" w:cs="Arial"/>
        </w:rPr>
        <w:t>.</w:t>
      </w:r>
      <w:r w:rsidRPr="003949D7">
        <w:rPr>
          <w:rFonts w:ascii="Arial" w:hAnsi="Arial" w:cs="Arial"/>
        </w:rPr>
        <w:t xml:space="preserve"> 'An evolution of performance data in higher education governance: a path towards a ‘big data era?', </w:t>
      </w:r>
      <w:r w:rsidRPr="003949D7">
        <w:rPr>
          <w:rFonts w:ascii="Arial" w:hAnsi="Arial" w:cs="Arial"/>
          <w:i/>
          <w:iCs/>
        </w:rPr>
        <w:t>Quality in Higher Education</w:t>
      </w:r>
      <w:r w:rsidRPr="003949D7">
        <w:rPr>
          <w:rFonts w:ascii="Arial" w:hAnsi="Arial" w:cs="Arial"/>
        </w:rPr>
        <w:t>, 28(1), pp.29</w:t>
      </w:r>
      <w:r w:rsidR="00963608" w:rsidRPr="003949D7">
        <w:rPr>
          <w:rFonts w:ascii="Arial" w:hAnsi="Arial" w:cs="Arial"/>
        </w:rPr>
        <w:t>–</w:t>
      </w:r>
      <w:r w:rsidRPr="003949D7">
        <w:rPr>
          <w:rFonts w:ascii="Arial" w:hAnsi="Arial" w:cs="Arial"/>
        </w:rPr>
        <w:t xml:space="preserve">49. Available at: </w:t>
      </w:r>
      <w:hyperlink r:id="rId14" w:tgtFrame="_blank" w:history="1">
        <w:r w:rsidRPr="003949D7">
          <w:rPr>
            <w:rStyle w:val="Hyperlink"/>
            <w:rFonts w:ascii="Arial" w:eastAsiaTheme="majorEastAsia" w:hAnsi="Arial" w:cs="Arial"/>
            <w:color w:val="auto"/>
          </w:rPr>
          <w:t>https://doi.org/10.1080/13538322.2021.1951451</w:t>
        </w:r>
      </w:hyperlink>
    </w:p>
    <w:p w14:paraId="52E1EF2A" w14:textId="77777777" w:rsidR="00B5087F" w:rsidRPr="003949D7" w:rsidRDefault="00B5087F" w:rsidP="003949D7">
      <w:pPr>
        <w:pStyle w:val="NormalWeb"/>
        <w:spacing w:before="0" w:beforeAutospacing="0" w:after="0" w:afterAutospacing="0" w:line="360" w:lineRule="auto"/>
        <w:jc w:val="both"/>
        <w:rPr>
          <w:rFonts w:ascii="Arial" w:hAnsi="Arial" w:cs="Arial"/>
        </w:rPr>
      </w:pPr>
    </w:p>
    <w:p w14:paraId="7B172547" w14:textId="77777777"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r w:rsidRPr="003949D7">
        <w:rPr>
          <w:rFonts w:ascii="Arial" w:hAnsi="Arial" w:cs="Arial"/>
        </w:rPr>
        <w:t xml:space="preserve">Chartered Institute of Personnel and Development (CIPD) (2024) Continuing professional development (CPD) information. Available at: </w:t>
      </w:r>
      <w:hyperlink r:id="rId15" w:tgtFrame="_blank" w:history="1">
        <w:r w:rsidRPr="003949D7">
          <w:rPr>
            <w:rStyle w:val="Hyperlink"/>
            <w:rFonts w:ascii="Arial" w:eastAsiaTheme="majorEastAsia" w:hAnsi="Arial" w:cs="Arial"/>
            <w:color w:val="auto"/>
          </w:rPr>
          <w:t>www.cipd.co.uk/cpd</w:t>
        </w:r>
      </w:hyperlink>
    </w:p>
    <w:p w14:paraId="23FFFEB2" w14:textId="77777777" w:rsidR="0068384A" w:rsidRPr="003949D7" w:rsidRDefault="0068384A" w:rsidP="003949D7">
      <w:pPr>
        <w:pStyle w:val="NormalWeb"/>
        <w:spacing w:before="0" w:beforeAutospacing="0" w:after="0" w:afterAutospacing="0" w:line="360" w:lineRule="auto"/>
        <w:jc w:val="both"/>
        <w:rPr>
          <w:rStyle w:val="Hyperlink"/>
          <w:rFonts w:ascii="Arial" w:eastAsiaTheme="majorEastAsia" w:hAnsi="Arial" w:cs="Arial"/>
          <w:color w:val="auto"/>
        </w:rPr>
      </w:pPr>
    </w:p>
    <w:p w14:paraId="41FE1200" w14:textId="77777777" w:rsidR="007E393A" w:rsidRPr="003949D7" w:rsidRDefault="007E393A" w:rsidP="003949D7">
      <w:pPr>
        <w:spacing w:line="360" w:lineRule="auto"/>
        <w:jc w:val="both"/>
        <w:rPr>
          <w:rFonts w:ascii="Arial" w:hAnsi="Arial" w:cs="Arial"/>
        </w:rPr>
      </w:pPr>
      <w:r w:rsidRPr="003949D7">
        <w:rPr>
          <w:rFonts w:ascii="Arial" w:hAnsi="Arial" w:cs="Arial"/>
        </w:rPr>
        <w:t xml:space="preserve">Corporate wellness magazine, (2024). </w:t>
      </w:r>
      <w:r w:rsidRPr="003949D7">
        <w:rPr>
          <w:rFonts w:ascii="Arial" w:hAnsi="Arial" w:cs="Arial"/>
          <w:i/>
          <w:iCs/>
        </w:rPr>
        <w:t xml:space="preserve">Workplace flexibility: The key to a balanced work-life integration. </w:t>
      </w:r>
      <w:r w:rsidRPr="003949D7">
        <w:rPr>
          <w:rFonts w:ascii="Arial" w:hAnsi="Arial" w:cs="Arial"/>
        </w:rPr>
        <w:t xml:space="preserve">Available at: </w:t>
      </w:r>
      <w:hyperlink r:id="rId16" w:history="1">
        <w:r w:rsidRPr="003949D7">
          <w:rPr>
            <w:rStyle w:val="Hyperlink"/>
            <w:rFonts w:ascii="Arial" w:hAnsi="Arial" w:cs="Arial"/>
            <w:color w:val="auto"/>
          </w:rPr>
          <w:t>https://www.corporatewellnessmagazine.com/article/workplace-flexibility-the-key-to-a-balanced-work-life-integration</w:t>
        </w:r>
      </w:hyperlink>
      <w:r w:rsidRPr="003949D7">
        <w:rPr>
          <w:rFonts w:ascii="Arial" w:hAnsi="Arial" w:cs="Arial"/>
        </w:rPr>
        <w:t xml:space="preserve"> (Accessed: 30 May 2024).</w:t>
      </w:r>
    </w:p>
    <w:p w14:paraId="4B05518E" w14:textId="73C845C5" w:rsidR="007E393A" w:rsidRDefault="007E393A" w:rsidP="003949D7">
      <w:pPr>
        <w:pStyle w:val="NormalWeb"/>
        <w:spacing w:before="0" w:beforeAutospacing="0" w:after="0" w:afterAutospacing="0" w:line="360" w:lineRule="auto"/>
        <w:jc w:val="both"/>
        <w:rPr>
          <w:rFonts w:ascii="Arial" w:hAnsi="Arial" w:cs="Arial"/>
        </w:rPr>
      </w:pPr>
      <w:proofErr w:type="spellStart"/>
      <w:r w:rsidRPr="003949D7">
        <w:rPr>
          <w:rFonts w:ascii="Arial" w:hAnsi="Arial" w:cs="Arial"/>
        </w:rPr>
        <w:t>Fachada</w:t>
      </w:r>
      <w:proofErr w:type="spellEnd"/>
      <w:r w:rsidRPr="003949D7">
        <w:rPr>
          <w:rFonts w:ascii="Arial" w:hAnsi="Arial" w:cs="Arial"/>
        </w:rPr>
        <w:t>, B. C. (2023)</w:t>
      </w:r>
      <w:r w:rsidR="009F6903" w:rsidRPr="003949D7">
        <w:rPr>
          <w:rFonts w:ascii="Arial" w:hAnsi="Arial" w:cs="Arial"/>
        </w:rPr>
        <w:t>.</w:t>
      </w:r>
      <w:r w:rsidRPr="003949D7">
        <w:rPr>
          <w:rFonts w:ascii="Arial" w:hAnsi="Arial" w:cs="Arial"/>
        </w:rPr>
        <w:t xml:space="preserve"> </w:t>
      </w:r>
      <w:r w:rsidRPr="003949D7">
        <w:rPr>
          <w:rFonts w:ascii="Arial" w:hAnsi="Arial" w:cs="Arial"/>
          <w:i/>
          <w:iCs/>
        </w:rPr>
        <w:t>'Business adaptive strategies in crisis</w:t>
      </w:r>
      <w:r w:rsidRPr="003949D7">
        <w:rPr>
          <w:rFonts w:ascii="Arial" w:hAnsi="Arial" w:cs="Arial"/>
        </w:rPr>
        <w:t xml:space="preserve">: </w:t>
      </w:r>
      <w:r w:rsidRPr="003949D7">
        <w:rPr>
          <w:rFonts w:ascii="Arial" w:hAnsi="Arial" w:cs="Arial"/>
          <w:i/>
          <w:iCs/>
        </w:rPr>
        <w:t>the case of Hilton Hotels Worldwide'.</w:t>
      </w:r>
      <w:r w:rsidRPr="003949D7">
        <w:rPr>
          <w:rFonts w:ascii="Arial" w:hAnsi="Arial" w:cs="Arial"/>
        </w:rPr>
        <w:t xml:space="preserve"> Available at: </w:t>
      </w:r>
      <w:hyperlink r:id="rId17" w:tgtFrame="_blank" w:history="1">
        <w:r w:rsidRPr="003949D7">
          <w:rPr>
            <w:rStyle w:val="Hyperlink"/>
            <w:rFonts w:ascii="Arial" w:eastAsiaTheme="majorEastAsia" w:hAnsi="Arial" w:cs="Arial"/>
            <w:color w:val="auto"/>
          </w:rPr>
          <w:t>http://hdl.handle.net/10400.14/41371</w:t>
        </w:r>
      </w:hyperlink>
      <w:r w:rsidRPr="003949D7">
        <w:rPr>
          <w:rStyle w:val="Hyperlink"/>
          <w:rFonts w:ascii="Arial" w:eastAsiaTheme="majorEastAsia" w:hAnsi="Arial" w:cs="Arial"/>
          <w:color w:val="auto"/>
        </w:rPr>
        <w:t xml:space="preserve"> </w:t>
      </w:r>
      <w:r w:rsidRPr="003949D7">
        <w:rPr>
          <w:rFonts w:ascii="Arial" w:hAnsi="Arial" w:cs="Arial"/>
        </w:rPr>
        <w:t>(Accessed: 29 May 2024)</w:t>
      </w:r>
      <w:r w:rsidR="00B753B6">
        <w:rPr>
          <w:rFonts w:ascii="Arial" w:hAnsi="Arial" w:cs="Arial"/>
        </w:rPr>
        <w:t>.</w:t>
      </w:r>
    </w:p>
    <w:p w14:paraId="34C48FAA" w14:textId="77777777" w:rsidR="00B753B6" w:rsidRPr="003949D7" w:rsidRDefault="00B753B6" w:rsidP="003949D7">
      <w:pPr>
        <w:pStyle w:val="NormalWeb"/>
        <w:spacing w:before="0" w:beforeAutospacing="0" w:after="0" w:afterAutospacing="0" w:line="360" w:lineRule="auto"/>
        <w:jc w:val="both"/>
        <w:rPr>
          <w:rFonts w:ascii="Arial" w:hAnsi="Arial" w:cs="Arial"/>
        </w:rPr>
      </w:pPr>
    </w:p>
    <w:p w14:paraId="2616A056" w14:textId="3089C489"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lastRenderedPageBreak/>
        <w:t>Friedman, A. (2012)</w:t>
      </w:r>
      <w:r w:rsidR="009F6903" w:rsidRPr="003949D7">
        <w:rPr>
          <w:rFonts w:ascii="Arial" w:hAnsi="Arial" w:cs="Arial"/>
        </w:rPr>
        <w:t>.</w:t>
      </w:r>
      <w:r w:rsidRPr="003949D7">
        <w:rPr>
          <w:rFonts w:ascii="Arial" w:hAnsi="Arial" w:cs="Arial"/>
        </w:rPr>
        <w:t xml:space="preserve"> </w:t>
      </w:r>
      <w:r w:rsidRPr="003949D7">
        <w:rPr>
          <w:rFonts w:ascii="Arial" w:hAnsi="Arial" w:cs="Arial"/>
          <w:i/>
          <w:iCs/>
        </w:rPr>
        <w:t>Continuing professional development: lifelong learning of millions.</w:t>
      </w:r>
      <w:r w:rsidRPr="003949D7">
        <w:rPr>
          <w:rFonts w:ascii="Arial" w:hAnsi="Arial" w:cs="Arial"/>
        </w:rPr>
        <w:t xml:space="preserve"> London: Routledge.</w:t>
      </w:r>
    </w:p>
    <w:p w14:paraId="67310DCF" w14:textId="77777777" w:rsidR="002A152F" w:rsidRPr="003949D7" w:rsidRDefault="002A152F" w:rsidP="003949D7">
      <w:pPr>
        <w:pStyle w:val="NormalWeb"/>
        <w:spacing w:before="0" w:beforeAutospacing="0" w:after="0" w:afterAutospacing="0" w:line="360" w:lineRule="auto"/>
        <w:jc w:val="both"/>
        <w:rPr>
          <w:rFonts w:ascii="Arial" w:hAnsi="Arial" w:cs="Arial"/>
        </w:rPr>
      </w:pPr>
    </w:p>
    <w:p w14:paraId="4D11BE5C" w14:textId="30458AD2"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Gallagher, K. (2016)</w:t>
      </w:r>
      <w:r w:rsidR="009F6903" w:rsidRPr="003949D7">
        <w:rPr>
          <w:rFonts w:ascii="Arial" w:hAnsi="Arial" w:cs="Arial"/>
        </w:rPr>
        <w:t>.</w:t>
      </w:r>
      <w:r w:rsidRPr="003949D7">
        <w:rPr>
          <w:rFonts w:ascii="Arial" w:hAnsi="Arial" w:cs="Arial"/>
        </w:rPr>
        <w:t xml:space="preserve"> </w:t>
      </w:r>
      <w:r w:rsidRPr="003949D7">
        <w:rPr>
          <w:rFonts w:ascii="Arial" w:hAnsi="Arial" w:cs="Arial"/>
          <w:i/>
          <w:iCs/>
        </w:rPr>
        <w:t xml:space="preserve">Essential study and employment skills for business and management students. </w:t>
      </w:r>
      <w:r w:rsidRPr="003949D7">
        <w:rPr>
          <w:rFonts w:ascii="Arial" w:hAnsi="Arial" w:cs="Arial"/>
        </w:rPr>
        <w:t>Oxford: Oxford University Press.</w:t>
      </w:r>
    </w:p>
    <w:p w14:paraId="6C90852A" w14:textId="77777777" w:rsidR="002A152F" w:rsidRPr="003949D7" w:rsidRDefault="002A152F" w:rsidP="003949D7">
      <w:pPr>
        <w:pStyle w:val="NormalWeb"/>
        <w:spacing w:before="0" w:beforeAutospacing="0" w:after="0" w:afterAutospacing="0" w:line="360" w:lineRule="auto"/>
        <w:jc w:val="both"/>
        <w:rPr>
          <w:rFonts w:ascii="Arial" w:hAnsi="Arial" w:cs="Arial"/>
        </w:rPr>
      </w:pPr>
    </w:p>
    <w:p w14:paraId="3CC0B553" w14:textId="76EB65F7"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 xml:space="preserve">Grzegorczyk, M., Mariniello, M., Nurski, L., and </w:t>
      </w:r>
      <w:proofErr w:type="spellStart"/>
      <w:r w:rsidRPr="003949D7">
        <w:rPr>
          <w:rFonts w:ascii="Arial" w:hAnsi="Arial" w:cs="Arial"/>
        </w:rPr>
        <w:t>Schraepen</w:t>
      </w:r>
      <w:proofErr w:type="spellEnd"/>
      <w:r w:rsidRPr="003949D7">
        <w:rPr>
          <w:rFonts w:ascii="Arial" w:hAnsi="Arial" w:cs="Arial"/>
        </w:rPr>
        <w:t>, T. (2021)</w:t>
      </w:r>
      <w:r w:rsidR="009F6903" w:rsidRPr="003949D7">
        <w:rPr>
          <w:rFonts w:ascii="Arial" w:hAnsi="Arial" w:cs="Arial"/>
        </w:rPr>
        <w:t>.</w:t>
      </w:r>
      <w:r w:rsidRPr="003949D7">
        <w:rPr>
          <w:rFonts w:ascii="Arial" w:hAnsi="Arial" w:cs="Arial"/>
        </w:rPr>
        <w:t xml:space="preserve"> </w:t>
      </w:r>
      <w:r w:rsidRPr="003949D7">
        <w:rPr>
          <w:rFonts w:ascii="Arial" w:hAnsi="Arial" w:cs="Arial"/>
          <w:i/>
          <w:iCs/>
        </w:rPr>
        <w:t xml:space="preserve">'Blending the physical and virtual: a hybrid model for the future of work', </w:t>
      </w:r>
      <w:r w:rsidRPr="003949D7">
        <w:rPr>
          <w:rFonts w:ascii="Arial" w:hAnsi="Arial" w:cs="Arial"/>
        </w:rPr>
        <w:t xml:space="preserve">Bruegel Policy Contribution, (14/2021). Available at: </w:t>
      </w:r>
      <w:hyperlink r:id="rId18" w:tgtFrame="_blank" w:history="1">
        <w:r w:rsidRPr="003949D7">
          <w:rPr>
            <w:rStyle w:val="Hyperlink"/>
            <w:rFonts w:ascii="Arial" w:eastAsiaTheme="majorEastAsia" w:hAnsi="Arial" w:cs="Arial"/>
            <w:color w:val="auto"/>
          </w:rPr>
          <w:t>https://www.econstor.eu/handle/10419/251067</w:t>
        </w:r>
      </w:hyperlink>
      <w:r w:rsidRPr="003949D7">
        <w:rPr>
          <w:rStyle w:val="Hyperlink"/>
          <w:rFonts w:ascii="Arial" w:eastAsiaTheme="majorEastAsia" w:hAnsi="Arial" w:cs="Arial"/>
          <w:color w:val="auto"/>
        </w:rPr>
        <w:t xml:space="preserve"> </w:t>
      </w:r>
      <w:r w:rsidRPr="003949D7">
        <w:rPr>
          <w:rFonts w:ascii="Arial" w:hAnsi="Arial" w:cs="Arial"/>
        </w:rPr>
        <w:t>(Accessed: 30 May 2024)</w:t>
      </w:r>
    </w:p>
    <w:p w14:paraId="47F90C31" w14:textId="77777777" w:rsidR="007E393A" w:rsidRPr="003949D7" w:rsidRDefault="007E393A" w:rsidP="003949D7">
      <w:pPr>
        <w:pStyle w:val="NormalWeb"/>
        <w:spacing w:line="360" w:lineRule="auto"/>
        <w:jc w:val="both"/>
        <w:rPr>
          <w:rFonts w:ascii="Arial" w:hAnsi="Arial" w:cs="Arial"/>
        </w:rPr>
      </w:pPr>
      <w:r w:rsidRPr="003949D7">
        <w:rPr>
          <w:rFonts w:ascii="Arial" w:hAnsi="Arial" w:cs="Arial"/>
        </w:rPr>
        <w:t xml:space="preserve">Hilton, (2024). </w:t>
      </w:r>
      <w:r w:rsidRPr="003949D7">
        <w:rPr>
          <w:rFonts w:ascii="Arial" w:hAnsi="Arial" w:cs="Arial"/>
          <w:i/>
          <w:iCs/>
        </w:rPr>
        <w:t>How to work remotely from anywhere</w:t>
      </w:r>
      <w:r w:rsidRPr="003949D7">
        <w:rPr>
          <w:rFonts w:ascii="Arial" w:hAnsi="Arial" w:cs="Arial"/>
        </w:rPr>
        <w:t xml:space="preserve">. Available at: </w:t>
      </w:r>
      <w:hyperlink r:id="rId19" w:history="1">
        <w:r w:rsidRPr="003949D7">
          <w:rPr>
            <w:rStyle w:val="Hyperlink"/>
            <w:rFonts w:ascii="Arial" w:eastAsiaTheme="majorEastAsia" w:hAnsi="Arial" w:cs="Arial"/>
            <w:color w:val="auto"/>
          </w:rPr>
          <w:t>https://www.hilton.com/en/travel/articles/how-to-work-remotely-from-anywhere/</w:t>
        </w:r>
      </w:hyperlink>
      <w:r w:rsidRPr="003949D7">
        <w:rPr>
          <w:rFonts w:ascii="Arial" w:hAnsi="Arial" w:cs="Arial"/>
        </w:rPr>
        <w:t xml:space="preserve">  (Accessed: 31 May 2024).</w:t>
      </w:r>
    </w:p>
    <w:p w14:paraId="385581E0" w14:textId="77777777"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p>
    <w:p w14:paraId="4364528E" w14:textId="77777777" w:rsidR="007E393A" w:rsidRPr="003949D7" w:rsidRDefault="007E393A" w:rsidP="003949D7">
      <w:pPr>
        <w:pStyle w:val="paragraph"/>
        <w:spacing w:before="0" w:beforeAutospacing="0" w:after="0" w:afterAutospacing="0" w:line="360" w:lineRule="auto"/>
        <w:jc w:val="both"/>
        <w:textAlignment w:val="baseline"/>
        <w:rPr>
          <w:rFonts w:ascii="Arial" w:eastAsiaTheme="majorEastAsia" w:hAnsi="Arial" w:cs="Arial"/>
        </w:rPr>
      </w:pPr>
      <w:r w:rsidRPr="003949D7">
        <w:rPr>
          <w:rStyle w:val="normaltextrun"/>
          <w:rFonts w:ascii="Arial" w:eastAsiaTheme="majorEastAsia" w:hAnsi="Arial" w:cs="Arial"/>
          <w:shd w:val="clear" w:color="auto" w:fill="FFFFFF"/>
        </w:rPr>
        <w:t>Hilton, (202</w:t>
      </w:r>
      <w:r w:rsidRPr="003949D7">
        <w:rPr>
          <w:rStyle w:val="normaltextrun"/>
          <w:rFonts w:ascii="Arial" w:hAnsi="Arial" w:cs="Arial"/>
          <w:shd w:val="clear" w:color="auto" w:fill="FFFFFF"/>
        </w:rPr>
        <w:t>4</w:t>
      </w:r>
      <w:r w:rsidRPr="003949D7">
        <w:rPr>
          <w:rStyle w:val="normaltextrun"/>
          <w:rFonts w:ascii="Arial" w:eastAsiaTheme="majorEastAsia" w:hAnsi="Arial" w:cs="Arial"/>
          <w:shd w:val="clear" w:color="auto" w:fill="FFFFFF"/>
        </w:rPr>
        <w:t>)</w:t>
      </w:r>
      <w:r w:rsidRPr="003949D7">
        <w:rPr>
          <w:rStyle w:val="normaltextrun"/>
          <w:rFonts w:ascii="Arial" w:hAnsi="Arial" w:cs="Arial"/>
          <w:shd w:val="clear" w:color="auto" w:fill="FFFFFF"/>
        </w:rPr>
        <w:t>.</w:t>
      </w:r>
      <w:r w:rsidRPr="003949D7">
        <w:rPr>
          <w:rStyle w:val="normaltextrun"/>
          <w:rFonts w:ascii="Arial" w:eastAsiaTheme="majorEastAsia" w:hAnsi="Arial" w:cs="Arial"/>
          <w:shd w:val="clear" w:color="auto" w:fill="FFFFFF"/>
        </w:rPr>
        <w:t xml:space="preserve"> </w:t>
      </w:r>
      <w:r w:rsidRPr="003949D7">
        <w:rPr>
          <w:rStyle w:val="normaltextrun"/>
          <w:rFonts w:ascii="Arial" w:hAnsi="Arial" w:cs="Arial"/>
          <w:i/>
          <w:iCs/>
          <w:shd w:val="clear" w:color="auto" w:fill="FFFFFF"/>
        </w:rPr>
        <w:t>Welcome to Hilton</w:t>
      </w:r>
      <w:r w:rsidRPr="003949D7">
        <w:rPr>
          <w:rStyle w:val="normaltextrun"/>
          <w:rFonts w:ascii="Arial" w:eastAsiaTheme="majorEastAsia" w:hAnsi="Arial" w:cs="Arial"/>
          <w:shd w:val="clear" w:color="auto" w:fill="FFFFFF"/>
        </w:rPr>
        <w:t>. Available at:</w:t>
      </w:r>
      <w:r w:rsidRPr="003949D7">
        <w:rPr>
          <w:rStyle w:val="normaltextrun"/>
          <w:rFonts w:ascii="Arial" w:eastAsiaTheme="majorEastAsia" w:hAnsi="Arial" w:cs="Arial"/>
        </w:rPr>
        <w:t xml:space="preserve"> </w:t>
      </w:r>
      <w:hyperlink r:id="rId20" w:history="1">
        <w:r w:rsidRPr="003949D7">
          <w:rPr>
            <w:rStyle w:val="Hyperlink"/>
            <w:rFonts w:ascii="Arial" w:hAnsi="Arial" w:cs="Arial"/>
            <w:color w:val="auto"/>
          </w:rPr>
          <w:t>https://www.hilton.com/en/corporate/</w:t>
        </w:r>
      </w:hyperlink>
      <w:r w:rsidRPr="003949D7">
        <w:rPr>
          <w:rFonts w:ascii="Arial" w:hAnsi="Arial" w:cs="Arial"/>
        </w:rPr>
        <w:t xml:space="preserve"> </w:t>
      </w:r>
    </w:p>
    <w:p w14:paraId="7ABFE5CD" w14:textId="77777777" w:rsidR="007E393A" w:rsidRPr="003949D7" w:rsidRDefault="007E393A" w:rsidP="003949D7">
      <w:pPr>
        <w:pStyle w:val="paragraph"/>
        <w:spacing w:before="0" w:beforeAutospacing="0" w:after="0" w:afterAutospacing="0" w:line="360" w:lineRule="auto"/>
        <w:jc w:val="both"/>
        <w:textAlignment w:val="baseline"/>
        <w:rPr>
          <w:rStyle w:val="eop"/>
          <w:rFonts w:ascii="Arial" w:hAnsi="Arial" w:cs="Arial"/>
        </w:rPr>
      </w:pPr>
      <w:r w:rsidRPr="003949D7">
        <w:rPr>
          <w:rStyle w:val="normaltextrun"/>
          <w:rFonts w:ascii="Arial" w:eastAsiaTheme="majorEastAsia" w:hAnsi="Arial" w:cs="Arial"/>
          <w:shd w:val="clear" w:color="auto" w:fill="FFFFFF"/>
        </w:rPr>
        <w:t xml:space="preserve"> (Accessed: </w:t>
      </w:r>
      <w:r w:rsidRPr="003949D7">
        <w:rPr>
          <w:rStyle w:val="normaltextrun"/>
          <w:rFonts w:ascii="Arial" w:hAnsi="Arial" w:cs="Arial"/>
          <w:shd w:val="clear" w:color="auto" w:fill="FFFFFF"/>
        </w:rPr>
        <w:t>28</w:t>
      </w:r>
      <w:r w:rsidRPr="003949D7">
        <w:rPr>
          <w:rStyle w:val="normaltextrun"/>
          <w:rFonts w:ascii="Arial" w:eastAsiaTheme="majorEastAsia" w:hAnsi="Arial" w:cs="Arial"/>
          <w:shd w:val="clear" w:color="auto" w:fill="FFFFFF"/>
        </w:rPr>
        <w:t xml:space="preserve"> </w:t>
      </w:r>
      <w:r w:rsidRPr="003949D7">
        <w:rPr>
          <w:rStyle w:val="normaltextrun"/>
          <w:rFonts w:ascii="Arial" w:hAnsi="Arial" w:cs="Arial"/>
          <w:shd w:val="clear" w:color="auto" w:fill="FFFFFF"/>
        </w:rPr>
        <w:t xml:space="preserve">May </w:t>
      </w:r>
      <w:r w:rsidRPr="003949D7">
        <w:rPr>
          <w:rStyle w:val="normaltextrun"/>
          <w:rFonts w:ascii="Arial" w:eastAsiaTheme="majorEastAsia" w:hAnsi="Arial" w:cs="Arial"/>
          <w:shd w:val="clear" w:color="auto" w:fill="FFFFFF"/>
        </w:rPr>
        <w:t>202</w:t>
      </w:r>
      <w:r w:rsidRPr="003949D7">
        <w:rPr>
          <w:rStyle w:val="normaltextrun"/>
          <w:rFonts w:ascii="Arial" w:hAnsi="Arial" w:cs="Arial"/>
          <w:shd w:val="clear" w:color="auto" w:fill="FFFFFF"/>
        </w:rPr>
        <w:t>4</w:t>
      </w:r>
      <w:r w:rsidRPr="003949D7">
        <w:rPr>
          <w:rStyle w:val="normaltextrun"/>
          <w:rFonts w:ascii="Arial" w:eastAsiaTheme="majorEastAsia" w:hAnsi="Arial" w:cs="Arial"/>
          <w:shd w:val="clear" w:color="auto" w:fill="FFFFFF"/>
        </w:rPr>
        <w:t>)</w:t>
      </w:r>
      <w:r w:rsidRPr="003949D7">
        <w:rPr>
          <w:rStyle w:val="eop"/>
          <w:rFonts w:ascii="Arial" w:hAnsi="Arial" w:cs="Arial"/>
        </w:rPr>
        <w:t> </w:t>
      </w:r>
    </w:p>
    <w:p w14:paraId="2EDFEFF8" w14:textId="77777777" w:rsidR="007E393A" w:rsidRPr="003949D7" w:rsidRDefault="007E393A" w:rsidP="003949D7">
      <w:pPr>
        <w:pStyle w:val="NormalWeb"/>
        <w:spacing w:line="360" w:lineRule="auto"/>
        <w:jc w:val="both"/>
        <w:rPr>
          <w:rFonts w:ascii="Arial" w:hAnsi="Arial" w:cs="Arial"/>
        </w:rPr>
      </w:pPr>
      <w:r w:rsidRPr="003949D7">
        <w:rPr>
          <w:rFonts w:ascii="Arial" w:hAnsi="Arial" w:cs="Arial"/>
        </w:rPr>
        <w:t xml:space="preserve">Hilton, (2022). </w:t>
      </w:r>
      <w:r w:rsidRPr="003949D7">
        <w:rPr>
          <w:rFonts w:ascii="Arial" w:hAnsi="Arial" w:cs="Arial"/>
          <w:i/>
          <w:iCs/>
        </w:rPr>
        <w:t>What is Thrive at Hilton? Q&amp;A with Hilton benefits leader</w:t>
      </w:r>
      <w:r w:rsidRPr="003949D7">
        <w:rPr>
          <w:rFonts w:ascii="Arial" w:hAnsi="Arial" w:cs="Arial"/>
        </w:rPr>
        <w:t xml:space="preserve">. Available at: </w:t>
      </w:r>
      <w:hyperlink r:id="rId21" w:history="1">
        <w:r w:rsidRPr="003949D7">
          <w:rPr>
            <w:rStyle w:val="Hyperlink"/>
            <w:rFonts w:ascii="Arial" w:eastAsiaTheme="majorEastAsia" w:hAnsi="Arial" w:cs="Arial"/>
            <w:color w:val="auto"/>
          </w:rPr>
          <w:t>https://jobs.hilton.com/us/en/blogarticle/what-is-thrive-at-hilton-qa-with-benefits-leader</w:t>
        </w:r>
      </w:hyperlink>
      <w:r w:rsidRPr="003949D7">
        <w:rPr>
          <w:rFonts w:ascii="Arial" w:hAnsi="Arial" w:cs="Arial"/>
        </w:rPr>
        <w:t xml:space="preserve"> (Accessed: 28 May 2024)</w:t>
      </w:r>
    </w:p>
    <w:p w14:paraId="6005D8BB" w14:textId="3FB3A01A"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Horn, R. (2009)</w:t>
      </w:r>
      <w:r w:rsidR="009F6903" w:rsidRPr="003949D7">
        <w:rPr>
          <w:rFonts w:ascii="Arial" w:hAnsi="Arial" w:cs="Arial"/>
        </w:rPr>
        <w:t>.</w:t>
      </w:r>
      <w:r w:rsidRPr="003949D7">
        <w:rPr>
          <w:rFonts w:ascii="Arial" w:hAnsi="Arial" w:cs="Arial"/>
        </w:rPr>
        <w:t xml:space="preserve"> </w:t>
      </w:r>
      <w:r w:rsidRPr="003949D7">
        <w:rPr>
          <w:rFonts w:ascii="Arial" w:hAnsi="Arial" w:cs="Arial"/>
          <w:i/>
          <w:iCs/>
        </w:rPr>
        <w:t>The business skills handbook</w:t>
      </w:r>
      <w:r w:rsidRPr="003949D7">
        <w:rPr>
          <w:rFonts w:ascii="Arial" w:hAnsi="Arial" w:cs="Arial"/>
        </w:rPr>
        <w:t>. London: Chartered Institute of Personnel and Development.</w:t>
      </w:r>
    </w:p>
    <w:p w14:paraId="6803AEE6" w14:textId="539F2F3A" w:rsidR="007E393A" w:rsidRPr="003949D7" w:rsidRDefault="007E393A" w:rsidP="003949D7">
      <w:pPr>
        <w:pStyle w:val="NormalWeb"/>
        <w:spacing w:line="360" w:lineRule="auto"/>
        <w:jc w:val="both"/>
        <w:rPr>
          <w:rFonts w:ascii="Arial" w:hAnsi="Arial" w:cs="Arial"/>
        </w:rPr>
      </w:pPr>
      <w:r w:rsidRPr="003949D7">
        <w:rPr>
          <w:rFonts w:ascii="Arial" w:hAnsi="Arial" w:cs="Arial"/>
        </w:rPr>
        <w:t xml:space="preserve">IHG Hotel and Resort, (2024). </w:t>
      </w:r>
      <w:r w:rsidRPr="003949D7">
        <w:rPr>
          <w:rFonts w:ascii="Arial" w:hAnsi="Arial" w:cs="Arial"/>
          <w:i/>
          <w:iCs/>
        </w:rPr>
        <w:t>Our Strategy</w:t>
      </w:r>
      <w:r w:rsidRPr="003949D7">
        <w:rPr>
          <w:rFonts w:ascii="Arial" w:hAnsi="Arial" w:cs="Arial"/>
        </w:rPr>
        <w:t xml:space="preserve">. Available at: </w:t>
      </w:r>
      <w:hyperlink r:id="rId22" w:history="1">
        <w:r w:rsidRPr="003949D7">
          <w:rPr>
            <w:rStyle w:val="Hyperlink"/>
            <w:rFonts w:ascii="Arial" w:eastAsiaTheme="majorEastAsia" w:hAnsi="Arial" w:cs="Arial"/>
            <w:color w:val="auto"/>
          </w:rPr>
          <w:t>https://www.ihgplc.com/en/about-us/our-strategy</w:t>
        </w:r>
      </w:hyperlink>
      <w:r w:rsidRPr="003949D7">
        <w:rPr>
          <w:rFonts w:ascii="Arial" w:hAnsi="Arial" w:cs="Arial"/>
        </w:rPr>
        <w:t xml:space="preserve">  (Accessed: 31 May 2024).</w:t>
      </w:r>
    </w:p>
    <w:p w14:paraId="7059AB22" w14:textId="1CE3B1EB" w:rsidR="007E393A"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 xml:space="preserve">Johnston, R., Clark, G., and </w:t>
      </w:r>
      <w:proofErr w:type="spellStart"/>
      <w:r w:rsidRPr="003949D7">
        <w:rPr>
          <w:rFonts w:ascii="Arial" w:hAnsi="Arial" w:cs="Arial"/>
        </w:rPr>
        <w:t>Shulver</w:t>
      </w:r>
      <w:proofErr w:type="spellEnd"/>
      <w:r w:rsidRPr="003949D7">
        <w:rPr>
          <w:rFonts w:ascii="Arial" w:hAnsi="Arial" w:cs="Arial"/>
        </w:rPr>
        <w:t>, M. (2012)</w:t>
      </w:r>
      <w:r w:rsidR="00D960A2" w:rsidRPr="003949D7">
        <w:rPr>
          <w:rFonts w:ascii="Arial" w:hAnsi="Arial" w:cs="Arial"/>
        </w:rPr>
        <w:t>.</w:t>
      </w:r>
      <w:r w:rsidRPr="003949D7">
        <w:rPr>
          <w:rFonts w:ascii="Arial" w:hAnsi="Arial" w:cs="Arial"/>
        </w:rPr>
        <w:t xml:space="preserve"> </w:t>
      </w:r>
      <w:r w:rsidRPr="003949D7">
        <w:rPr>
          <w:rFonts w:ascii="Arial" w:hAnsi="Arial" w:cs="Arial"/>
          <w:i/>
          <w:iCs/>
        </w:rPr>
        <w:t>Service operations management</w:t>
      </w:r>
      <w:r w:rsidRPr="003949D7">
        <w:rPr>
          <w:rFonts w:ascii="Arial" w:hAnsi="Arial" w:cs="Arial"/>
        </w:rPr>
        <w:t>. London: Pearson.</w:t>
      </w:r>
    </w:p>
    <w:p w14:paraId="28871BFC" w14:textId="77777777" w:rsidR="00B753B6" w:rsidRPr="003949D7" w:rsidRDefault="00B753B6" w:rsidP="003949D7">
      <w:pPr>
        <w:pStyle w:val="NormalWeb"/>
        <w:spacing w:before="0" w:beforeAutospacing="0" w:after="0" w:afterAutospacing="0" w:line="360" w:lineRule="auto"/>
        <w:jc w:val="both"/>
        <w:rPr>
          <w:rFonts w:ascii="Arial" w:hAnsi="Arial" w:cs="Arial"/>
        </w:rPr>
      </w:pPr>
    </w:p>
    <w:p w14:paraId="3B0721AD" w14:textId="662D42C9" w:rsidR="007E393A"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proofErr w:type="spellStart"/>
      <w:r w:rsidRPr="003949D7">
        <w:rPr>
          <w:rFonts w:ascii="Arial" w:hAnsi="Arial" w:cs="Arial"/>
        </w:rPr>
        <w:t>Jooss</w:t>
      </w:r>
      <w:proofErr w:type="spellEnd"/>
      <w:r w:rsidRPr="003949D7">
        <w:rPr>
          <w:rFonts w:ascii="Arial" w:hAnsi="Arial" w:cs="Arial"/>
        </w:rPr>
        <w:t>, S., McDonnell, A., and Conroy, K. (2021)</w:t>
      </w:r>
      <w:r w:rsidR="00D960A2" w:rsidRPr="003949D7">
        <w:rPr>
          <w:rFonts w:ascii="Arial" w:hAnsi="Arial" w:cs="Arial"/>
        </w:rPr>
        <w:t>.</w:t>
      </w:r>
      <w:r w:rsidRPr="003949D7">
        <w:rPr>
          <w:rFonts w:ascii="Arial" w:hAnsi="Arial" w:cs="Arial"/>
        </w:rPr>
        <w:t xml:space="preserve"> 'Flexible global working arrangements: An integrative review and future research agenda', </w:t>
      </w:r>
      <w:r w:rsidRPr="003949D7">
        <w:rPr>
          <w:rFonts w:ascii="Arial" w:hAnsi="Arial" w:cs="Arial"/>
          <w:i/>
          <w:iCs/>
        </w:rPr>
        <w:t xml:space="preserve">Human Resource </w:t>
      </w:r>
      <w:r w:rsidRPr="003949D7">
        <w:rPr>
          <w:rFonts w:ascii="Arial" w:hAnsi="Arial" w:cs="Arial"/>
          <w:i/>
          <w:iCs/>
        </w:rPr>
        <w:lastRenderedPageBreak/>
        <w:t>Management Review,</w:t>
      </w:r>
      <w:r w:rsidRPr="003949D7">
        <w:rPr>
          <w:rFonts w:ascii="Arial" w:hAnsi="Arial" w:cs="Arial"/>
        </w:rPr>
        <w:t xml:space="preserve"> 31(4), p.100780. Available at: </w:t>
      </w:r>
      <w:hyperlink r:id="rId23" w:tgtFrame="_blank" w:history="1">
        <w:r w:rsidRPr="003949D7">
          <w:rPr>
            <w:rStyle w:val="Hyperlink"/>
            <w:rFonts w:ascii="Arial" w:eastAsiaTheme="majorEastAsia" w:hAnsi="Arial" w:cs="Arial"/>
            <w:color w:val="auto"/>
          </w:rPr>
          <w:t>https://doi.org/10.1016/j.hrmr.2020.100780</w:t>
        </w:r>
      </w:hyperlink>
    </w:p>
    <w:p w14:paraId="6747B6DE" w14:textId="77777777" w:rsidR="00B753B6" w:rsidRPr="003949D7" w:rsidRDefault="00B753B6" w:rsidP="003949D7">
      <w:pPr>
        <w:pStyle w:val="NormalWeb"/>
        <w:spacing w:before="0" w:beforeAutospacing="0" w:after="0" w:afterAutospacing="0" w:line="360" w:lineRule="auto"/>
        <w:jc w:val="both"/>
        <w:rPr>
          <w:rFonts w:ascii="Arial" w:hAnsi="Arial" w:cs="Arial"/>
        </w:rPr>
      </w:pPr>
    </w:p>
    <w:p w14:paraId="1BA3BA19" w14:textId="7167FE9F"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r w:rsidRPr="003949D7">
        <w:rPr>
          <w:rFonts w:ascii="Arial" w:hAnsi="Arial" w:cs="Arial"/>
        </w:rPr>
        <w:t>Kang, E., and Lee, H. (2021)</w:t>
      </w:r>
      <w:r w:rsidR="00D960A2" w:rsidRPr="003949D7">
        <w:rPr>
          <w:rFonts w:ascii="Arial" w:hAnsi="Arial" w:cs="Arial"/>
        </w:rPr>
        <w:t>.</w:t>
      </w:r>
      <w:r w:rsidRPr="003949D7">
        <w:rPr>
          <w:rFonts w:ascii="Arial" w:hAnsi="Arial" w:cs="Arial"/>
        </w:rPr>
        <w:t xml:space="preserve"> 'Employee compensation strategy as a sustainable competitive advantage for HR education practitioners', </w:t>
      </w:r>
      <w:r w:rsidRPr="003949D7">
        <w:rPr>
          <w:rFonts w:ascii="Arial" w:hAnsi="Arial" w:cs="Arial"/>
          <w:i/>
          <w:iCs/>
        </w:rPr>
        <w:t>Sustainability,</w:t>
      </w:r>
      <w:r w:rsidRPr="003949D7">
        <w:rPr>
          <w:rFonts w:ascii="Arial" w:hAnsi="Arial" w:cs="Arial"/>
        </w:rPr>
        <w:t xml:space="preserve"> 13(3), p.1049. Available at: </w:t>
      </w:r>
      <w:hyperlink r:id="rId24" w:tgtFrame="_blank" w:history="1">
        <w:r w:rsidRPr="003949D7">
          <w:rPr>
            <w:rStyle w:val="Hyperlink"/>
            <w:rFonts w:ascii="Arial" w:eastAsiaTheme="majorEastAsia" w:hAnsi="Arial" w:cs="Arial"/>
            <w:color w:val="auto"/>
          </w:rPr>
          <w:t>https://doi.org/10.3390/su13031049</w:t>
        </w:r>
      </w:hyperlink>
    </w:p>
    <w:p w14:paraId="76570A5B" w14:textId="77777777" w:rsidR="002A152F" w:rsidRPr="003949D7" w:rsidRDefault="002A152F" w:rsidP="003949D7">
      <w:pPr>
        <w:pStyle w:val="NormalWeb"/>
        <w:spacing w:before="0" w:beforeAutospacing="0" w:after="0" w:afterAutospacing="0" w:line="360" w:lineRule="auto"/>
        <w:jc w:val="both"/>
        <w:rPr>
          <w:rFonts w:ascii="Arial" w:hAnsi="Arial" w:cs="Arial"/>
        </w:rPr>
      </w:pPr>
    </w:p>
    <w:p w14:paraId="73271929" w14:textId="3D9FFF4A"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r w:rsidRPr="003949D7">
        <w:rPr>
          <w:rFonts w:ascii="Arial" w:hAnsi="Arial" w:cs="Arial"/>
        </w:rPr>
        <w:t>Lippert, J.F., Furnari, M.B., and Kriebel, C.W. (2021)</w:t>
      </w:r>
      <w:r w:rsidR="00D960A2" w:rsidRPr="003949D7">
        <w:rPr>
          <w:rFonts w:ascii="Arial" w:hAnsi="Arial" w:cs="Arial"/>
        </w:rPr>
        <w:t>.</w:t>
      </w:r>
      <w:r w:rsidRPr="003949D7">
        <w:rPr>
          <w:rFonts w:ascii="Arial" w:hAnsi="Arial" w:cs="Arial"/>
        </w:rPr>
        <w:t xml:space="preserve"> 'The impact of the COVID-19 pandemic on occupational stress in restaurant work: a qualitative study', </w:t>
      </w:r>
      <w:r w:rsidRPr="003949D7">
        <w:rPr>
          <w:rFonts w:ascii="Arial" w:hAnsi="Arial" w:cs="Arial"/>
          <w:i/>
          <w:iCs/>
        </w:rPr>
        <w:t>International Journal of Environmental Research and Public Health</w:t>
      </w:r>
      <w:r w:rsidRPr="003949D7">
        <w:rPr>
          <w:rFonts w:ascii="Arial" w:hAnsi="Arial" w:cs="Arial"/>
        </w:rPr>
        <w:t xml:space="preserve">, 18(19), p.10378. Available at: </w:t>
      </w:r>
      <w:hyperlink r:id="rId25" w:tgtFrame="_blank" w:history="1">
        <w:r w:rsidRPr="003949D7">
          <w:rPr>
            <w:rStyle w:val="Hyperlink"/>
            <w:rFonts w:ascii="Arial" w:eastAsiaTheme="majorEastAsia" w:hAnsi="Arial" w:cs="Arial"/>
            <w:color w:val="auto"/>
          </w:rPr>
          <w:t>https://doi.org/10.3390/ijerph181910378</w:t>
        </w:r>
      </w:hyperlink>
    </w:p>
    <w:p w14:paraId="09FCB51C" w14:textId="77777777" w:rsidR="002A152F" w:rsidRPr="003949D7" w:rsidRDefault="002A152F" w:rsidP="003949D7">
      <w:pPr>
        <w:pStyle w:val="NormalWeb"/>
        <w:spacing w:before="0" w:beforeAutospacing="0" w:after="0" w:afterAutospacing="0" w:line="360" w:lineRule="auto"/>
        <w:jc w:val="both"/>
        <w:rPr>
          <w:rFonts w:ascii="Arial" w:hAnsi="Arial" w:cs="Arial"/>
        </w:rPr>
      </w:pPr>
    </w:p>
    <w:p w14:paraId="3DFD300F" w14:textId="3EBCA021"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Marchington, M., and Wilkinson, A. (2016)</w:t>
      </w:r>
      <w:r w:rsidR="002A152F" w:rsidRPr="003949D7">
        <w:rPr>
          <w:rFonts w:ascii="Arial" w:hAnsi="Arial" w:cs="Arial"/>
        </w:rPr>
        <w:t>.</w:t>
      </w:r>
      <w:r w:rsidRPr="003949D7">
        <w:rPr>
          <w:rFonts w:ascii="Arial" w:hAnsi="Arial" w:cs="Arial"/>
        </w:rPr>
        <w:t xml:space="preserve"> </w:t>
      </w:r>
      <w:r w:rsidRPr="003949D7">
        <w:rPr>
          <w:rFonts w:ascii="Arial" w:hAnsi="Arial" w:cs="Arial"/>
          <w:i/>
          <w:iCs/>
        </w:rPr>
        <w:t>Human resource management at work</w:t>
      </w:r>
      <w:r w:rsidRPr="003949D7">
        <w:rPr>
          <w:rFonts w:ascii="Arial" w:hAnsi="Arial" w:cs="Arial"/>
        </w:rPr>
        <w:t>. 6th ed. London: Chartered Institute of Personnel and Development.</w:t>
      </w:r>
    </w:p>
    <w:p w14:paraId="367BF532" w14:textId="77777777" w:rsidR="002A152F" w:rsidRPr="003949D7" w:rsidRDefault="002A152F" w:rsidP="003949D7">
      <w:pPr>
        <w:pStyle w:val="NormalWeb"/>
        <w:spacing w:before="0" w:beforeAutospacing="0" w:after="0" w:afterAutospacing="0" w:line="360" w:lineRule="auto"/>
        <w:jc w:val="both"/>
        <w:rPr>
          <w:rFonts w:ascii="Arial" w:hAnsi="Arial" w:cs="Arial"/>
        </w:rPr>
      </w:pPr>
    </w:p>
    <w:p w14:paraId="35297429" w14:textId="6557EB3A"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Murton, A., Inman, M., and O'Sullivan, N. (2010)</w:t>
      </w:r>
      <w:r w:rsidR="002A152F" w:rsidRPr="003949D7">
        <w:rPr>
          <w:rFonts w:ascii="Arial" w:hAnsi="Arial" w:cs="Arial"/>
        </w:rPr>
        <w:t>.</w:t>
      </w:r>
      <w:r w:rsidRPr="003949D7">
        <w:rPr>
          <w:rFonts w:ascii="Arial" w:hAnsi="Arial" w:cs="Arial"/>
        </w:rPr>
        <w:t xml:space="preserve"> </w:t>
      </w:r>
      <w:r w:rsidRPr="003949D7">
        <w:rPr>
          <w:rFonts w:ascii="Arial" w:hAnsi="Arial" w:cs="Arial"/>
          <w:i/>
          <w:iCs/>
        </w:rPr>
        <w:t xml:space="preserve">Unlocking human resource management. </w:t>
      </w:r>
      <w:r w:rsidRPr="003949D7">
        <w:rPr>
          <w:rFonts w:ascii="Arial" w:hAnsi="Arial" w:cs="Arial"/>
        </w:rPr>
        <w:t>London: Hodder Education.</w:t>
      </w:r>
    </w:p>
    <w:p w14:paraId="0A202AC9" w14:textId="77777777" w:rsidR="002A152F" w:rsidRPr="003949D7" w:rsidRDefault="002A152F" w:rsidP="003949D7">
      <w:pPr>
        <w:pStyle w:val="NormalWeb"/>
        <w:spacing w:before="0" w:beforeAutospacing="0" w:after="0" w:afterAutospacing="0" w:line="360" w:lineRule="auto"/>
        <w:jc w:val="both"/>
        <w:rPr>
          <w:rFonts w:ascii="Arial" w:hAnsi="Arial" w:cs="Arial"/>
        </w:rPr>
      </w:pPr>
    </w:p>
    <w:p w14:paraId="125A1207" w14:textId="78E7F6B8"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 xml:space="preserve">Mujtaba, B.G., and </w:t>
      </w:r>
      <w:proofErr w:type="spellStart"/>
      <w:r w:rsidRPr="003949D7">
        <w:rPr>
          <w:rFonts w:ascii="Arial" w:hAnsi="Arial" w:cs="Arial"/>
        </w:rPr>
        <w:t>Senathip</w:t>
      </w:r>
      <w:proofErr w:type="spellEnd"/>
      <w:r w:rsidRPr="003949D7">
        <w:rPr>
          <w:rFonts w:ascii="Arial" w:hAnsi="Arial" w:cs="Arial"/>
        </w:rPr>
        <w:t>, T. (2020)</w:t>
      </w:r>
      <w:r w:rsidR="002A152F" w:rsidRPr="003949D7">
        <w:rPr>
          <w:rFonts w:ascii="Arial" w:hAnsi="Arial" w:cs="Arial"/>
        </w:rPr>
        <w:t>.</w:t>
      </w:r>
      <w:r w:rsidRPr="003949D7">
        <w:rPr>
          <w:rFonts w:ascii="Arial" w:hAnsi="Arial" w:cs="Arial"/>
        </w:rPr>
        <w:t xml:space="preserve"> 'Layoffs and downsizing implications for the leadership role of human resources', </w:t>
      </w:r>
      <w:r w:rsidRPr="003949D7">
        <w:rPr>
          <w:rFonts w:ascii="Arial" w:hAnsi="Arial" w:cs="Arial"/>
          <w:i/>
          <w:iCs/>
        </w:rPr>
        <w:t>Journal of Service Science and Management</w:t>
      </w:r>
      <w:r w:rsidRPr="003949D7">
        <w:rPr>
          <w:rFonts w:ascii="Arial" w:hAnsi="Arial" w:cs="Arial"/>
        </w:rPr>
        <w:t xml:space="preserve">, 13(02), p.209. Available at:  </w:t>
      </w:r>
      <w:hyperlink r:id="rId26" w:tgtFrame="_blank" w:history="1">
        <w:r w:rsidRPr="003949D7">
          <w:rPr>
            <w:rStyle w:val="Hyperlink"/>
            <w:rFonts w:ascii="Arial" w:eastAsiaTheme="majorEastAsia" w:hAnsi="Arial" w:cs="Arial"/>
            <w:color w:val="auto"/>
          </w:rPr>
          <w:t>https://www.scirp.org/html/2-9202305_99284.htm</w:t>
        </w:r>
      </w:hyperlink>
      <w:r w:rsidRPr="003949D7">
        <w:rPr>
          <w:rStyle w:val="Hyperlink"/>
          <w:rFonts w:ascii="Arial" w:eastAsiaTheme="majorEastAsia" w:hAnsi="Arial" w:cs="Arial"/>
          <w:color w:val="auto"/>
        </w:rPr>
        <w:t xml:space="preserve"> </w:t>
      </w:r>
      <w:r w:rsidRPr="003949D7">
        <w:rPr>
          <w:rFonts w:ascii="Arial" w:hAnsi="Arial" w:cs="Arial"/>
        </w:rPr>
        <w:t>(Accessed: 31 May 2024)</w:t>
      </w:r>
    </w:p>
    <w:p w14:paraId="6EF8208D" w14:textId="77777777" w:rsidR="00CA00F6" w:rsidRPr="003949D7" w:rsidRDefault="00CA00F6" w:rsidP="003949D7">
      <w:pPr>
        <w:pStyle w:val="NormalWeb"/>
        <w:spacing w:before="0" w:beforeAutospacing="0" w:after="0" w:afterAutospacing="0" w:line="360" w:lineRule="auto"/>
        <w:jc w:val="both"/>
        <w:rPr>
          <w:rFonts w:ascii="Arial" w:hAnsi="Arial" w:cs="Arial"/>
        </w:rPr>
      </w:pPr>
    </w:p>
    <w:p w14:paraId="247254CF" w14:textId="219E228D"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Napoletano, P. (2022)</w:t>
      </w:r>
      <w:r w:rsidR="007C32F2" w:rsidRPr="003949D7">
        <w:rPr>
          <w:rFonts w:ascii="Arial" w:hAnsi="Arial" w:cs="Arial"/>
        </w:rPr>
        <w:t>.</w:t>
      </w:r>
      <w:r w:rsidRPr="003949D7">
        <w:rPr>
          <w:rFonts w:ascii="Arial" w:hAnsi="Arial" w:cs="Arial"/>
        </w:rPr>
        <w:t xml:space="preserve"> 'Exploiting the hybrid work model in different </w:t>
      </w:r>
      <w:r w:rsidR="00CA00F6" w:rsidRPr="003949D7">
        <w:rPr>
          <w:rFonts w:ascii="Arial" w:hAnsi="Arial" w:cs="Arial"/>
        </w:rPr>
        <w:t>organisational</w:t>
      </w:r>
      <w:r w:rsidRPr="003949D7">
        <w:rPr>
          <w:rFonts w:ascii="Arial" w:hAnsi="Arial" w:cs="Arial"/>
        </w:rPr>
        <w:t xml:space="preserve"> contexts: </w:t>
      </w:r>
      <w:r w:rsidRPr="003949D7">
        <w:rPr>
          <w:rFonts w:ascii="Arial" w:hAnsi="Arial" w:cs="Arial"/>
          <w:i/>
          <w:iCs/>
        </w:rPr>
        <w:t xml:space="preserve">an analysis of Chinese and European firms’ </w:t>
      </w:r>
      <w:proofErr w:type="spellStart"/>
      <w:r w:rsidR="009561C6" w:rsidRPr="003949D7">
        <w:rPr>
          <w:rFonts w:ascii="Arial" w:hAnsi="Arial" w:cs="Arial"/>
          <w:i/>
          <w:iCs/>
        </w:rPr>
        <w:t>behaviour</w:t>
      </w:r>
      <w:proofErr w:type="spellEnd"/>
      <w:r w:rsidRPr="003949D7">
        <w:rPr>
          <w:rFonts w:ascii="Arial" w:hAnsi="Arial" w:cs="Arial"/>
          <w:i/>
          <w:iCs/>
        </w:rPr>
        <w:t xml:space="preserve"> and a proposal for the future</w:t>
      </w:r>
      <w:r w:rsidRPr="003949D7">
        <w:rPr>
          <w:rFonts w:ascii="Arial" w:hAnsi="Arial" w:cs="Arial"/>
        </w:rPr>
        <w:t xml:space="preserve">'. Available at: </w:t>
      </w:r>
      <w:hyperlink r:id="rId27" w:tgtFrame="_blank" w:history="1">
        <w:r w:rsidRPr="003949D7">
          <w:rPr>
            <w:rStyle w:val="Hyperlink"/>
            <w:rFonts w:ascii="Arial" w:eastAsiaTheme="majorEastAsia" w:hAnsi="Arial" w:cs="Arial"/>
            <w:color w:val="auto"/>
          </w:rPr>
          <w:t>http://dspace.unive.it/handle/10579/23757</w:t>
        </w:r>
      </w:hyperlink>
      <w:r w:rsidRPr="003949D7">
        <w:rPr>
          <w:rStyle w:val="Hyperlink"/>
          <w:rFonts w:ascii="Arial" w:eastAsiaTheme="majorEastAsia" w:hAnsi="Arial" w:cs="Arial"/>
          <w:color w:val="auto"/>
        </w:rPr>
        <w:t xml:space="preserve"> </w:t>
      </w:r>
      <w:r w:rsidRPr="003949D7">
        <w:rPr>
          <w:rFonts w:ascii="Arial" w:hAnsi="Arial" w:cs="Arial"/>
        </w:rPr>
        <w:t>(Accessed: 31 May 2024)</w:t>
      </w:r>
    </w:p>
    <w:p w14:paraId="289C9D57" w14:textId="77777777" w:rsidR="00CA00F6" w:rsidRPr="003949D7" w:rsidRDefault="00CA00F6" w:rsidP="003949D7">
      <w:pPr>
        <w:pStyle w:val="NormalWeb"/>
        <w:spacing w:before="0" w:beforeAutospacing="0" w:after="0" w:afterAutospacing="0" w:line="360" w:lineRule="auto"/>
        <w:jc w:val="both"/>
        <w:rPr>
          <w:rFonts w:ascii="Arial" w:hAnsi="Arial" w:cs="Arial"/>
        </w:rPr>
      </w:pPr>
    </w:p>
    <w:p w14:paraId="512C60DD" w14:textId="42BFBD1C"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r w:rsidRPr="003949D7">
        <w:rPr>
          <w:rFonts w:ascii="Arial" w:hAnsi="Arial" w:cs="Arial"/>
        </w:rPr>
        <w:t>Nayem, Z., and Uddin, M.A. (2024)</w:t>
      </w:r>
      <w:r w:rsidR="007C32F2" w:rsidRPr="003949D7">
        <w:rPr>
          <w:rFonts w:ascii="Arial" w:hAnsi="Arial" w:cs="Arial"/>
        </w:rPr>
        <w:t>.</w:t>
      </w:r>
      <w:r w:rsidRPr="003949D7">
        <w:rPr>
          <w:rFonts w:ascii="Arial" w:hAnsi="Arial" w:cs="Arial"/>
        </w:rPr>
        <w:t xml:space="preserve"> 'Unbiased employee performance evaluation using machine learning', </w:t>
      </w:r>
      <w:r w:rsidRPr="003949D7">
        <w:rPr>
          <w:rFonts w:ascii="Arial" w:hAnsi="Arial" w:cs="Arial"/>
          <w:i/>
          <w:iCs/>
        </w:rPr>
        <w:t>Journal of Open Innovation: Technology, Market, and Complexity</w:t>
      </w:r>
      <w:r w:rsidRPr="003949D7">
        <w:rPr>
          <w:rFonts w:ascii="Arial" w:hAnsi="Arial" w:cs="Arial"/>
        </w:rPr>
        <w:t xml:space="preserve">, 10(1), p.100243. Available at:  </w:t>
      </w:r>
      <w:hyperlink r:id="rId28" w:tgtFrame="_blank" w:history="1">
        <w:r w:rsidRPr="003949D7">
          <w:rPr>
            <w:rStyle w:val="Hyperlink"/>
            <w:rFonts w:ascii="Arial" w:eastAsiaTheme="majorEastAsia" w:hAnsi="Arial" w:cs="Arial"/>
            <w:color w:val="auto"/>
          </w:rPr>
          <w:t>https://doi.org/10.1016/j.joitmc.2024.100243</w:t>
        </w:r>
      </w:hyperlink>
    </w:p>
    <w:p w14:paraId="2E8CEC0E" w14:textId="77777777" w:rsidR="007E393A" w:rsidRPr="003949D7" w:rsidRDefault="007E393A" w:rsidP="003949D7">
      <w:pPr>
        <w:pStyle w:val="NormalWeb"/>
        <w:spacing w:line="360" w:lineRule="auto"/>
        <w:jc w:val="both"/>
        <w:rPr>
          <w:rStyle w:val="Hyperlink"/>
          <w:rFonts w:ascii="Arial" w:hAnsi="Arial" w:cs="Arial"/>
          <w:color w:val="auto"/>
          <w:u w:val="none"/>
        </w:rPr>
      </w:pPr>
      <w:r w:rsidRPr="003949D7">
        <w:rPr>
          <w:rFonts w:ascii="Arial" w:hAnsi="Arial" w:cs="Arial"/>
        </w:rPr>
        <w:lastRenderedPageBreak/>
        <w:t xml:space="preserve">Radisson Hotels, (2024). </w:t>
      </w:r>
      <w:r w:rsidRPr="003949D7">
        <w:rPr>
          <w:rFonts w:ascii="Arial" w:hAnsi="Arial" w:cs="Arial"/>
          <w:i/>
          <w:iCs/>
        </w:rPr>
        <w:t>Polices and performance</w:t>
      </w:r>
      <w:r w:rsidRPr="003949D7">
        <w:rPr>
          <w:rFonts w:ascii="Arial" w:hAnsi="Arial" w:cs="Arial"/>
        </w:rPr>
        <w:t xml:space="preserve">. Available at: </w:t>
      </w:r>
      <w:hyperlink r:id="rId29" w:history="1">
        <w:r w:rsidRPr="003949D7">
          <w:rPr>
            <w:rStyle w:val="Hyperlink"/>
            <w:rFonts w:ascii="Arial" w:eastAsiaTheme="majorEastAsia" w:hAnsi="Arial" w:cs="Arial"/>
            <w:color w:val="auto"/>
          </w:rPr>
          <w:t>https://www.radissonhotels.com/en-us/corporate/responsible-business/policies-performances</w:t>
        </w:r>
      </w:hyperlink>
      <w:r w:rsidRPr="003949D7">
        <w:rPr>
          <w:rFonts w:ascii="Arial" w:hAnsi="Arial" w:cs="Arial"/>
        </w:rPr>
        <w:t xml:space="preserve"> (Accessed: 31 May 2024).</w:t>
      </w:r>
    </w:p>
    <w:p w14:paraId="6F48B2E5" w14:textId="03D9B22D"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r w:rsidRPr="003949D7">
        <w:rPr>
          <w:rFonts w:ascii="Arial" w:hAnsi="Arial" w:cs="Arial"/>
        </w:rPr>
        <w:t>Sarkis, J., Cohen, M. J., Dewick, P., and Schröder, P. (2020)</w:t>
      </w:r>
      <w:r w:rsidR="006E7B5D" w:rsidRPr="003949D7">
        <w:rPr>
          <w:rFonts w:ascii="Arial" w:hAnsi="Arial" w:cs="Arial"/>
        </w:rPr>
        <w:t>.</w:t>
      </w:r>
      <w:r w:rsidRPr="003949D7">
        <w:rPr>
          <w:rFonts w:ascii="Arial" w:hAnsi="Arial" w:cs="Arial"/>
        </w:rPr>
        <w:t xml:space="preserve"> 'A brave new world: Lessons from the COVID-19 pandemic for transitioning to sustainable supply and production', </w:t>
      </w:r>
      <w:r w:rsidRPr="003949D7">
        <w:rPr>
          <w:rFonts w:ascii="Arial" w:hAnsi="Arial" w:cs="Arial"/>
          <w:i/>
          <w:iCs/>
        </w:rPr>
        <w:t>Resources, Conservation and Recycling</w:t>
      </w:r>
      <w:r w:rsidRPr="003949D7">
        <w:rPr>
          <w:rFonts w:ascii="Arial" w:hAnsi="Arial" w:cs="Arial"/>
        </w:rPr>
        <w:t xml:space="preserve">, 159, p.104894. Available at: </w:t>
      </w:r>
      <w:hyperlink r:id="rId30" w:tgtFrame="_blank" w:history="1">
        <w:r w:rsidRPr="003949D7">
          <w:rPr>
            <w:rStyle w:val="Hyperlink"/>
            <w:rFonts w:ascii="Arial" w:eastAsiaTheme="majorEastAsia" w:hAnsi="Arial" w:cs="Arial"/>
            <w:color w:val="auto"/>
          </w:rPr>
          <w:t>https://doi.org/10.1016/j.resconrec.2020.104894</w:t>
        </w:r>
      </w:hyperlink>
    </w:p>
    <w:p w14:paraId="6D7FCC78" w14:textId="77777777" w:rsidR="00CA00F6" w:rsidRPr="003949D7" w:rsidRDefault="00CA00F6" w:rsidP="003949D7">
      <w:pPr>
        <w:pStyle w:val="NormalWeb"/>
        <w:spacing w:before="0" w:beforeAutospacing="0" w:after="0" w:afterAutospacing="0" w:line="360" w:lineRule="auto"/>
        <w:jc w:val="both"/>
        <w:rPr>
          <w:rFonts w:ascii="Arial" w:hAnsi="Arial" w:cs="Arial"/>
        </w:rPr>
      </w:pPr>
    </w:p>
    <w:p w14:paraId="5303E4EA" w14:textId="6ABB68B3"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r w:rsidRPr="003949D7">
        <w:rPr>
          <w:rFonts w:ascii="Arial" w:hAnsi="Arial" w:cs="Arial"/>
        </w:rPr>
        <w:t>Scott, C. P. R., Dieguez, T. A., Deepak, P., Gu, S., and Wildman, J. L. (2022)</w:t>
      </w:r>
      <w:r w:rsidR="00EA103B" w:rsidRPr="003949D7">
        <w:rPr>
          <w:rFonts w:ascii="Arial" w:hAnsi="Arial" w:cs="Arial"/>
        </w:rPr>
        <w:t>.</w:t>
      </w:r>
      <w:r w:rsidRPr="003949D7">
        <w:rPr>
          <w:rFonts w:ascii="Arial" w:hAnsi="Arial" w:cs="Arial"/>
        </w:rPr>
        <w:t xml:space="preserve"> 'Onboarding during COVID-19: Create structure, connect people, and continue adapting', </w:t>
      </w:r>
      <w:r w:rsidRPr="003949D7">
        <w:rPr>
          <w:rFonts w:ascii="Arial" w:hAnsi="Arial" w:cs="Arial"/>
          <w:i/>
          <w:iCs/>
        </w:rPr>
        <w:t>Organizational Dynamics,</w:t>
      </w:r>
      <w:r w:rsidRPr="003949D7">
        <w:rPr>
          <w:rFonts w:ascii="Arial" w:hAnsi="Arial" w:cs="Arial"/>
        </w:rPr>
        <w:t xml:space="preserve"> 51(2), p.100828. Available at: </w:t>
      </w:r>
      <w:hyperlink r:id="rId31" w:tgtFrame="_blank" w:history="1">
        <w:r w:rsidRPr="003949D7">
          <w:rPr>
            <w:rStyle w:val="Hyperlink"/>
            <w:rFonts w:ascii="Arial" w:eastAsiaTheme="majorEastAsia" w:hAnsi="Arial" w:cs="Arial"/>
            <w:color w:val="auto"/>
          </w:rPr>
          <w:t>https://doi.org/10.1016/j.orgdyn.2021.100828</w:t>
        </w:r>
      </w:hyperlink>
    </w:p>
    <w:p w14:paraId="11F8A905" w14:textId="77777777" w:rsidR="00CA00F6" w:rsidRPr="003949D7" w:rsidRDefault="00CA00F6" w:rsidP="003949D7">
      <w:pPr>
        <w:pStyle w:val="NormalWeb"/>
        <w:spacing w:before="0" w:beforeAutospacing="0" w:after="0" w:afterAutospacing="0" w:line="360" w:lineRule="auto"/>
        <w:jc w:val="both"/>
        <w:rPr>
          <w:rFonts w:ascii="Arial" w:hAnsi="Arial" w:cs="Arial"/>
        </w:rPr>
      </w:pPr>
    </w:p>
    <w:p w14:paraId="5771CA3C" w14:textId="0EAD936B" w:rsidR="007E393A" w:rsidRPr="003949D7" w:rsidRDefault="007E393A" w:rsidP="003949D7">
      <w:pPr>
        <w:pStyle w:val="NormalWeb"/>
        <w:spacing w:before="0" w:beforeAutospacing="0" w:after="0" w:afterAutospacing="0" w:line="360" w:lineRule="auto"/>
        <w:jc w:val="both"/>
        <w:rPr>
          <w:rStyle w:val="Hyperlink"/>
          <w:rFonts w:ascii="Arial" w:eastAsiaTheme="majorEastAsia" w:hAnsi="Arial" w:cs="Arial"/>
          <w:color w:val="auto"/>
        </w:rPr>
      </w:pPr>
      <w:r w:rsidRPr="003949D7">
        <w:rPr>
          <w:rFonts w:ascii="Arial" w:hAnsi="Arial" w:cs="Arial"/>
        </w:rPr>
        <w:t>Sigala, M. (2020)</w:t>
      </w:r>
      <w:r w:rsidR="00EA103B" w:rsidRPr="003949D7">
        <w:rPr>
          <w:rFonts w:ascii="Arial" w:hAnsi="Arial" w:cs="Arial"/>
        </w:rPr>
        <w:t>.</w:t>
      </w:r>
      <w:r w:rsidRPr="003949D7">
        <w:rPr>
          <w:rFonts w:ascii="Arial" w:hAnsi="Arial" w:cs="Arial"/>
        </w:rPr>
        <w:t xml:space="preserve"> 'Tourism and COVID-19: Impacts and implications for advancing and resetting industry and research', </w:t>
      </w:r>
      <w:r w:rsidRPr="003949D7">
        <w:rPr>
          <w:rFonts w:ascii="Arial" w:hAnsi="Arial" w:cs="Arial"/>
          <w:i/>
          <w:iCs/>
        </w:rPr>
        <w:t>Journal of Business Research</w:t>
      </w:r>
      <w:r w:rsidRPr="003949D7">
        <w:rPr>
          <w:rFonts w:ascii="Arial" w:hAnsi="Arial" w:cs="Arial"/>
        </w:rPr>
        <w:t>, 117, pp.312</w:t>
      </w:r>
      <w:r w:rsidR="00EA103B" w:rsidRPr="003949D7">
        <w:rPr>
          <w:rFonts w:ascii="Arial" w:hAnsi="Arial" w:cs="Arial"/>
        </w:rPr>
        <w:t>–</w:t>
      </w:r>
      <w:r w:rsidRPr="003949D7">
        <w:rPr>
          <w:rFonts w:ascii="Arial" w:hAnsi="Arial" w:cs="Arial"/>
        </w:rPr>
        <w:t xml:space="preserve">321. Available at: </w:t>
      </w:r>
      <w:hyperlink r:id="rId32" w:tgtFrame="_blank" w:history="1">
        <w:r w:rsidRPr="003949D7">
          <w:rPr>
            <w:rStyle w:val="Hyperlink"/>
            <w:rFonts w:ascii="Arial" w:eastAsiaTheme="majorEastAsia" w:hAnsi="Arial" w:cs="Arial"/>
            <w:color w:val="auto"/>
          </w:rPr>
          <w:t>https://doi.org/10.1016/j.jbusres.2020.06.015</w:t>
        </w:r>
      </w:hyperlink>
    </w:p>
    <w:p w14:paraId="37255A60" w14:textId="77777777" w:rsidR="00CA00F6" w:rsidRPr="003949D7" w:rsidRDefault="00CA00F6" w:rsidP="003949D7">
      <w:pPr>
        <w:pStyle w:val="NormalWeb"/>
        <w:spacing w:before="0" w:beforeAutospacing="0" w:after="0" w:afterAutospacing="0" w:line="360" w:lineRule="auto"/>
        <w:jc w:val="both"/>
        <w:rPr>
          <w:rFonts w:ascii="Arial" w:hAnsi="Arial" w:cs="Arial"/>
        </w:rPr>
      </w:pPr>
    </w:p>
    <w:p w14:paraId="436848D9" w14:textId="4D5D4D07" w:rsidR="007E393A" w:rsidRPr="003949D7" w:rsidRDefault="007E393A" w:rsidP="003949D7">
      <w:pPr>
        <w:pStyle w:val="NormalWeb"/>
        <w:spacing w:before="0" w:beforeAutospacing="0" w:after="0" w:afterAutospacing="0" w:line="360" w:lineRule="auto"/>
        <w:jc w:val="both"/>
        <w:rPr>
          <w:rFonts w:ascii="Arial" w:hAnsi="Arial" w:cs="Arial"/>
        </w:rPr>
      </w:pPr>
      <w:proofErr w:type="spellStart"/>
      <w:r w:rsidRPr="003949D7">
        <w:rPr>
          <w:rFonts w:ascii="Arial" w:hAnsi="Arial" w:cs="Arial"/>
        </w:rPr>
        <w:t>Spurk</w:t>
      </w:r>
      <w:proofErr w:type="spellEnd"/>
      <w:r w:rsidRPr="003949D7">
        <w:rPr>
          <w:rFonts w:ascii="Arial" w:hAnsi="Arial" w:cs="Arial"/>
        </w:rPr>
        <w:t>, D., and Straub, C. (2020)</w:t>
      </w:r>
      <w:r w:rsidR="00CA00F6" w:rsidRPr="003949D7">
        <w:rPr>
          <w:rFonts w:ascii="Arial" w:hAnsi="Arial" w:cs="Arial"/>
        </w:rPr>
        <w:t>.</w:t>
      </w:r>
      <w:r w:rsidRPr="003949D7">
        <w:rPr>
          <w:rFonts w:ascii="Arial" w:hAnsi="Arial" w:cs="Arial"/>
        </w:rPr>
        <w:t xml:space="preserve"> 'Flexible employment relationships and careers in times of the COVID-19 pandemic', Journal of Vocational </w:t>
      </w:r>
      <w:proofErr w:type="spellStart"/>
      <w:r w:rsidRPr="003949D7">
        <w:rPr>
          <w:rFonts w:ascii="Arial" w:hAnsi="Arial" w:cs="Arial"/>
        </w:rPr>
        <w:t>Behaviour</w:t>
      </w:r>
      <w:proofErr w:type="spellEnd"/>
      <w:r w:rsidRPr="003949D7">
        <w:rPr>
          <w:rFonts w:ascii="Arial" w:hAnsi="Arial" w:cs="Arial"/>
        </w:rPr>
        <w:t xml:space="preserve">, 119, p.103435. Available at: </w:t>
      </w:r>
      <w:hyperlink r:id="rId33" w:history="1">
        <w:r w:rsidR="00CA00F6" w:rsidRPr="003949D7">
          <w:rPr>
            <w:rStyle w:val="Hyperlink"/>
            <w:rFonts w:ascii="Arial" w:hAnsi="Arial" w:cs="Arial"/>
          </w:rPr>
          <w:t>https://doi.org/10.1016/j.jvb.2020.103435</w:t>
        </w:r>
      </w:hyperlink>
    </w:p>
    <w:p w14:paraId="56D4ABB8" w14:textId="77777777" w:rsidR="00CA00F6" w:rsidRPr="003949D7" w:rsidRDefault="00CA00F6" w:rsidP="003949D7">
      <w:pPr>
        <w:pStyle w:val="NormalWeb"/>
        <w:spacing w:before="0" w:beforeAutospacing="0" w:after="0" w:afterAutospacing="0" w:line="360" w:lineRule="auto"/>
        <w:jc w:val="both"/>
        <w:rPr>
          <w:rFonts w:ascii="Arial" w:hAnsi="Arial" w:cs="Arial"/>
        </w:rPr>
      </w:pPr>
    </w:p>
    <w:p w14:paraId="12BF79A3" w14:textId="60BDDACC"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Torrington, D., Hall, L., Atkinson, C., and Taylor, S. (2020)</w:t>
      </w:r>
      <w:r w:rsidR="006E7B5D" w:rsidRPr="003949D7">
        <w:rPr>
          <w:rFonts w:ascii="Arial" w:hAnsi="Arial" w:cs="Arial"/>
        </w:rPr>
        <w:t>.</w:t>
      </w:r>
      <w:r w:rsidRPr="003949D7">
        <w:rPr>
          <w:rFonts w:ascii="Arial" w:hAnsi="Arial" w:cs="Arial"/>
        </w:rPr>
        <w:t xml:space="preserve"> </w:t>
      </w:r>
      <w:r w:rsidRPr="003949D7">
        <w:rPr>
          <w:rFonts w:ascii="Arial" w:hAnsi="Arial" w:cs="Arial"/>
          <w:i/>
          <w:iCs/>
        </w:rPr>
        <w:t>Human resource management.</w:t>
      </w:r>
      <w:r w:rsidRPr="003949D7">
        <w:rPr>
          <w:rFonts w:ascii="Arial" w:hAnsi="Arial" w:cs="Arial"/>
        </w:rPr>
        <w:t xml:space="preserve"> Harlow: Pearson Education Limited. </w:t>
      </w:r>
    </w:p>
    <w:p w14:paraId="1AC40F94" w14:textId="77777777" w:rsidR="00CA00F6" w:rsidRPr="003949D7" w:rsidRDefault="00CA00F6" w:rsidP="003949D7">
      <w:pPr>
        <w:pStyle w:val="NormalWeb"/>
        <w:spacing w:before="0" w:beforeAutospacing="0" w:after="0" w:afterAutospacing="0" w:line="360" w:lineRule="auto"/>
        <w:jc w:val="both"/>
        <w:rPr>
          <w:rFonts w:ascii="Arial" w:hAnsi="Arial" w:cs="Arial"/>
        </w:rPr>
      </w:pPr>
    </w:p>
    <w:p w14:paraId="56AA1CA8" w14:textId="728B8913" w:rsidR="007E393A" w:rsidRPr="003949D7" w:rsidRDefault="007E393A" w:rsidP="003949D7">
      <w:pPr>
        <w:pStyle w:val="NormalWeb"/>
        <w:spacing w:before="0" w:beforeAutospacing="0" w:after="0" w:afterAutospacing="0" w:line="360" w:lineRule="auto"/>
        <w:jc w:val="both"/>
        <w:rPr>
          <w:rFonts w:ascii="Arial" w:hAnsi="Arial" w:cs="Arial"/>
        </w:rPr>
      </w:pPr>
      <w:r w:rsidRPr="003949D7">
        <w:rPr>
          <w:rFonts w:ascii="Arial" w:hAnsi="Arial" w:cs="Arial"/>
        </w:rPr>
        <w:t>York, K. (2023)</w:t>
      </w:r>
      <w:r w:rsidR="006E7B5D" w:rsidRPr="003949D7">
        <w:rPr>
          <w:rFonts w:ascii="Arial" w:hAnsi="Arial" w:cs="Arial"/>
        </w:rPr>
        <w:t>.</w:t>
      </w:r>
      <w:r w:rsidRPr="003949D7">
        <w:rPr>
          <w:rFonts w:ascii="Arial" w:hAnsi="Arial" w:cs="Arial"/>
        </w:rPr>
        <w:t xml:space="preserve"> </w:t>
      </w:r>
      <w:r w:rsidRPr="003949D7">
        <w:rPr>
          <w:rFonts w:ascii="Arial" w:hAnsi="Arial" w:cs="Arial"/>
          <w:i/>
          <w:iCs/>
        </w:rPr>
        <w:t xml:space="preserve">'The challenges of the post-pandemic hospitality </w:t>
      </w:r>
      <w:proofErr w:type="spellStart"/>
      <w:r w:rsidR="000272F0" w:rsidRPr="003949D7">
        <w:rPr>
          <w:rFonts w:ascii="Arial" w:hAnsi="Arial" w:cs="Arial"/>
          <w:i/>
          <w:iCs/>
        </w:rPr>
        <w:t>labour</w:t>
      </w:r>
      <w:proofErr w:type="spellEnd"/>
      <w:r w:rsidRPr="003949D7">
        <w:rPr>
          <w:rFonts w:ascii="Arial" w:hAnsi="Arial" w:cs="Arial"/>
          <w:i/>
          <w:iCs/>
        </w:rPr>
        <w:t xml:space="preserve"> market', </w:t>
      </w:r>
      <w:r w:rsidRPr="003949D7">
        <w:rPr>
          <w:rFonts w:ascii="Arial" w:hAnsi="Arial" w:cs="Arial"/>
        </w:rPr>
        <w:t>Hospitality Insights, 5(3), pp.17</w:t>
      </w:r>
      <w:r w:rsidR="00C30C88" w:rsidRPr="003949D7">
        <w:rPr>
          <w:rFonts w:ascii="Arial" w:hAnsi="Arial" w:cs="Arial"/>
        </w:rPr>
        <w:t>–</w:t>
      </w:r>
      <w:r w:rsidRPr="003949D7">
        <w:rPr>
          <w:rFonts w:ascii="Arial" w:hAnsi="Arial" w:cs="Arial"/>
        </w:rPr>
        <w:t>25.</w:t>
      </w:r>
    </w:p>
    <w:p w14:paraId="571A4CF2" w14:textId="77777777" w:rsidR="007E393A" w:rsidRPr="009032AC" w:rsidRDefault="007E393A" w:rsidP="005777AB">
      <w:pPr>
        <w:pStyle w:val="NormalWeb"/>
        <w:spacing w:before="0" w:beforeAutospacing="0" w:after="0" w:afterAutospacing="0" w:line="360" w:lineRule="auto"/>
        <w:jc w:val="both"/>
        <w:rPr>
          <w:rFonts w:ascii="Arial" w:hAnsi="Arial" w:cs="Arial"/>
          <w:color w:val="0E101A"/>
        </w:rPr>
      </w:pPr>
    </w:p>
    <w:p w14:paraId="2706B9AE" w14:textId="77777777" w:rsidR="007E393A" w:rsidRPr="009032AC" w:rsidRDefault="007E393A" w:rsidP="005777AB">
      <w:pPr>
        <w:spacing w:line="360" w:lineRule="auto"/>
        <w:ind w:left="720" w:hanging="720"/>
        <w:jc w:val="both"/>
        <w:rPr>
          <w:rFonts w:ascii="Arial" w:hAnsi="Arial" w:cs="Arial"/>
        </w:rPr>
      </w:pPr>
    </w:p>
    <w:p w14:paraId="480E12EA" w14:textId="77777777" w:rsidR="007E393A" w:rsidRPr="00B40799" w:rsidRDefault="007E393A" w:rsidP="007E393A">
      <w:pPr>
        <w:spacing w:line="480" w:lineRule="auto"/>
        <w:rPr>
          <w:rFonts w:ascii="Arial" w:hAnsi="Arial" w:cs="Arial"/>
          <w:b/>
          <w:bCs/>
        </w:rPr>
      </w:pPr>
    </w:p>
    <w:p w14:paraId="5EF87884" w14:textId="77777777" w:rsidR="007E393A" w:rsidRPr="00014653" w:rsidRDefault="007E393A" w:rsidP="007E393A">
      <w:pPr>
        <w:pStyle w:val="ListParagraph"/>
        <w:spacing w:line="480" w:lineRule="auto"/>
        <w:rPr>
          <w:rFonts w:ascii="Arial" w:hAnsi="Arial" w:cs="Arial"/>
          <w:b/>
          <w:bCs/>
        </w:rPr>
      </w:pPr>
    </w:p>
    <w:p w14:paraId="7D34542A" w14:textId="77777777" w:rsidR="007E393A" w:rsidRPr="00EB4B68" w:rsidRDefault="007E393A" w:rsidP="007E393A">
      <w:pPr>
        <w:spacing w:before="100" w:beforeAutospacing="1" w:after="100" w:afterAutospacing="1" w:line="480" w:lineRule="auto"/>
        <w:jc w:val="both"/>
        <w:rPr>
          <w:rFonts w:ascii="Times New Roman" w:hAnsi="Times New Roman" w:cs="Times New Roman"/>
        </w:rPr>
      </w:pPr>
    </w:p>
    <w:p w14:paraId="6606C9F3" w14:textId="77777777" w:rsidR="00AC6AE5" w:rsidRPr="00B76C43" w:rsidRDefault="00AC6AE5" w:rsidP="005D376C">
      <w:pPr>
        <w:spacing w:before="100" w:beforeAutospacing="1" w:after="100" w:afterAutospacing="1" w:line="360" w:lineRule="auto"/>
        <w:jc w:val="both"/>
        <w:outlineLvl w:val="3"/>
        <w:rPr>
          <w:rFonts w:ascii="Times New Roman" w:eastAsia="Times New Roman" w:hAnsi="Times New Roman" w:cs="Times New Roman"/>
          <w:b/>
          <w:bCs/>
          <w:kern w:val="0"/>
          <w:lang w:eastAsia="en-GB"/>
          <w14:ligatures w14:val="none"/>
        </w:rPr>
      </w:pPr>
    </w:p>
    <w:p w14:paraId="75EFBEEC" w14:textId="01EAD8C5" w:rsidR="006D0FA9" w:rsidRPr="00877CBC" w:rsidRDefault="006D0FA9" w:rsidP="00877CBC">
      <w:pPr>
        <w:spacing w:before="100" w:beforeAutospacing="1" w:after="100" w:afterAutospacing="1" w:line="360" w:lineRule="auto"/>
        <w:jc w:val="both"/>
        <w:outlineLvl w:val="3"/>
        <w:rPr>
          <w:rFonts w:ascii="Arial" w:eastAsia="Times New Roman" w:hAnsi="Arial" w:cs="Arial"/>
          <w:kern w:val="0"/>
          <w:lang w:eastAsia="en-GB"/>
          <w14:ligatures w14:val="none"/>
        </w:rPr>
      </w:pPr>
    </w:p>
    <w:p w14:paraId="2396B4BC" w14:textId="77777777" w:rsidR="00D67D12" w:rsidRPr="000C2103" w:rsidRDefault="00D67D12" w:rsidP="000C2103">
      <w:pPr>
        <w:pStyle w:val="NormalWeb"/>
        <w:spacing w:line="360" w:lineRule="auto"/>
        <w:jc w:val="both"/>
        <w:rPr>
          <w:rFonts w:ascii="Arial" w:hAnsi="Arial" w:cs="Arial"/>
        </w:rPr>
      </w:pPr>
    </w:p>
    <w:p w14:paraId="7F7AF598" w14:textId="77777777" w:rsidR="00FE1BE3" w:rsidRPr="000C2103" w:rsidRDefault="00FE1BE3" w:rsidP="000C2103">
      <w:pPr>
        <w:pStyle w:val="Heading2"/>
        <w:spacing w:line="360" w:lineRule="auto"/>
        <w:jc w:val="both"/>
        <w:rPr>
          <w:rFonts w:ascii="Arial" w:hAnsi="Arial" w:cs="Arial"/>
          <w:sz w:val="24"/>
          <w:szCs w:val="24"/>
        </w:rPr>
      </w:pPr>
    </w:p>
    <w:sectPr w:rsidR="00FE1BE3" w:rsidRPr="000C2103" w:rsidSect="00232B64">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FDE577" w14:textId="77777777" w:rsidR="00F61E7E" w:rsidRDefault="00F61E7E" w:rsidP="00173C0D">
      <w:pPr>
        <w:spacing w:after="0" w:line="240" w:lineRule="auto"/>
      </w:pPr>
      <w:r>
        <w:separator/>
      </w:r>
    </w:p>
  </w:endnote>
  <w:endnote w:type="continuationSeparator" w:id="0">
    <w:p w14:paraId="66A183D2" w14:textId="77777777" w:rsidR="00F61E7E" w:rsidRDefault="00F61E7E" w:rsidP="00173C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05759059"/>
      <w:docPartObj>
        <w:docPartGallery w:val="Page Numbers (Bottom of Page)"/>
        <w:docPartUnique/>
      </w:docPartObj>
    </w:sdtPr>
    <w:sdtContent>
      <w:p w14:paraId="3639A2A0" w14:textId="224542A9" w:rsidR="00173C0D" w:rsidRDefault="00173C0D">
        <w:pPr>
          <w:pStyle w:val="Footer"/>
          <w:jc w:val="right"/>
        </w:pPr>
        <w:r>
          <w:fldChar w:fldCharType="begin"/>
        </w:r>
        <w:r>
          <w:instrText>PAGE   \* MERGEFORMAT</w:instrText>
        </w:r>
        <w:r>
          <w:fldChar w:fldCharType="separate"/>
        </w:r>
        <w:r>
          <w:t>2</w:t>
        </w:r>
        <w:r>
          <w:fldChar w:fldCharType="end"/>
        </w:r>
      </w:p>
    </w:sdtContent>
  </w:sdt>
  <w:p w14:paraId="3FFEBFA4" w14:textId="77777777" w:rsidR="00173C0D" w:rsidRDefault="00173C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8368FA" w14:textId="77777777" w:rsidR="00F61E7E" w:rsidRDefault="00F61E7E" w:rsidP="00173C0D">
      <w:pPr>
        <w:spacing w:after="0" w:line="240" w:lineRule="auto"/>
      </w:pPr>
      <w:r>
        <w:separator/>
      </w:r>
    </w:p>
  </w:footnote>
  <w:footnote w:type="continuationSeparator" w:id="0">
    <w:p w14:paraId="6DD37169" w14:textId="77777777" w:rsidR="00F61E7E" w:rsidRDefault="00F61E7E" w:rsidP="00173C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0C6B7F"/>
    <w:multiLevelType w:val="multilevel"/>
    <w:tmpl w:val="4606B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271189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2"/>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3324"/>
    <w:rsid w:val="00004E4D"/>
    <w:rsid w:val="000076EA"/>
    <w:rsid w:val="00014900"/>
    <w:rsid w:val="0002626B"/>
    <w:rsid w:val="000272F0"/>
    <w:rsid w:val="000343FA"/>
    <w:rsid w:val="00050E63"/>
    <w:rsid w:val="00066CCC"/>
    <w:rsid w:val="00074F95"/>
    <w:rsid w:val="0008669F"/>
    <w:rsid w:val="000C2103"/>
    <w:rsid w:val="00151EB8"/>
    <w:rsid w:val="00170F1F"/>
    <w:rsid w:val="00171CE8"/>
    <w:rsid w:val="00173C0D"/>
    <w:rsid w:val="001817BA"/>
    <w:rsid w:val="001A5A4F"/>
    <w:rsid w:val="001C6C62"/>
    <w:rsid w:val="001D4EE0"/>
    <w:rsid w:val="001D6C7D"/>
    <w:rsid w:val="001E0380"/>
    <w:rsid w:val="001F24A6"/>
    <w:rsid w:val="001F6BF5"/>
    <w:rsid w:val="0020004D"/>
    <w:rsid w:val="0021520F"/>
    <w:rsid w:val="002157D9"/>
    <w:rsid w:val="0022164A"/>
    <w:rsid w:val="0023177A"/>
    <w:rsid w:val="00231ACB"/>
    <w:rsid w:val="00232B64"/>
    <w:rsid w:val="00251383"/>
    <w:rsid w:val="00255473"/>
    <w:rsid w:val="002840AC"/>
    <w:rsid w:val="00296D69"/>
    <w:rsid w:val="002A152F"/>
    <w:rsid w:val="002B3F05"/>
    <w:rsid w:val="002D5F1B"/>
    <w:rsid w:val="002E27A3"/>
    <w:rsid w:val="003262F8"/>
    <w:rsid w:val="003534DC"/>
    <w:rsid w:val="00375AB6"/>
    <w:rsid w:val="003949D7"/>
    <w:rsid w:val="003B4445"/>
    <w:rsid w:val="00404A3A"/>
    <w:rsid w:val="004056FB"/>
    <w:rsid w:val="00411D48"/>
    <w:rsid w:val="00420335"/>
    <w:rsid w:val="00456BF5"/>
    <w:rsid w:val="00460F1C"/>
    <w:rsid w:val="004748A5"/>
    <w:rsid w:val="00496EA3"/>
    <w:rsid w:val="004A1C71"/>
    <w:rsid w:val="004A76B2"/>
    <w:rsid w:val="004B5218"/>
    <w:rsid w:val="004C013F"/>
    <w:rsid w:val="004E2417"/>
    <w:rsid w:val="004E728D"/>
    <w:rsid w:val="004E742A"/>
    <w:rsid w:val="004F231A"/>
    <w:rsid w:val="00504E77"/>
    <w:rsid w:val="00505BA6"/>
    <w:rsid w:val="00516202"/>
    <w:rsid w:val="005417E3"/>
    <w:rsid w:val="00563AF6"/>
    <w:rsid w:val="00563CD4"/>
    <w:rsid w:val="00571836"/>
    <w:rsid w:val="005777AB"/>
    <w:rsid w:val="00587A42"/>
    <w:rsid w:val="0059441E"/>
    <w:rsid w:val="005A40DB"/>
    <w:rsid w:val="005B7376"/>
    <w:rsid w:val="005D376C"/>
    <w:rsid w:val="005F3633"/>
    <w:rsid w:val="006010F8"/>
    <w:rsid w:val="006058CC"/>
    <w:rsid w:val="0064782D"/>
    <w:rsid w:val="006521B6"/>
    <w:rsid w:val="0065699B"/>
    <w:rsid w:val="006723D3"/>
    <w:rsid w:val="0067653C"/>
    <w:rsid w:val="0068384A"/>
    <w:rsid w:val="006876A6"/>
    <w:rsid w:val="006923F1"/>
    <w:rsid w:val="006D0FA9"/>
    <w:rsid w:val="006D3EB9"/>
    <w:rsid w:val="006D6FF3"/>
    <w:rsid w:val="006E7B5D"/>
    <w:rsid w:val="00701442"/>
    <w:rsid w:val="0070201B"/>
    <w:rsid w:val="00724A75"/>
    <w:rsid w:val="00737D59"/>
    <w:rsid w:val="00751309"/>
    <w:rsid w:val="00765B2F"/>
    <w:rsid w:val="00766241"/>
    <w:rsid w:val="00776EF8"/>
    <w:rsid w:val="007A4FCF"/>
    <w:rsid w:val="007B18DB"/>
    <w:rsid w:val="007C2347"/>
    <w:rsid w:val="007C32F2"/>
    <w:rsid w:val="007C679B"/>
    <w:rsid w:val="007D2927"/>
    <w:rsid w:val="007E393A"/>
    <w:rsid w:val="007F58E4"/>
    <w:rsid w:val="00810F2D"/>
    <w:rsid w:val="0081563E"/>
    <w:rsid w:val="00820620"/>
    <w:rsid w:val="00830688"/>
    <w:rsid w:val="00832915"/>
    <w:rsid w:val="00832B9F"/>
    <w:rsid w:val="00836651"/>
    <w:rsid w:val="00837129"/>
    <w:rsid w:val="00847663"/>
    <w:rsid w:val="008669A7"/>
    <w:rsid w:val="00877CBC"/>
    <w:rsid w:val="00883A85"/>
    <w:rsid w:val="009032AC"/>
    <w:rsid w:val="00921A3D"/>
    <w:rsid w:val="009252FF"/>
    <w:rsid w:val="00930B08"/>
    <w:rsid w:val="009561C6"/>
    <w:rsid w:val="00956B22"/>
    <w:rsid w:val="00963608"/>
    <w:rsid w:val="009768B1"/>
    <w:rsid w:val="00986052"/>
    <w:rsid w:val="009C4BF1"/>
    <w:rsid w:val="009F335B"/>
    <w:rsid w:val="009F6903"/>
    <w:rsid w:val="00A03394"/>
    <w:rsid w:val="00A45041"/>
    <w:rsid w:val="00A6646B"/>
    <w:rsid w:val="00A7220C"/>
    <w:rsid w:val="00A82307"/>
    <w:rsid w:val="00A92811"/>
    <w:rsid w:val="00AC278E"/>
    <w:rsid w:val="00AC6AE5"/>
    <w:rsid w:val="00AE59CA"/>
    <w:rsid w:val="00AF54A8"/>
    <w:rsid w:val="00AF72F8"/>
    <w:rsid w:val="00B14583"/>
    <w:rsid w:val="00B220FA"/>
    <w:rsid w:val="00B5087F"/>
    <w:rsid w:val="00B625B2"/>
    <w:rsid w:val="00B753B6"/>
    <w:rsid w:val="00BA602B"/>
    <w:rsid w:val="00BC7A27"/>
    <w:rsid w:val="00BE5B73"/>
    <w:rsid w:val="00C30C88"/>
    <w:rsid w:val="00C72DFC"/>
    <w:rsid w:val="00CA00F6"/>
    <w:rsid w:val="00CE40F0"/>
    <w:rsid w:val="00D357A8"/>
    <w:rsid w:val="00D60323"/>
    <w:rsid w:val="00D67D12"/>
    <w:rsid w:val="00D71287"/>
    <w:rsid w:val="00D8435C"/>
    <w:rsid w:val="00D960A2"/>
    <w:rsid w:val="00DA3581"/>
    <w:rsid w:val="00DA51A5"/>
    <w:rsid w:val="00DD0DE5"/>
    <w:rsid w:val="00DE50FA"/>
    <w:rsid w:val="00E01777"/>
    <w:rsid w:val="00E07C19"/>
    <w:rsid w:val="00E10308"/>
    <w:rsid w:val="00E159F7"/>
    <w:rsid w:val="00E25122"/>
    <w:rsid w:val="00E67070"/>
    <w:rsid w:val="00E674C2"/>
    <w:rsid w:val="00E67BC4"/>
    <w:rsid w:val="00E86E99"/>
    <w:rsid w:val="00EA103B"/>
    <w:rsid w:val="00EA4E4F"/>
    <w:rsid w:val="00EC621D"/>
    <w:rsid w:val="00ED65CA"/>
    <w:rsid w:val="00EE3324"/>
    <w:rsid w:val="00EE33C2"/>
    <w:rsid w:val="00EF392A"/>
    <w:rsid w:val="00F031F2"/>
    <w:rsid w:val="00F11EA6"/>
    <w:rsid w:val="00F332D2"/>
    <w:rsid w:val="00F45800"/>
    <w:rsid w:val="00F53C75"/>
    <w:rsid w:val="00F56461"/>
    <w:rsid w:val="00F61128"/>
    <w:rsid w:val="00F61E7E"/>
    <w:rsid w:val="00F70360"/>
    <w:rsid w:val="00F714C4"/>
    <w:rsid w:val="00F71701"/>
    <w:rsid w:val="00FA56F7"/>
    <w:rsid w:val="00FB5AF9"/>
    <w:rsid w:val="00FC7126"/>
    <w:rsid w:val="00FE1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06C59D"/>
  <w15:chartTrackingRefBased/>
  <w15:docId w15:val="{23CF22D4-F7AD-403F-84A1-A27C8038E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32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332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E332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E332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332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332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332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332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332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32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332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E332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E332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332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332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332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332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3324"/>
    <w:rPr>
      <w:rFonts w:eastAsiaTheme="majorEastAsia" w:cstheme="majorBidi"/>
      <w:color w:val="272727" w:themeColor="text1" w:themeTint="D8"/>
    </w:rPr>
  </w:style>
  <w:style w:type="paragraph" w:styleId="Title">
    <w:name w:val="Title"/>
    <w:basedOn w:val="Normal"/>
    <w:next w:val="Normal"/>
    <w:link w:val="TitleChar"/>
    <w:uiPriority w:val="10"/>
    <w:qFormat/>
    <w:rsid w:val="00EE332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332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332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332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3324"/>
    <w:pPr>
      <w:spacing w:before="160"/>
      <w:jc w:val="center"/>
    </w:pPr>
    <w:rPr>
      <w:i/>
      <w:iCs/>
      <w:color w:val="404040" w:themeColor="text1" w:themeTint="BF"/>
    </w:rPr>
  </w:style>
  <w:style w:type="character" w:customStyle="1" w:styleId="QuoteChar">
    <w:name w:val="Quote Char"/>
    <w:basedOn w:val="DefaultParagraphFont"/>
    <w:link w:val="Quote"/>
    <w:uiPriority w:val="29"/>
    <w:rsid w:val="00EE3324"/>
    <w:rPr>
      <w:i/>
      <w:iCs/>
      <w:color w:val="404040" w:themeColor="text1" w:themeTint="BF"/>
    </w:rPr>
  </w:style>
  <w:style w:type="paragraph" w:styleId="ListParagraph">
    <w:name w:val="List Paragraph"/>
    <w:basedOn w:val="Normal"/>
    <w:uiPriority w:val="34"/>
    <w:qFormat/>
    <w:rsid w:val="00EE3324"/>
    <w:pPr>
      <w:ind w:left="720"/>
      <w:contextualSpacing/>
    </w:pPr>
  </w:style>
  <w:style w:type="character" w:styleId="IntenseEmphasis">
    <w:name w:val="Intense Emphasis"/>
    <w:basedOn w:val="DefaultParagraphFont"/>
    <w:uiPriority w:val="21"/>
    <w:qFormat/>
    <w:rsid w:val="00EE3324"/>
    <w:rPr>
      <w:i/>
      <w:iCs/>
      <w:color w:val="0F4761" w:themeColor="accent1" w:themeShade="BF"/>
    </w:rPr>
  </w:style>
  <w:style w:type="paragraph" w:styleId="IntenseQuote">
    <w:name w:val="Intense Quote"/>
    <w:basedOn w:val="Normal"/>
    <w:next w:val="Normal"/>
    <w:link w:val="IntenseQuoteChar"/>
    <w:uiPriority w:val="30"/>
    <w:qFormat/>
    <w:rsid w:val="00EE332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3324"/>
    <w:rPr>
      <w:i/>
      <w:iCs/>
      <w:color w:val="0F4761" w:themeColor="accent1" w:themeShade="BF"/>
    </w:rPr>
  </w:style>
  <w:style w:type="character" w:styleId="IntenseReference">
    <w:name w:val="Intense Reference"/>
    <w:basedOn w:val="DefaultParagraphFont"/>
    <w:uiPriority w:val="32"/>
    <w:qFormat/>
    <w:rsid w:val="00EE3324"/>
    <w:rPr>
      <w:b/>
      <w:bCs/>
      <w:smallCaps/>
      <w:color w:val="0F4761" w:themeColor="accent1" w:themeShade="BF"/>
      <w:spacing w:val="5"/>
    </w:rPr>
  </w:style>
  <w:style w:type="paragraph" w:styleId="NormalWeb">
    <w:name w:val="Normal (Web)"/>
    <w:basedOn w:val="Normal"/>
    <w:uiPriority w:val="99"/>
    <w:unhideWhenUsed/>
    <w:rsid w:val="00460F1C"/>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766241"/>
    <w:rPr>
      <w:b/>
      <w:bCs/>
    </w:rPr>
  </w:style>
  <w:style w:type="character" w:styleId="Hyperlink">
    <w:name w:val="Hyperlink"/>
    <w:basedOn w:val="DefaultParagraphFont"/>
    <w:uiPriority w:val="99"/>
    <w:unhideWhenUsed/>
    <w:rsid w:val="007E393A"/>
    <w:rPr>
      <w:color w:val="467886" w:themeColor="hyperlink"/>
      <w:u w:val="single"/>
    </w:rPr>
  </w:style>
  <w:style w:type="paragraph" w:customStyle="1" w:styleId="paragraph">
    <w:name w:val="paragraph"/>
    <w:basedOn w:val="Normal"/>
    <w:rsid w:val="007E39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7E393A"/>
  </w:style>
  <w:style w:type="character" w:customStyle="1" w:styleId="eop">
    <w:name w:val="eop"/>
    <w:basedOn w:val="DefaultParagraphFont"/>
    <w:rsid w:val="007E393A"/>
  </w:style>
  <w:style w:type="paragraph" w:styleId="TOCHeading">
    <w:name w:val="TOC Heading"/>
    <w:basedOn w:val="Heading1"/>
    <w:next w:val="Normal"/>
    <w:uiPriority w:val="39"/>
    <w:unhideWhenUsed/>
    <w:qFormat/>
    <w:rsid w:val="00014900"/>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55473"/>
    <w:pPr>
      <w:spacing w:after="100" w:line="600" w:lineRule="auto"/>
    </w:pPr>
    <w:rPr>
      <w:rFonts w:ascii="Arial" w:hAnsi="Arial" w:cs="Arial"/>
      <w:b/>
      <w:bCs/>
    </w:rPr>
  </w:style>
  <w:style w:type="paragraph" w:styleId="TOC2">
    <w:name w:val="toc 2"/>
    <w:basedOn w:val="Normal"/>
    <w:next w:val="Normal"/>
    <w:autoRedefine/>
    <w:uiPriority w:val="39"/>
    <w:unhideWhenUsed/>
    <w:rsid w:val="00014900"/>
    <w:pPr>
      <w:spacing w:after="100"/>
      <w:ind w:left="240"/>
    </w:pPr>
  </w:style>
  <w:style w:type="character" w:styleId="UnresolvedMention">
    <w:name w:val="Unresolved Mention"/>
    <w:basedOn w:val="DefaultParagraphFont"/>
    <w:uiPriority w:val="99"/>
    <w:semiHidden/>
    <w:unhideWhenUsed/>
    <w:rsid w:val="00CA00F6"/>
    <w:rPr>
      <w:color w:val="605E5C"/>
      <w:shd w:val="clear" w:color="auto" w:fill="E1DFDD"/>
    </w:rPr>
  </w:style>
  <w:style w:type="paragraph" w:styleId="TOC3">
    <w:name w:val="toc 3"/>
    <w:basedOn w:val="Normal"/>
    <w:next w:val="Normal"/>
    <w:autoRedefine/>
    <w:uiPriority w:val="39"/>
    <w:unhideWhenUsed/>
    <w:rsid w:val="001D6C7D"/>
    <w:pPr>
      <w:spacing w:after="100"/>
      <w:ind w:left="480"/>
    </w:pPr>
  </w:style>
  <w:style w:type="paragraph" w:styleId="Header">
    <w:name w:val="header"/>
    <w:basedOn w:val="Normal"/>
    <w:link w:val="HeaderChar"/>
    <w:uiPriority w:val="99"/>
    <w:unhideWhenUsed/>
    <w:rsid w:val="00173C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C0D"/>
  </w:style>
  <w:style w:type="paragraph" w:styleId="Footer">
    <w:name w:val="footer"/>
    <w:basedOn w:val="Normal"/>
    <w:link w:val="FooterChar"/>
    <w:uiPriority w:val="99"/>
    <w:unhideWhenUsed/>
    <w:rsid w:val="00173C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C0D"/>
  </w:style>
  <w:style w:type="paragraph" w:styleId="NoSpacing">
    <w:name w:val="No Spacing"/>
    <w:link w:val="NoSpacingChar"/>
    <w:uiPriority w:val="1"/>
    <w:qFormat/>
    <w:rsid w:val="003B444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B4445"/>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639533">
      <w:bodyDiv w:val="1"/>
      <w:marLeft w:val="0"/>
      <w:marRight w:val="0"/>
      <w:marTop w:val="0"/>
      <w:marBottom w:val="0"/>
      <w:divBdr>
        <w:top w:val="none" w:sz="0" w:space="0" w:color="auto"/>
        <w:left w:val="none" w:sz="0" w:space="0" w:color="auto"/>
        <w:bottom w:val="none" w:sz="0" w:space="0" w:color="auto"/>
        <w:right w:val="none" w:sz="0" w:space="0" w:color="auto"/>
      </w:divBdr>
    </w:div>
    <w:div w:id="637615182">
      <w:bodyDiv w:val="1"/>
      <w:marLeft w:val="0"/>
      <w:marRight w:val="0"/>
      <w:marTop w:val="0"/>
      <w:marBottom w:val="0"/>
      <w:divBdr>
        <w:top w:val="none" w:sz="0" w:space="0" w:color="auto"/>
        <w:left w:val="none" w:sz="0" w:space="0" w:color="auto"/>
        <w:bottom w:val="none" w:sz="0" w:space="0" w:color="auto"/>
        <w:right w:val="none" w:sz="0" w:space="0" w:color="auto"/>
      </w:divBdr>
    </w:div>
    <w:div w:id="650713819">
      <w:bodyDiv w:val="1"/>
      <w:marLeft w:val="0"/>
      <w:marRight w:val="0"/>
      <w:marTop w:val="0"/>
      <w:marBottom w:val="0"/>
      <w:divBdr>
        <w:top w:val="none" w:sz="0" w:space="0" w:color="auto"/>
        <w:left w:val="none" w:sz="0" w:space="0" w:color="auto"/>
        <w:bottom w:val="none" w:sz="0" w:space="0" w:color="auto"/>
        <w:right w:val="none" w:sz="0" w:space="0" w:color="auto"/>
      </w:divBdr>
    </w:div>
    <w:div w:id="658729752">
      <w:bodyDiv w:val="1"/>
      <w:marLeft w:val="0"/>
      <w:marRight w:val="0"/>
      <w:marTop w:val="0"/>
      <w:marBottom w:val="0"/>
      <w:divBdr>
        <w:top w:val="none" w:sz="0" w:space="0" w:color="auto"/>
        <w:left w:val="none" w:sz="0" w:space="0" w:color="auto"/>
        <w:bottom w:val="none" w:sz="0" w:space="0" w:color="auto"/>
        <w:right w:val="none" w:sz="0" w:space="0" w:color="auto"/>
      </w:divBdr>
    </w:div>
    <w:div w:id="1877623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rexecutive.com/marriotts-chro-makes-employee-wellbeing-the-companys-cornerstone/" TargetMode="External"/><Relationship Id="rId18" Type="http://schemas.openxmlformats.org/officeDocument/2006/relationships/hyperlink" Target="https://www.econstor.eu/handle/10419/251067" TargetMode="External"/><Relationship Id="rId26" Type="http://schemas.openxmlformats.org/officeDocument/2006/relationships/hyperlink" Target="https://www.scirp.org/html/2-9202305_99284.htm" TargetMode="External"/><Relationship Id="rId21" Type="http://schemas.openxmlformats.org/officeDocument/2006/relationships/hyperlink" Target="https://jobs.hilton.com/us/en/blogarticle/what-is-thrive-at-hilton-qa-with-benefits-leader" TargetMode="External"/><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016/j.ijhm.2021.103012" TargetMode="External"/><Relationship Id="rId17" Type="http://schemas.openxmlformats.org/officeDocument/2006/relationships/hyperlink" Target="http://hdl.handle.net/10400.14/41371" TargetMode="External"/><Relationship Id="rId25" Type="http://schemas.openxmlformats.org/officeDocument/2006/relationships/hyperlink" Target="https://doi.org/10.3390/ijerph181910378" TargetMode="External"/><Relationship Id="rId33" Type="http://schemas.openxmlformats.org/officeDocument/2006/relationships/hyperlink" Target="https://doi.org/10.1016/j.jvb.2020.103435" TargetMode="External"/><Relationship Id="rId2" Type="http://schemas.openxmlformats.org/officeDocument/2006/relationships/customXml" Target="../customXml/item2.xml"/><Relationship Id="rId16" Type="http://schemas.openxmlformats.org/officeDocument/2006/relationships/hyperlink" Target="https://www.corporatewellnessmagazine.com/article/workplace-flexibility-the-key-to-a-balanced-work-life-integration" TargetMode="External"/><Relationship Id="rId20" Type="http://schemas.openxmlformats.org/officeDocument/2006/relationships/hyperlink" Target="https://www.hilton.com/en/corporate/" TargetMode="External"/><Relationship Id="rId29" Type="http://schemas.openxmlformats.org/officeDocument/2006/relationships/hyperlink" Target="https://www.radissonhotels.com/en-us/corporate/responsible-business/policies-performanc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3390/su11061683" TargetMode="External"/><Relationship Id="rId24" Type="http://schemas.openxmlformats.org/officeDocument/2006/relationships/hyperlink" Target="https://doi.org/10.3390/su13031049" TargetMode="External"/><Relationship Id="rId32" Type="http://schemas.openxmlformats.org/officeDocument/2006/relationships/hyperlink" Target="https://doi.org/10.1016/j.jbusres.2020.06.015"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www.cipd.co.uk/cpd" TargetMode="External"/><Relationship Id="rId23" Type="http://schemas.openxmlformats.org/officeDocument/2006/relationships/hyperlink" Target="https://doi.org/10.1016/j.hrmr.2020.100780" TargetMode="External"/><Relationship Id="rId28" Type="http://schemas.openxmlformats.org/officeDocument/2006/relationships/hyperlink" Target="https://doi.org/10.1016/j.joitmc.2024.100243" TargetMode="External"/><Relationship Id="rId36"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hilton.com/en/travel/articles/how-to-work-remotely-from-anywhere/" TargetMode="External"/><Relationship Id="rId31" Type="http://schemas.openxmlformats.org/officeDocument/2006/relationships/hyperlink" Target="https://doi.org/10.1016/j.orgdyn.2021.10082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80/13538322.2021.1951451" TargetMode="External"/><Relationship Id="rId22" Type="http://schemas.openxmlformats.org/officeDocument/2006/relationships/hyperlink" Target="https://www.ihgplc.com/en/about-us/our-strategy" TargetMode="External"/><Relationship Id="rId27" Type="http://schemas.openxmlformats.org/officeDocument/2006/relationships/hyperlink" Target="http://dspace.unive.it/handle/10579/23757" TargetMode="External"/><Relationship Id="rId30" Type="http://schemas.openxmlformats.org/officeDocument/2006/relationships/hyperlink" Target="https://doi.org/10.1016/j.resconrec.2020.104894" TargetMode="External"/><Relationship Id="rId35"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21A144B706B4351B505E5F32549FA66"/>
        <w:category>
          <w:name w:val="General"/>
          <w:gallery w:val="placeholder"/>
        </w:category>
        <w:types>
          <w:type w:val="bbPlcHdr"/>
        </w:types>
        <w:behaviors>
          <w:behavior w:val="content"/>
        </w:behaviors>
        <w:guid w:val="{32F83BF1-15A1-40EE-A441-0DDD97A4010B}"/>
      </w:docPartPr>
      <w:docPartBody>
        <w:p w:rsidR="00000000" w:rsidRDefault="00CF179F" w:rsidP="00CF179F">
          <w:pPr>
            <w:pStyle w:val="A21A144B706B4351B505E5F32549FA66"/>
          </w:pPr>
          <w:r>
            <w:rPr>
              <w:rFonts w:asciiTheme="majorHAnsi" w:eastAsiaTheme="majorEastAsia" w:hAnsiTheme="majorHAnsi" w:cstheme="majorBidi"/>
              <w:caps/>
              <w:color w:val="156082" w:themeColor="accent1"/>
              <w:sz w:val="80"/>
              <w:szCs w:val="80"/>
            </w:rPr>
            <w:t>[Document title]</w:t>
          </w:r>
        </w:p>
      </w:docPartBody>
    </w:docPart>
    <w:docPart>
      <w:docPartPr>
        <w:name w:val="DBEFF9E0486D4D76AAD40A2CA3A517F2"/>
        <w:category>
          <w:name w:val="General"/>
          <w:gallery w:val="placeholder"/>
        </w:category>
        <w:types>
          <w:type w:val="bbPlcHdr"/>
        </w:types>
        <w:behaviors>
          <w:behavior w:val="content"/>
        </w:behaviors>
        <w:guid w:val="{6DBFFE5C-B15A-42AE-A815-2E064FC52049}"/>
      </w:docPartPr>
      <w:docPartBody>
        <w:p w:rsidR="00000000" w:rsidRDefault="00CF179F" w:rsidP="00CF179F">
          <w:pPr>
            <w:pStyle w:val="DBEFF9E0486D4D76AAD40A2CA3A517F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79F"/>
    <w:rsid w:val="002C459E"/>
    <w:rsid w:val="0081563E"/>
    <w:rsid w:val="00CF1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1A144B706B4351B505E5F32549FA66">
    <w:name w:val="A21A144B706B4351B505E5F32549FA66"/>
    <w:rsid w:val="00CF179F"/>
  </w:style>
  <w:style w:type="paragraph" w:customStyle="1" w:styleId="DBEFF9E0486D4D76AAD40A2CA3A517F2">
    <w:name w:val="DBEFF9E0486D4D76AAD40A2CA3A517F2"/>
    <w:rsid w:val="00CF17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Scott James</PublishDate>
  <Abstract/>
  <CompanyAddress>07/06/2024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503E6E-4B2F-44B0-AD5A-41B1F4361A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14</Pages>
  <Words>3055</Words>
  <Characters>21574</Characters>
  <Application>Microsoft Office Word</Application>
  <DocSecurity>0</DocSecurity>
  <Lines>414</Lines>
  <Paragraphs>113</Paragraphs>
  <ScaleCrop>false</ScaleCrop>
  <Company>AZEB ATSEBHA (2234854)</Company>
  <LinksUpToDate>false</LinksUpToDate>
  <CharactersWithSpaces>24516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Personnel Resourcing and Development (BMIH5005)</dc:title>
  <dc:subject>Analyse the impacts of socio-economic force on employees’ performance management and monitoring in different work modes: Hospitality HR’s perspective.</dc:subject>
  <dc:creator>Azeb Adera</dc:creator>
  <cp:keywords/>
  <dc:description/>
  <cp:lastModifiedBy>Azeb Adera</cp:lastModifiedBy>
  <cp:revision>207</cp:revision>
  <dcterms:created xsi:type="dcterms:W3CDTF">2024-06-04T19:52:00Z</dcterms:created>
  <dcterms:modified xsi:type="dcterms:W3CDTF">2024-06-07T11:39:00Z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47f944f9-ea39-4181-99a6-7603e6988306</vt:lpwstr>
  </property>
</Properties>
</file>