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A80FB" w14:textId="77777777" w:rsidR="006E5EC7" w:rsidRPr="007A7AE1" w:rsidRDefault="006E5EC7" w:rsidP="002C1703">
      <w:pPr>
        <w:spacing w:after="0" w:line="360" w:lineRule="auto"/>
        <w:rPr>
          <w:rFonts w:ascii="Arial" w:hAnsi="Arial" w:cs="Arial"/>
        </w:rPr>
      </w:pPr>
    </w:p>
    <w:p w14:paraId="54836C79" w14:textId="7BB5857A" w:rsidR="006E5EC7" w:rsidRPr="007A7AE1" w:rsidRDefault="006E5EC7" w:rsidP="002C1703">
      <w:pPr>
        <w:spacing w:after="0" w:line="360" w:lineRule="auto"/>
        <w:rPr>
          <w:rFonts w:ascii="Arial" w:hAnsi="Arial" w:cs="Arial"/>
        </w:rPr>
      </w:pPr>
      <w:r w:rsidRPr="007A7AE1">
        <w:rPr>
          <w:rFonts w:ascii="Arial" w:hAnsi="Arial" w:cs="Arial"/>
          <w:noProof/>
        </w:rPr>
        <w:drawing>
          <wp:inline distT="0" distB="0" distL="0" distR="0" wp14:anchorId="7DCEA1D6" wp14:editId="509DE981">
            <wp:extent cx="5731510" cy="3009265"/>
            <wp:effectExtent l="0" t="0" r="2540" b="635"/>
            <wp:docPr id="1016615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61553" name="Picture 101661553"/>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3009265"/>
                    </a:xfrm>
                    <a:prstGeom prst="rect">
                      <a:avLst/>
                    </a:prstGeom>
                  </pic:spPr>
                </pic:pic>
              </a:graphicData>
            </a:graphic>
          </wp:inline>
        </w:drawing>
      </w:r>
    </w:p>
    <w:p w14:paraId="0715A234" w14:textId="77777777" w:rsidR="006E5EC7" w:rsidRPr="007A7AE1" w:rsidRDefault="006E5EC7" w:rsidP="002C1703">
      <w:pPr>
        <w:spacing w:after="0" w:line="360" w:lineRule="auto"/>
        <w:rPr>
          <w:rFonts w:ascii="Arial" w:hAnsi="Arial" w:cs="Arial"/>
        </w:rPr>
      </w:pPr>
    </w:p>
    <w:p w14:paraId="14103EAF" w14:textId="77777777" w:rsidR="006E5EC7" w:rsidRPr="007A7AE1" w:rsidRDefault="006E5EC7" w:rsidP="002C1703">
      <w:pPr>
        <w:spacing w:after="0" w:line="360" w:lineRule="auto"/>
        <w:rPr>
          <w:rFonts w:ascii="Arial" w:hAnsi="Arial" w:cs="Arial"/>
        </w:rPr>
      </w:pPr>
    </w:p>
    <w:p w14:paraId="3EDF174B" w14:textId="77777777" w:rsidR="006E5EC7" w:rsidRPr="007A7AE1" w:rsidRDefault="006E5EC7" w:rsidP="002C1703">
      <w:pPr>
        <w:spacing w:after="0" w:line="360" w:lineRule="auto"/>
        <w:rPr>
          <w:rFonts w:ascii="Arial" w:hAnsi="Arial" w:cs="Arial"/>
        </w:rPr>
      </w:pPr>
    </w:p>
    <w:p w14:paraId="2F6F66DB" w14:textId="3E99F123" w:rsidR="00DD73C0" w:rsidRPr="007A7AE1" w:rsidRDefault="00DD73C0" w:rsidP="00D00E05">
      <w:pPr>
        <w:spacing w:after="120" w:line="360" w:lineRule="auto"/>
        <w:rPr>
          <w:rFonts w:ascii="Arial" w:hAnsi="Arial" w:cs="Arial"/>
          <w:b/>
          <w:bCs/>
          <w:sz w:val="40"/>
          <w:szCs w:val="40"/>
        </w:rPr>
      </w:pPr>
      <w:r w:rsidRPr="007A7AE1">
        <w:rPr>
          <w:rFonts w:ascii="Arial" w:hAnsi="Arial" w:cs="Arial"/>
          <w:b/>
          <w:bCs/>
          <w:sz w:val="40"/>
          <w:szCs w:val="40"/>
        </w:rPr>
        <w:t xml:space="preserve">Module Title: </w:t>
      </w:r>
      <w:r w:rsidR="00C76F1B" w:rsidRPr="007A7AE1">
        <w:rPr>
          <w:rFonts w:ascii="Arial" w:hAnsi="Arial" w:cs="Arial"/>
          <w:sz w:val="40"/>
          <w:szCs w:val="40"/>
        </w:rPr>
        <w:t>Developing and Managing Individuals and Teams</w:t>
      </w:r>
    </w:p>
    <w:p w14:paraId="17537458" w14:textId="32C4A1A9" w:rsidR="006E5EC7" w:rsidRPr="007A7AE1" w:rsidRDefault="00DD73C0" w:rsidP="00D00E05">
      <w:pPr>
        <w:spacing w:after="120" w:line="360" w:lineRule="auto"/>
        <w:rPr>
          <w:rFonts w:ascii="Arial" w:hAnsi="Arial" w:cs="Arial"/>
          <w:b/>
          <w:bCs/>
          <w:sz w:val="40"/>
          <w:szCs w:val="40"/>
        </w:rPr>
      </w:pPr>
      <w:r w:rsidRPr="007A7AE1">
        <w:rPr>
          <w:rFonts w:ascii="Arial" w:hAnsi="Arial" w:cs="Arial"/>
          <w:b/>
          <w:bCs/>
          <w:sz w:val="40"/>
          <w:szCs w:val="40"/>
        </w:rPr>
        <w:t xml:space="preserve">Module Code: </w:t>
      </w:r>
      <w:r w:rsidR="00C76F1B" w:rsidRPr="007A7AE1">
        <w:rPr>
          <w:rFonts w:ascii="Arial" w:hAnsi="Arial" w:cs="Arial"/>
          <w:sz w:val="40"/>
          <w:szCs w:val="40"/>
        </w:rPr>
        <w:t>LCLM5002</w:t>
      </w:r>
    </w:p>
    <w:p w14:paraId="0C8BB524" w14:textId="77777777" w:rsidR="00C76F1B" w:rsidRPr="007A7AE1" w:rsidRDefault="00C76F1B" w:rsidP="00D00E05">
      <w:pPr>
        <w:spacing w:after="120" w:line="360" w:lineRule="auto"/>
        <w:rPr>
          <w:rFonts w:ascii="Arial" w:hAnsi="Arial" w:cs="Arial"/>
          <w:b/>
          <w:bCs/>
          <w:sz w:val="40"/>
          <w:szCs w:val="40"/>
        </w:rPr>
      </w:pPr>
      <w:r w:rsidRPr="007A7AE1">
        <w:rPr>
          <w:rFonts w:ascii="Arial" w:hAnsi="Arial" w:cs="Arial"/>
          <w:b/>
          <w:bCs/>
          <w:sz w:val="40"/>
          <w:szCs w:val="40"/>
        </w:rPr>
        <w:t xml:space="preserve">Student: </w:t>
      </w:r>
      <w:r w:rsidRPr="007A7AE1">
        <w:rPr>
          <w:rFonts w:ascii="Arial" w:hAnsi="Arial" w:cs="Arial"/>
          <w:sz w:val="40"/>
          <w:szCs w:val="40"/>
        </w:rPr>
        <w:t>Anita Kyrcz</w:t>
      </w:r>
    </w:p>
    <w:p w14:paraId="66B0D581" w14:textId="77777777" w:rsidR="00C76F1B" w:rsidRPr="007A7AE1" w:rsidRDefault="00C76F1B" w:rsidP="00D00E05">
      <w:pPr>
        <w:spacing w:after="120" w:line="360" w:lineRule="auto"/>
        <w:rPr>
          <w:rFonts w:ascii="Arial" w:hAnsi="Arial" w:cs="Arial"/>
          <w:b/>
          <w:bCs/>
          <w:sz w:val="40"/>
          <w:szCs w:val="40"/>
        </w:rPr>
      </w:pPr>
      <w:r w:rsidRPr="007A7AE1">
        <w:rPr>
          <w:rFonts w:ascii="Arial" w:hAnsi="Arial" w:cs="Arial"/>
          <w:b/>
          <w:bCs/>
          <w:sz w:val="40"/>
          <w:szCs w:val="40"/>
        </w:rPr>
        <w:t xml:space="preserve">Student Number: </w:t>
      </w:r>
      <w:r w:rsidRPr="007A7AE1">
        <w:rPr>
          <w:rFonts w:ascii="Arial" w:hAnsi="Arial" w:cs="Arial"/>
          <w:sz w:val="40"/>
          <w:szCs w:val="40"/>
        </w:rPr>
        <w:t>2420282</w:t>
      </w:r>
    </w:p>
    <w:p w14:paraId="28FBB53E" w14:textId="0FC5721D" w:rsidR="00C76F1B" w:rsidRPr="007A7AE1" w:rsidRDefault="00C76F1B" w:rsidP="00D00E05">
      <w:pPr>
        <w:spacing w:after="120" w:line="360" w:lineRule="auto"/>
        <w:rPr>
          <w:rFonts w:ascii="Arial" w:hAnsi="Arial" w:cs="Arial"/>
          <w:b/>
          <w:bCs/>
          <w:sz w:val="40"/>
          <w:szCs w:val="40"/>
        </w:rPr>
      </w:pPr>
      <w:r w:rsidRPr="007A7AE1">
        <w:rPr>
          <w:rFonts w:ascii="Arial" w:hAnsi="Arial" w:cs="Arial"/>
          <w:b/>
          <w:bCs/>
          <w:sz w:val="40"/>
          <w:szCs w:val="40"/>
        </w:rPr>
        <w:t xml:space="preserve">Module Leader: </w:t>
      </w:r>
      <w:r w:rsidR="00FB5199" w:rsidRPr="007A7AE1">
        <w:rPr>
          <w:rFonts w:ascii="Arial" w:hAnsi="Arial" w:cs="Arial"/>
          <w:sz w:val="40"/>
          <w:szCs w:val="40"/>
        </w:rPr>
        <w:t>Samson Oladejo</w:t>
      </w:r>
    </w:p>
    <w:p w14:paraId="5B64DD45" w14:textId="4240EA71" w:rsidR="00C76F1B" w:rsidRPr="007A7AE1" w:rsidRDefault="00C76F1B" w:rsidP="00D00E05">
      <w:pPr>
        <w:spacing w:after="120" w:line="360" w:lineRule="auto"/>
        <w:rPr>
          <w:rFonts w:ascii="Arial" w:hAnsi="Arial" w:cs="Arial"/>
          <w:b/>
          <w:bCs/>
          <w:sz w:val="40"/>
          <w:szCs w:val="40"/>
        </w:rPr>
      </w:pPr>
      <w:r w:rsidRPr="007A7AE1">
        <w:rPr>
          <w:rFonts w:ascii="Arial" w:hAnsi="Arial" w:cs="Arial"/>
          <w:b/>
          <w:bCs/>
          <w:sz w:val="40"/>
          <w:szCs w:val="40"/>
        </w:rPr>
        <w:t xml:space="preserve">Assignment: </w:t>
      </w:r>
      <w:r w:rsidR="00234D6E" w:rsidRPr="007A7AE1">
        <w:rPr>
          <w:rFonts w:ascii="Arial" w:hAnsi="Arial" w:cs="Arial"/>
          <w:sz w:val="40"/>
          <w:szCs w:val="40"/>
        </w:rPr>
        <w:t>Component 2</w:t>
      </w:r>
      <w:r w:rsidR="007E7F16" w:rsidRPr="007A7AE1">
        <w:rPr>
          <w:rFonts w:ascii="Arial" w:hAnsi="Arial" w:cs="Arial"/>
          <w:sz w:val="40"/>
          <w:szCs w:val="40"/>
        </w:rPr>
        <w:t>-</w:t>
      </w:r>
      <w:r w:rsidR="00DD73C0" w:rsidRPr="007A7AE1">
        <w:rPr>
          <w:rFonts w:ascii="Arial" w:hAnsi="Arial" w:cs="Arial"/>
          <w:sz w:val="40"/>
          <w:szCs w:val="40"/>
        </w:rPr>
        <w:t>Individual Report</w:t>
      </w:r>
    </w:p>
    <w:p w14:paraId="4789806D" w14:textId="77777777" w:rsidR="00C76F1B" w:rsidRPr="007A7AE1" w:rsidRDefault="00C76F1B" w:rsidP="00D00E05">
      <w:pPr>
        <w:spacing w:after="120" w:line="360" w:lineRule="auto"/>
        <w:rPr>
          <w:rFonts w:ascii="Arial" w:hAnsi="Arial" w:cs="Arial"/>
          <w:b/>
          <w:bCs/>
          <w:sz w:val="40"/>
          <w:szCs w:val="40"/>
        </w:rPr>
      </w:pPr>
      <w:r w:rsidRPr="007A7AE1">
        <w:rPr>
          <w:rFonts w:ascii="Arial" w:hAnsi="Arial" w:cs="Arial"/>
          <w:b/>
          <w:bCs/>
          <w:sz w:val="40"/>
          <w:szCs w:val="40"/>
        </w:rPr>
        <w:t xml:space="preserve">Company: </w:t>
      </w:r>
      <w:r w:rsidRPr="007A7AE1">
        <w:rPr>
          <w:rFonts w:ascii="Arial" w:hAnsi="Arial" w:cs="Arial"/>
          <w:sz w:val="40"/>
          <w:szCs w:val="40"/>
        </w:rPr>
        <w:t>GXO Logistics, Tamworth</w:t>
      </w:r>
    </w:p>
    <w:p w14:paraId="18970871" w14:textId="5CC7E553" w:rsidR="00A178D1" w:rsidRPr="007A7AE1" w:rsidRDefault="00A178D1" w:rsidP="002C1703">
      <w:pPr>
        <w:spacing w:after="0" w:line="360" w:lineRule="auto"/>
        <w:rPr>
          <w:rFonts w:ascii="Arial" w:hAnsi="Arial" w:cs="Arial"/>
        </w:rPr>
      </w:pPr>
    </w:p>
    <w:p w14:paraId="7F9399DE" w14:textId="77777777" w:rsidR="00EB3BCA" w:rsidRPr="007A7AE1" w:rsidRDefault="00EB3BCA" w:rsidP="002C1703">
      <w:pPr>
        <w:spacing w:after="0" w:line="360" w:lineRule="auto"/>
        <w:rPr>
          <w:rFonts w:ascii="Arial" w:hAnsi="Arial" w:cs="Arial"/>
        </w:rPr>
      </w:pPr>
    </w:p>
    <w:p w14:paraId="21936177" w14:textId="5D1DC9EF" w:rsidR="00EB3BCA" w:rsidRDefault="002B7B89" w:rsidP="002C1703">
      <w:pPr>
        <w:spacing w:after="0" w:line="360" w:lineRule="auto"/>
        <w:rPr>
          <w:rFonts w:ascii="Arial" w:hAnsi="Arial" w:cs="Arial"/>
        </w:rPr>
      </w:pPr>
      <w:r>
        <w:rPr>
          <w:rFonts w:ascii="Arial" w:hAnsi="Arial" w:cs="Arial"/>
        </w:rPr>
        <w:t xml:space="preserve">   </w:t>
      </w:r>
    </w:p>
    <w:p w14:paraId="485041FA" w14:textId="4E8504C7" w:rsidR="002B7B89" w:rsidRDefault="002B7B89" w:rsidP="002C1703">
      <w:pPr>
        <w:spacing w:after="0" w:line="360" w:lineRule="auto"/>
        <w:rPr>
          <w:rFonts w:ascii="Arial" w:hAnsi="Arial" w:cs="Arial"/>
        </w:rPr>
      </w:pPr>
    </w:p>
    <w:p w14:paraId="4EEE14D4" w14:textId="77777777" w:rsidR="00355BC1" w:rsidRDefault="00355BC1" w:rsidP="002C1703">
      <w:pPr>
        <w:spacing w:after="0" w:line="360" w:lineRule="auto"/>
        <w:rPr>
          <w:rFonts w:ascii="Arial" w:hAnsi="Arial" w:cs="Arial"/>
        </w:rPr>
      </w:pPr>
    </w:p>
    <w:p w14:paraId="41E7EFFC" w14:textId="77777777" w:rsidR="00355BC1" w:rsidRPr="007A7AE1" w:rsidRDefault="00355BC1" w:rsidP="002C1703">
      <w:pPr>
        <w:spacing w:after="0" w:line="360" w:lineRule="auto"/>
        <w:rPr>
          <w:rFonts w:ascii="Arial" w:hAnsi="Arial" w:cs="Arial"/>
        </w:rPr>
      </w:pPr>
    </w:p>
    <w:sdt>
      <w:sdtPr>
        <w:rPr>
          <w:rFonts w:ascii="Arial" w:eastAsiaTheme="minorHAnsi" w:hAnsi="Arial" w:cs="Arial"/>
          <w:color w:val="auto"/>
          <w:kern w:val="2"/>
          <w:sz w:val="22"/>
          <w:szCs w:val="22"/>
          <w:lang w:val="en-GB"/>
          <w14:ligatures w14:val="standardContextual"/>
        </w:rPr>
        <w:id w:val="-335916101"/>
        <w:docPartObj>
          <w:docPartGallery w:val="Table of Contents"/>
          <w:docPartUnique/>
        </w:docPartObj>
      </w:sdtPr>
      <w:sdtEndPr>
        <w:rPr>
          <w:b/>
          <w:bCs/>
          <w:noProof/>
        </w:rPr>
      </w:sdtEndPr>
      <w:sdtContent>
        <w:p w14:paraId="2AEA2E7C" w14:textId="287D9D07" w:rsidR="00A178D1" w:rsidRPr="007A7AE1" w:rsidRDefault="00A178D1" w:rsidP="00892C04">
          <w:pPr>
            <w:pStyle w:val="TOCHeading"/>
            <w:spacing w:after="120" w:line="360" w:lineRule="auto"/>
            <w:rPr>
              <w:rFonts w:ascii="Arial" w:hAnsi="Arial" w:cs="Arial"/>
            </w:rPr>
          </w:pPr>
          <w:r w:rsidRPr="007A7AE1">
            <w:rPr>
              <w:rFonts w:ascii="Arial" w:hAnsi="Arial" w:cs="Arial"/>
            </w:rPr>
            <w:t>Table of Contents</w:t>
          </w:r>
        </w:p>
        <w:p w14:paraId="40C868A2" w14:textId="4295C056" w:rsidR="00EF58C3" w:rsidRDefault="00A178D1">
          <w:pPr>
            <w:pStyle w:val="TOC1"/>
            <w:tabs>
              <w:tab w:val="right" w:leader="dot" w:pos="9016"/>
            </w:tabs>
            <w:rPr>
              <w:rFonts w:eastAsiaTheme="minorEastAsia"/>
              <w:noProof/>
              <w:sz w:val="24"/>
              <w:szCs w:val="24"/>
              <w:lang w:eastAsia="en-GB"/>
            </w:rPr>
          </w:pPr>
          <w:r w:rsidRPr="007A7AE1">
            <w:rPr>
              <w:rFonts w:ascii="Arial" w:hAnsi="Arial" w:cs="Arial"/>
            </w:rPr>
            <w:fldChar w:fldCharType="begin"/>
          </w:r>
          <w:r w:rsidRPr="007A7AE1">
            <w:rPr>
              <w:rFonts w:ascii="Arial" w:hAnsi="Arial" w:cs="Arial"/>
            </w:rPr>
            <w:instrText xml:space="preserve"> TOC \o "1-3" \h \z \u </w:instrText>
          </w:r>
          <w:r w:rsidRPr="007A7AE1">
            <w:rPr>
              <w:rFonts w:ascii="Arial" w:hAnsi="Arial" w:cs="Arial"/>
            </w:rPr>
            <w:fldChar w:fldCharType="separate"/>
          </w:r>
          <w:hyperlink w:anchor="_Toc235384289" w:history="1">
            <w:r w:rsidR="00EF58C3" w:rsidRPr="00C602E2">
              <w:rPr>
                <w:rStyle w:val="Hyperlink"/>
                <w:noProof/>
              </w:rPr>
              <w:t>Executive Summary</w:t>
            </w:r>
            <w:r w:rsidR="00EF58C3">
              <w:rPr>
                <w:noProof/>
                <w:webHidden/>
              </w:rPr>
              <w:tab/>
            </w:r>
            <w:r w:rsidR="00EF58C3">
              <w:rPr>
                <w:noProof/>
                <w:webHidden/>
              </w:rPr>
              <w:fldChar w:fldCharType="begin"/>
            </w:r>
            <w:r w:rsidR="00EF58C3">
              <w:rPr>
                <w:noProof/>
                <w:webHidden/>
              </w:rPr>
              <w:instrText xml:space="preserve"> PAGEREF _Toc235384289 \h </w:instrText>
            </w:r>
            <w:r w:rsidR="00EF58C3">
              <w:rPr>
                <w:noProof/>
                <w:webHidden/>
              </w:rPr>
            </w:r>
            <w:r w:rsidR="00EF58C3">
              <w:rPr>
                <w:noProof/>
                <w:webHidden/>
              </w:rPr>
              <w:fldChar w:fldCharType="separate"/>
            </w:r>
            <w:r w:rsidR="00EF58C3">
              <w:rPr>
                <w:noProof/>
                <w:webHidden/>
              </w:rPr>
              <w:t>3</w:t>
            </w:r>
            <w:r w:rsidR="00EF58C3">
              <w:rPr>
                <w:noProof/>
                <w:webHidden/>
              </w:rPr>
              <w:fldChar w:fldCharType="end"/>
            </w:r>
          </w:hyperlink>
        </w:p>
        <w:p w14:paraId="6362E5D7" w14:textId="5BCB604D" w:rsidR="00EF58C3" w:rsidRDefault="00EF58C3">
          <w:pPr>
            <w:pStyle w:val="TOC1"/>
            <w:tabs>
              <w:tab w:val="right" w:leader="dot" w:pos="9016"/>
            </w:tabs>
            <w:rPr>
              <w:rFonts w:eastAsiaTheme="minorEastAsia"/>
              <w:noProof/>
              <w:sz w:val="24"/>
              <w:szCs w:val="24"/>
              <w:lang w:eastAsia="en-GB"/>
            </w:rPr>
          </w:pPr>
          <w:hyperlink w:anchor="_Toc235384290" w:history="1">
            <w:r w:rsidRPr="00C602E2">
              <w:rPr>
                <w:rStyle w:val="Hyperlink"/>
                <w:rFonts w:ascii="Arial" w:hAnsi="Arial" w:cs="Arial"/>
                <w:noProof/>
              </w:rPr>
              <w:t>1.Introduction</w:t>
            </w:r>
            <w:r>
              <w:rPr>
                <w:noProof/>
                <w:webHidden/>
              </w:rPr>
              <w:tab/>
            </w:r>
            <w:r>
              <w:rPr>
                <w:noProof/>
                <w:webHidden/>
              </w:rPr>
              <w:fldChar w:fldCharType="begin"/>
            </w:r>
            <w:r>
              <w:rPr>
                <w:noProof/>
                <w:webHidden/>
              </w:rPr>
              <w:instrText xml:space="preserve"> PAGEREF _Toc235384290 \h </w:instrText>
            </w:r>
            <w:r>
              <w:rPr>
                <w:noProof/>
                <w:webHidden/>
              </w:rPr>
            </w:r>
            <w:r>
              <w:rPr>
                <w:noProof/>
                <w:webHidden/>
              </w:rPr>
              <w:fldChar w:fldCharType="separate"/>
            </w:r>
            <w:r>
              <w:rPr>
                <w:noProof/>
                <w:webHidden/>
              </w:rPr>
              <w:t>4</w:t>
            </w:r>
            <w:r>
              <w:rPr>
                <w:noProof/>
                <w:webHidden/>
              </w:rPr>
              <w:fldChar w:fldCharType="end"/>
            </w:r>
          </w:hyperlink>
        </w:p>
        <w:p w14:paraId="641864E3" w14:textId="6A371502" w:rsidR="00EF58C3" w:rsidRDefault="00EF58C3">
          <w:pPr>
            <w:pStyle w:val="TOC1"/>
            <w:tabs>
              <w:tab w:val="right" w:leader="dot" w:pos="9016"/>
            </w:tabs>
            <w:rPr>
              <w:rFonts w:eastAsiaTheme="minorEastAsia"/>
              <w:noProof/>
              <w:sz w:val="24"/>
              <w:szCs w:val="24"/>
              <w:lang w:eastAsia="en-GB"/>
            </w:rPr>
          </w:pPr>
          <w:hyperlink w:anchor="_Toc235384291" w:history="1">
            <w:r w:rsidRPr="00C602E2">
              <w:rPr>
                <w:rStyle w:val="Hyperlink"/>
                <w:rFonts w:ascii="Arial" w:hAnsi="Arial" w:cs="Arial"/>
                <w:noProof/>
              </w:rPr>
              <w:t>2. Explanation of Key Contemporary HR Challenges</w:t>
            </w:r>
            <w:r>
              <w:rPr>
                <w:noProof/>
                <w:webHidden/>
              </w:rPr>
              <w:tab/>
            </w:r>
            <w:r>
              <w:rPr>
                <w:noProof/>
                <w:webHidden/>
              </w:rPr>
              <w:fldChar w:fldCharType="begin"/>
            </w:r>
            <w:r>
              <w:rPr>
                <w:noProof/>
                <w:webHidden/>
              </w:rPr>
              <w:instrText xml:space="preserve"> PAGEREF _Toc235384291 \h </w:instrText>
            </w:r>
            <w:r>
              <w:rPr>
                <w:noProof/>
                <w:webHidden/>
              </w:rPr>
            </w:r>
            <w:r>
              <w:rPr>
                <w:noProof/>
                <w:webHidden/>
              </w:rPr>
              <w:fldChar w:fldCharType="separate"/>
            </w:r>
            <w:r>
              <w:rPr>
                <w:noProof/>
                <w:webHidden/>
              </w:rPr>
              <w:t>4</w:t>
            </w:r>
            <w:r>
              <w:rPr>
                <w:noProof/>
                <w:webHidden/>
              </w:rPr>
              <w:fldChar w:fldCharType="end"/>
            </w:r>
          </w:hyperlink>
        </w:p>
        <w:p w14:paraId="16E33501" w14:textId="20F12D73" w:rsidR="00EF58C3" w:rsidRDefault="00EF58C3">
          <w:pPr>
            <w:pStyle w:val="TOC2"/>
            <w:tabs>
              <w:tab w:val="right" w:leader="dot" w:pos="9016"/>
            </w:tabs>
            <w:rPr>
              <w:rFonts w:eastAsiaTheme="minorEastAsia"/>
              <w:noProof/>
              <w:sz w:val="24"/>
              <w:szCs w:val="24"/>
              <w:lang w:eastAsia="en-GB"/>
            </w:rPr>
          </w:pPr>
          <w:hyperlink w:anchor="_Toc235384292" w:history="1">
            <w:r w:rsidRPr="00C602E2">
              <w:rPr>
                <w:rStyle w:val="Hyperlink"/>
                <w:rFonts w:ascii="Arial" w:hAnsi="Arial" w:cs="Arial"/>
                <w:noProof/>
              </w:rPr>
              <w:t>2.1 Adapting to Technological Advancement</w:t>
            </w:r>
            <w:r>
              <w:rPr>
                <w:noProof/>
                <w:webHidden/>
              </w:rPr>
              <w:tab/>
            </w:r>
            <w:r>
              <w:rPr>
                <w:noProof/>
                <w:webHidden/>
              </w:rPr>
              <w:fldChar w:fldCharType="begin"/>
            </w:r>
            <w:r>
              <w:rPr>
                <w:noProof/>
                <w:webHidden/>
              </w:rPr>
              <w:instrText xml:space="preserve"> PAGEREF _Toc235384292 \h </w:instrText>
            </w:r>
            <w:r>
              <w:rPr>
                <w:noProof/>
                <w:webHidden/>
              </w:rPr>
            </w:r>
            <w:r>
              <w:rPr>
                <w:noProof/>
                <w:webHidden/>
              </w:rPr>
              <w:fldChar w:fldCharType="separate"/>
            </w:r>
            <w:r>
              <w:rPr>
                <w:noProof/>
                <w:webHidden/>
              </w:rPr>
              <w:t>4</w:t>
            </w:r>
            <w:r>
              <w:rPr>
                <w:noProof/>
                <w:webHidden/>
              </w:rPr>
              <w:fldChar w:fldCharType="end"/>
            </w:r>
          </w:hyperlink>
        </w:p>
        <w:p w14:paraId="2575275B" w14:textId="6613EB20" w:rsidR="00EF58C3" w:rsidRDefault="00EF58C3">
          <w:pPr>
            <w:pStyle w:val="TOC2"/>
            <w:tabs>
              <w:tab w:val="right" w:leader="dot" w:pos="9016"/>
            </w:tabs>
            <w:rPr>
              <w:rFonts w:eastAsiaTheme="minorEastAsia"/>
              <w:noProof/>
              <w:sz w:val="24"/>
              <w:szCs w:val="24"/>
              <w:lang w:eastAsia="en-GB"/>
            </w:rPr>
          </w:pPr>
          <w:hyperlink w:anchor="_Toc235384293" w:history="1">
            <w:r w:rsidRPr="00C602E2">
              <w:rPr>
                <w:rStyle w:val="Hyperlink"/>
                <w:rFonts w:ascii="Arial" w:hAnsi="Arial" w:cs="Arial"/>
                <w:noProof/>
              </w:rPr>
              <w:t>2.2 Talent Acquisition and Retention</w:t>
            </w:r>
            <w:r>
              <w:rPr>
                <w:noProof/>
                <w:webHidden/>
              </w:rPr>
              <w:tab/>
            </w:r>
            <w:r>
              <w:rPr>
                <w:noProof/>
                <w:webHidden/>
              </w:rPr>
              <w:fldChar w:fldCharType="begin"/>
            </w:r>
            <w:r>
              <w:rPr>
                <w:noProof/>
                <w:webHidden/>
              </w:rPr>
              <w:instrText xml:space="preserve"> PAGEREF _Toc235384293 \h </w:instrText>
            </w:r>
            <w:r>
              <w:rPr>
                <w:noProof/>
                <w:webHidden/>
              </w:rPr>
            </w:r>
            <w:r>
              <w:rPr>
                <w:noProof/>
                <w:webHidden/>
              </w:rPr>
              <w:fldChar w:fldCharType="separate"/>
            </w:r>
            <w:r>
              <w:rPr>
                <w:noProof/>
                <w:webHidden/>
              </w:rPr>
              <w:t>5</w:t>
            </w:r>
            <w:r>
              <w:rPr>
                <w:noProof/>
                <w:webHidden/>
              </w:rPr>
              <w:fldChar w:fldCharType="end"/>
            </w:r>
          </w:hyperlink>
        </w:p>
        <w:p w14:paraId="1A73862F" w14:textId="4346DFEE" w:rsidR="00EF58C3" w:rsidRDefault="00EF58C3">
          <w:pPr>
            <w:pStyle w:val="TOC2"/>
            <w:tabs>
              <w:tab w:val="right" w:leader="dot" w:pos="9016"/>
            </w:tabs>
            <w:rPr>
              <w:rFonts w:eastAsiaTheme="minorEastAsia"/>
              <w:noProof/>
              <w:sz w:val="24"/>
              <w:szCs w:val="24"/>
              <w:lang w:eastAsia="en-GB"/>
            </w:rPr>
          </w:pPr>
          <w:hyperlink w:anchor="_Toc235384294" w:history="1">
            <w:r w:rsidRPr="00C602E2">
              <w:rPr>
                <w:rStyle w:val="Hyperlink"/>
                <w:rFonts w:ascii="Arial" w:hAnsi="Arial" w:cs="Arial"/>
                <w:noProof/>
              </w:rPr>
              <w:t>2.3 Diversity, Equity and Inclusion (DEI)</w:t>
            </w:r>
            <w:r>
              <w:rPr>
                <w:noProof/>
                <w:webHidden/>
              </w:rPr>
              <w:tab/>
            </w:r>
            <w:r>
              <w:rPr>
                <w:noProof/>
                <w:webHidden/>
              </w:rPr>
              <w:fldChar w:fldCharType="begin"/>
            </w:r>
            <w:r>
              <w:rPr>
                <w:noProof/>
                <w:webHidden/>
              </w:rPr>
              <w:instrText xml:space="preserve"> PAGEREF _Toc235384294 \h </w:instrText>
            </w:r>
            <w:r>
              <w:rPr>
                <w:noProof/>
                <w:webHidden/>
              </w:rPr>
            </w:r>
            <w:r>
              <w:rPr>
                <w:noProof/>
                <w:webHidden/>
              </w:rPr>
              <w:fldChar w:fldCharType="separate"/>
            </w:r>
            <w:r>
              <w:rPr>
                <w:noProof/>
                <w:webHidden/>
              </w:rPr>
              <w:t>7</w:t>
            </w:r>
            <w:r>
              <w:rPr>
                <w:noProof/>
                <w:webHidden/>
              </w:rPr>
              <w:fldChar w:fldCharType="end"/>
            </w:r>
          </w:hyperlink>
        </w:p>
        <w:p w14:paraId="5CEF6E6C" w14:textId="359E2663" w:rsidR="00EF58C3" w:rsidRDefault="00EF58C3">
          <w:pPr>
            <w:pStyle w:val="TOC1"/>
            <w:tabs>
              <w:tab w:val="right" w:leader="dot" w:pos="9016"/>
            </w:tabs>
            <w:rPr>
              <w:rFonts w:eastAsiaTheme="minorEastAsia"/>
              <w:noProof/>
              <w:sz w:val="24"/>
              <w:szCs w:val="24"/>
              <w:lang w:eastAsia="en-GB"/>
            </w:rPr>
          </w:pPr>
          <w:hyperlink w:anchor="_Toc235384295" w:history="1">
            <w:r w:rsidRPr="00C602E2">
              <w:rPr>
                <w:rStyle w:val="Hyperlink"/>
                <w:rFonts w:ascii="Arial" w:hAnsi="Arial" w:cs="Arial"/>
                <w:noProof/>
              </w:rPr>
              <w:t>3. Evaluation of Contemporary HR Practices</w:t>
            </w:r>
            <w:r>
              <w:rPr>
                <w:noProof/>
                <w:webHidden/>
              </w:rPr>
              <w:tab/>
            </w:r>
            <w:r>
              <w:rPr>
                <w:noProof/>
                <w:webHidden/>
              </w:rPr>
              <w:fldChar w:fldCharType="begin"/>
            </w:r>
            <w:r>
              <w:rPr>
                <w:noProof/>
                <w:webHidden/>
              </w:rPr>
              <w:instrText xml:space="preserve"> PAGEREF _Toc235384295 \h </w:instrText>
            </w:r>
            <w:r>
              <w:rPr>
                <w:noProof/>
                <w:webHidden/>
              </w:rPr>
            </w:r>
            <w:r>
              <w:rPr>
                <w:noProof/>
                <w:webHidden/>
              </w:rPr>
              <w:fldChar w:fldCharType="separate"/>
            </w:r>
            <w:r>
              <w:rPr>
                <w:noProof/>
                <w:webHidden/>
              </w:rPr>
              <w:t>9</w:t>
            </w:r>
            <w:r>
              <w:rPr>
                <w:noProof/>
                <w:webHidden/>
              </w:rPr>
              <w:fldChar w:fldCharType="end"/>
            </w:r>
          </w:hyperlink>
        </w:p>
        <w:p w14:paraId="686C0BA9" w14:textId="4420A882" w:rsidR="00EF58C3" w:rsidRDefault="00EF58C3">
          <w:pPr>
            <w:pStyle w:val="TOC2"/>
            <w:tabs>
              <w:tab w:val="right" w:leader="dot" w:pos="9016"/>
            </w:tabs>
            <w:rPr>
              <w:rFonts w:eastAsiaTheme="minorEastAsia"/>
              <w:noProof/>
              <w:sz w:val="24"/>
              <w:szCs w:val="24"/>
              <w:lang w:eastAsia="en-GB"/>
            </w:rPr>
          </w:pPr>
          <w:hyperlink w:anchor="_Toc235384296" w:history="1">
            <w:r w:rsidRPr="00C602E2">
              <w:rPr>
                <w:rStyle w:val="Hyperlink"/>
                <w:rFonts w:ascii="Arial" w:hAnsi="Arial" w:cs="Arial"/>
                <w:noProof/>
              </w:rPr>
              <w:t>3.1 Digital HR Systems and Workforce Analytics</w:t>
            </w:r>
            <w:r>
              <w:rPr>
                <w:noProof/>
                <w:webHidden/>
              </w:rPr>
              <w:tab/>
            </w:r>
            <w:r>
              <w:rPr>
                <w:noProof/>
                <w:webHidden/>
              </w:rPr>
              <w:fldChar w:fldCharType="begin"/>
            </w:r>
            <w:r>
              <w:rPr>
                <w:noProof/>
                <w:webHidden/>
              </w:rPr>
              <w:instrText xml:space="preserve"> PAGEREF _Toc235384296 \h </w:instrText>
            </w:r>
            <w:r>
              <w:rPr>
                <w:noProof/>
                <w:webHidden/>
              </w:rPr>
            </w:r>
            <w:r>
              <w:rPr>
                <w:noProof/>
                <w:webHidden/>
              </w:rPr>
              <w:fldChar w:fldCharType="separate"/>
            </w:r>
            <w:r>
              <w:rPr>
                <w:noProof/>
                <w:webHidden/>
              </w:rPr>
              <w:t>9</w:t>
            </w:r>
            <w:r>
              <w:rPr>
                <w:noProof/>
                <w:webHidden/>
              </w:rPr>
              <w:fldChar w:fldCharType="end"/>
            </w:r>
          </w:hyperlink>
        </w:p>
        <w:p w14:paraId="140837DA" w14:textId="36AD491B" w:rsidR="00EF58C3" w:rsidRDefault="00EF58C3">
          <w:pPr>
            <w:pStyle w:val="TOC2"/>
            <w:tabs>
              <w:tab w:val="right" w:leader="dot" w:pos="9016"/>
            </w:tabs>
            <w:rPr>
              <w:rFonts w:eastAsiaTheme="minorEastAsia"/>
              <w:noProof/>
              <w:sz w:val="24"/>
              <w:szCs w:val="24"/>
              <w:lang w:eastAsia="en-GB"/>
            </w:rPr>
          </w:pPr>
          <w:hyperlink w:anchor="_Toc235384297" w:history="1">
            <w:r w:rsidRPr="00C602E2">
              <w:rPr>
                <w:rStyle w:val="Hyperlink"/>
                <w:rFonts w:ascii="Arial" w:hAnsi="Arial" w:cs="Arial"/>
                <w:noProof/>
              </w:rPr>
              <w:t>3.2 Employer Branding and Strategic Workforce Planning</w:t>
            </w:r>
            <w:r>
              <w:rPr>
                <w:noProof/>
                <w:webHidden/>
              </w:rPr>
              <w:tab/>
            </w:r>
            <w:r>
              <w:rPr>
                <w:noProof/>
                <w:webHidden/>
              </w:rPr>
              <w:fldChar w:fldCharType="begin"/>
            </w:r>
            <w:r>
              <w:rPr>
                <w:noProof/>
                <w:webHidden/>
              </w:rPr>
              <w:instrText xml:space="preserve"> PAGEREF _Toc235384297 \h </w:instrText>
            </w:r>
            <w:r>
              <w:rPr>
                <w:noProof/>
                <w:webHidden/>
              </w:rPr>
            </w:r>
            <w:r>
              <w:rPr>
                <w:noProof/>
                <w:webHidden/>
              </w:rPr>
              <w:fldChar w:fldCharType="separate"/>
            </w:r>
            <w:r>
              <w:rPr>
                <w:noProof/>
                <w:webHidden/>
              </w:rPr>
              <w:t>9</w:t>
            </w:r>
            <w:r>
              <w:rPr>
                <w:noProof/>
                <w:webHidden/>
              </w:rPr>
              <w:fldChar w:fldCharType="end"/>
            </w:r>
          </w:hyperlink>
        </w:p>
        <w:p w14:paraId="1A53576D" w14:textId="42186392" w:rsidR="00EF58C3" w:rsidRDefault="00EF58C3">
          <w:pPr>
            <w:pStyle w:val="TOC2"/>
            <w:tabs>
              <w:tab w:val="right" w:leader="dot" w:pos="9016"/>
            </w:tabs>
            <w:rPr>
              <w:rFonts w:eastAsiaTheme="minorEastAsia"/>
              <w:noProof/>
              <w:sz w:val="24"/>
              <w:szCs w:val="24"/>
              <w:lang w:eastAsia="en-GB"/>
            </w:rPr>
          </w:pPr>
          <w:hyperlink w:anchor="_Toc235384298" w:history="1">
            <w:r w:rsidRPr="00C602E2">
              <w:rPr>
                <w:rStyle w:val="Hyperlink"/>
                <w:rFonts w:ascii="Arial" w:hAnsi="Arial" w:cs="Arial"/>
                <w:noProof/>
              </w:rPr>
              <w:t>3.3 Employee Engagement and Retention</w:t>
            </w:r>
            <w:r>
              <w:rPr>
                <w:noProof/>
                <w:webHidden/>
              </w:rPr>
              <w:tab/>
            </w:r>
            <w:r>
              <w:rPr>
                <w:noProof/>
                <w:webHidden/>
              </w:rPr>
              <w:fldChar w:fldCharType="begin"/>
            </w:r>
            <w:r>
              <w:rPr>
                <w:noProof/>
                <w:webHidden/>
              </w:rPr>
              <w:instrText xml:space="preserve"> PAGEREF _Toc235384298 \h </w:instrText>
            </w:r>
            <w:r>
              <w:rPr>
                <w:noProof/>
                <w:webHidden/>
              </w:rPr>
            </w:r>
            <w:r>
              <w:rPr>
                <w:noProof/>
                <w:webHidden/>
              </w:rPr>
              <w:fldChar w:fldCharType="separate"/>
            </w:r>
            <w:r>
              <w:rPr>
                <w:noProof/>
                <w:webHidden/>
              </w:rPr>
              <w:t>10</w:t>
            </w:r>
            <w:r>
              <w:rPr>
                <w:noProof/>
                <w:webHidden/>
              </w:rPr>
              <w:fldChar w:fldCharType="end"/>
            </w:r>
          </w:hyperlink>
        </w:p>
        <w:p w14:paraId="0A4DB10A" w14:textId="5EE1B639" w:rsidR="00EF58C3" w:rsidRDefault="00EF58C3">
          <w:pPr>
            <w:pStyle w:val="TOC2"/>
            <w:tabs>
              <w:tab w:val="right" w:leader="dot" w:pos="9016"/>
            </w:tabs>
            <w:rPr>
              <w:rFonts w:eastAsiaTheme="minorEastAsia"/>
              <w:noProof/>
              <w:sz w:val="24"/>
              <w:szCs w:val="24"/>
              <w:lang w:eastAsia="en-GB"/>
            </w:rPr>
          </w:pPr>
          <w:hyperlink w:anchor="_Toc235384299" w:history="1">
            <w:r w:rsidRPr="00C602E2">
              <w:rPr>
                <w:rStyle w:val="Hyperlink"/>
                <w:rFonts w:ascii="Arial" w:hAnsi="Arial" w:cs="Arial"/>
                <w:noProof/>
              </w:rPr>
              <w:t>3.4 Inclusive Recruitment and DEI Practices</w:t>
            </w:r>
            <w:r>
              <w:rPr>
                <w:noProof/>
                <w:webHidden/>
              </w:rPr>
              <w:tab/>
            </w:r>
            <w:r>
              <w:rPr>
                <w:noProof/>
                <w:webHidden/>
              </w:rPr>
              <w:fldChar w:fldCharType="begin"/>
            </w:r>
            <w:r>
              <w:rPr>
                <w:noProof/>
                <w:webHidden/>
              </w:rPr>
              <w:instrText xml:space="preserve"> PAGEREF _Toc235384299 \h </w:instrText>
            </w:r>
            <w:r>
              <w:rPr>
                <w:noProof/>
                <w:webHidden/>
              </w:rPr>
            </w:r>
            <w:r>
              <w:rPr>
                <w:noProof/>
                <w:webHidden/>
              </w:rPr>
              <w:fldChar w:fldCharType="separate"/>
            </w:r>
            <w:r>
              <w:rPr>
                <w:noProof/>
                <w:webHidden/>
              </w:rPr>
              <w:t>10</w:t>
            </w:r>
            <w:r>
              <w:rPr>
                <w:noProof/>
                <w:webHidden/>
              </w:rPr>
              <w:fldChar w:fldCharType="end"/>
            </w:r>
          </w:hyperlink>
        </w:p>
        <w:p w14:paraId="618D8833" w14:textId="0DB66B1E" w:rsidR="00EF58C3" w:rsidRDefault="00EF58C3">
          <w:pPr>
            <w:pStyle w:val="TOC1"/>
            <w:tabs>
              <w:tab w:val="right" w:leader="dot" w:pos="9016"/>
            </w:tabs>
            <w:rPr>
              <w:rFonts w:eastAsiaTheme="minorEastAsia"/>
              <w:noProof/>
              <w:sz w:val="24"/>
              <w:szCs w:val="24"/>
              <w:lang w:eastAsia="en-GB"/>
            </w:rPr>
          </w:pPr>
          <w:hyperlink w:anchor="_Toc235384300" w:history="1">
            <w:r w:rsidRPr="00C602E2">
              <w:rPr>
                <w:rStyle w:val="Hyperlink"/>
                <w:rFonts w:ascii="Arial" w:hAnsi="Arial" w:cs="Arial"/>
                <w:noProof/>
              </w:rPr>
              <w:t>4. Critical Evaluation of Managerial Implementation</w:t>
            </w:r>
            <w:r>
              <w:rPr>
                <w:noProof/>
                <w:webHidden/>
              </w:rPr>
              <w:tab/>
            </w:r>
            <w:r>
              <w:rPr>
                <w:noProof/>
                <w:webHidden/>
              </w:rPr>
              <w:fldChar w:fldCharType="begin"/>
            </w:r>
            <w:r>
              <w:rPr>
                <w:noProof/>
                <w:webHidden/>
              </w:rPr>
              <w:instrText xml:space="preserve"> PAGEREF _Toc235384300 \h </w:instrText>
            </w:r>
            <w:r>
              <w:rPr>
                <w:noProof/>
                <w:webHidden/>
              </w:rPr>
            </w:r>
            <w:r>
              <w:rPr>
                <w:noProof/>
                <w:webHidden/>
              </w:rPr>
              <w:fldChar w:fldCharType="separate"/>
            </w:r>
            <w:r>
              <w:rPr>
                <w:noProof/>
                <w:webHidden/>
              </w:rPr>
              <w:t>11</w:t>
            </w:r>
            <w:r>
              <w:rPr>
                <w:noProof/>
                <w:webHidden/>
              </w:rPr>
              <w:fldChar w:fldCharType="end"/>
            </w:r>
          </w:hyperlink>
        </w:p>
        <w:p w14:paraId="0DAEF5E1" w14:textId="453B9352" w:rsidR="00EF58C3" w:rsidRDefault="00EF58C3">
          <w:pPr>
            <w:pStyle w:val="TOC2"/>
            <w:tabs>
              <w:tab w:val="right" w:leader="dot" w:pos="9016"/>
            </w:tabs>
            <w:rPr>
              <w:rFonts w:eastAsiaTheme="minorEastAsia"/>
              <w:noProof/>
              <w:sz w:val="24"/>
              <w:szCs w:val="24"/>
              <w:lang w:eastAsia="en-GB"/>
            </w:rPr>
          </w:pPr>
          <w:hyperlink w:anchor="_Toc235384301" w:history="1">
            <w:r w:rsidRPr="00C602E2">
              <w:rPr>
                <w:rStyle w:val="Hyperlink"/>
                <w:rFonts w:ascii="Arial" w:hAnsi="Arial" w:cs="Arial"/>
                <w:noProof/>
              </w:rPr>
              <w:t>4.1 Leadership Accountability</w:t>
            </w:r>
            <w:r>
              <w:rPr>
                <w:noProof/>
                <w:webHidden/>
              </w:rPr>
              <w:tab/>
            </w:r>
            <w:r>
              <w:rPr>
                <w:noProof/>
                <w:webHidden/>
              </w:rPr>
              <w:fldChar w:fldCharType="begin"/>
            </w:r>
            <w:r>
              <w:rPr>
                <w:noProof/>
                <w:webHidden/>
              </w:rPr>
              <w:instrText xml:space="preserve"> PAGEREF _Toc235384301 \h </w:instrText>
            </w:r>
            <w:r>
              <w:rPr>
                <w:noProof/>
                <w:webHidden/>
              </w:rPr>
            </w:r>
            <w:r>
              <w:rPr>
                <w:noProof/>
                <w:webHidden/>
              </w:rPr>
              <w:fldChar w:fldCharType="separate"/>
            </w:r>
            <w:r>
              <w:rPr>
                <w:noProof/>
                <w:webHidden/>
              </w:rPr>
              <w:t>12</w:t>
            </w:r>
            <w:r>
              <w:rPr>
                <w:noProof/>
                <w:webHidden/>
              </w:rPr>
              <w:fldChar w:fldCharType="end"/>
            </w:r>
          </w:hyperlink>
        </w:p>
        <w:p w14:paraId="0C1B7B0E" w14:textId="33C308C8" w:rsidR="00EF58C3" w:rsidRDefault="00EF58C3">
          <w:pPr>
            <w:pStyle w:val="TOC2"/>
            <w:tabs>
              <w:tab w:val="right" w:leader="dot" w:pos="9016"/>
            </w:tabs>
            <w:rPr>
              <w:rFonts w:eastAsiaTheme="minorEastAsia"/>
              <w:noProof/>
              <w:sz w:val="24"/>
              <w:szCs w:val="24"/>
              <w:lang w:eastAsia="en-GB"/>
            </w:rPr>
          </w:pPr>
          <w:hyperlink w:anchor="_Toc235384302" w:history="1">
            <w:r w:rsidRPr="00C602E2">
              <w:rPr>
                <w:rStyle w:val="Hyperlink"/>
                <w:rFonts w:ascii="Arial" w:hAnsi="Arial" w:cs="Arial"/>
                <w:noProof/>
              </w:rPr>
              <w:t>4.2 Communication and Organisational Culture</w:t>
            </w:r>
            <w:r>
              <w:rPr>
                <w:noProof/>
                <w:webHidden/>
              </w:rPr>
              <w:tab/>
            </w:r>
            <w:r>
              <w:rPr>
                <w:noProof/>
                <w:webHidden/>
              </w:rPr>
              <w:fldChar w:fldCharType="begin"/>
            </w:r>
            <w:r>
              <w:rPr>
                <w:noProof/>
                <w:webHidden/>
              </w:rPr>
              <w:instrText xml:space="preserve"> PAGEREF _Toc235384302 \h </w:instrText>
            </w:r>
            <w:r>
              <w:rPr>
                <w:noProof/>
                <w:webHidden/>
              </w:rPr>
            </w:r>
            <w:r>
              <w:rPr>
                <w:noProof/>
                <w:webHidden/>
              </w:rPr>
              <w:fldChar w:fldCharType="separate"/>
            </w:r>
            <w:r>
              <w:rPr>
                <w:noProof/>
                <w:webHidden/>
              </w:rPr>
              <w:t>12</w:t>
            </w:r>
            <w:r>
              <w:rPr>
                <w:noProof/>
                <w:webHidden/>
              </w:rPr>
              <w:fldChar w:fldCharType="end"/>
            </w:r>
          </w:hyperlink>
        </w:p>
        <w:p w14:paraId="154C720C" w14:textId="6B374A96" w:rsidR="00EF58C3" w:rsidRDefault="00EF58C3">
          <w:pPr>
            <w:pStyle w:val="TOC2"/>
            <w:tabs>
              <w:tab w:val="right" w:leader="dot" w:pos="9016"/>
            </w:tabs>
            <w:rPr>
              <w:rFonts w:eastAsiaTheme="minorEastAsia"/>
              <w:noProof/>
              <w:sz w:val="24"/>
              <w:szCs w:val="24"/>
              <w:lang w:eastAsia="en-GB"/>
            </w:rPr>
          </w:pPr>
          <w:hyperlink w:anchor="_Toc235384303" w:history="1">
            <w:r w:rsidRPr="00C602E2">
              <w:rPr>
                <w:rStyle w:val="Hyperlink"/>
                <w:rFonts w:ascii="Arial" w:hAnsi="Arial" w:cs="Arial"/>
                <w:noProof/>
              </w:rPr>
              <w:t>4.3 Monitoring Performance and Overcoming Barriers</w:t>
            </w:r>
            <w:r>
              <w:rPr>
                <w:noProof/>
                <w:webHidden/>
              </w:rPr>
              <w:tab/>
            </w:r>
            <w:r>
              <w:rPr>
                <w:noProof/>
                <w:webHidden/>
              </w:rPr>
              <w:fldChar w:fldCharType="begin"/>
            </w:r>
            <w:r>
              <w:rPr>
                <w:noProof/>
                <w:webHidden/>
              </w:rPr>
              <w:instrText xml:space="preserve"> PAGEREF _Toc235384303 \h </w:instrText>
            </w:r>
            <w:r>
              <w:rPr>
                <w:noProof/>
                <w:webHidden/>
              </w:rPr>
            </w:r>
            <w:r>
              <w:rPr>
                <w:noProof/>
                <w:webHidden/>
              </w:rPr>
              <w:fldChar w:fldCharType="separate"/>
            </w:r>
            <w:r>
              <w:rPr>
                <w:noProof/>
                <w:webHidden/>
              </w:rPr>
              <w:t>12</w:t>
            </w:r>
            <w:r>
              <w:rPr>
                <w:noProof/>
                <w:webHidden/>
              </w:rPr>
              <w:fldChar w:fldCharType="end"/>
            </w:r>
          </w:hyperlink>
        </w:p>
        <w:p w14:paraId="30C00569" w14:textId="6EA287E5" w:rsidR="00EF58C3" w:rsidRDefault="00EF58C3">
          <w:pPr>
            <w:pStyle w:val="TOC1"/>
            <w:tabs>
              <w:tab w:val="right" w:leader="dot" w:pos="9016"/>
            </w:tabs>
            <w:rPr>
              <w:rFonts w:eastAsiaTheme="minorEastAsia"/>
              <w:noProof/>
              <w:sz w:val="24"/>
              <w:szCs w:val="24"/>
              <w:lang w:eastAsia="en-GB"/>
            </w:rPr>
          </w:pPr>
          <w:hyperlink w:anchor="_Toc235384304" w:history="1">
            <w:r w:rsidRPr="00C602E2">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_Toc235384304 \h </w:instrText>
            </w:r>
            <w:r>
              <w:rPr>
                <w:noProof/>
                <w:webHidden/>
              </w:rPr>
            </w:r>
            <w:r>
              <w:rPr>
                <w:noProof/>
                <w:webHidden/>
              </w:rPr>
              <w:fldChar w:fldCharType="separate"/>
            </w:r>
            <w:r>
              <w:rPr>
                <w:noProof/>
                <w:webHidden/>
              </w:rPr>
              <w:t>13</w:t>
            </w:r>
            <w:r>
              <w:rPr>
                <w:noProof/>
                <w:webHidden/>
              </w:rPr>
              <w:fldChar w:fldCharType="end"/>
            </w:r>
          </w:hyperlink>
        </w:p>
        <w:p w14:paraId="519C58D2" w14:textId="13A816E4" w:rsidR="00EF58C3" w:rsidRDefault="00EF58C3">
          <w:pPr>
            <w:pStyle w:val="TOC1"/>
            <w:tabs>
              <w:tab w:val="right" w:leader="dot" w:pos="9016"/>
            </w:tabs>
            <w:rPr>
              <w:rFonts w:eastAsiaTheme="minorEastAsia"/>
              <w:noProof/>
              <w:sz w:val="24"/>
              <w:szCs w:val="24"/>
              <w:lang w:eastAsia="en-GB"/>
            </w:rPr>
          </w:pPr>
          <w:hyperlink w:anchor="_Toc235384305" w:history="1">
            <w:r w:rsidRPr="00C602E2">
              <w:rPr>
                <w:rStyle w:val="Hyperlink"/>
                <w:rFonts w:ascii="Arial" w:hAnsi="Arial" w:cs="Arial"/>
                <w:noProof/>
              </w:rPr>
              <w:t>6. Recommendations</w:t>
            </w:r>
            <w:r>
              <w:rPr>
                <w:noProof/>
                <w:webHidden/>
              </w:rPr>
              <w:tab/>
            </w:r>
            <w:r>
              <w:rPr>
                <w:noProof/>
                <w:webHidden/>
              </w:rPr>
              <w:fldChar w:fldCharType="begin"/>
            </w:r>
            <w:r>
              <w:rPr>
                <w:noProof/>
                <w:webHidden/>
              </w:rPr>
              <w:instrText xml:space="preserve"> PAGEREF _Toc235384305 \h </w:instrText>
            </w:r>
            <w:r>
              <w:rPr>
                <w:noProof/>
                <w:webHidden/>
              </w:rPr>
            </w:r>
            <w:r>
              <w:rPr>
                <w:noProof/>
                <w:webHidden/>
              </w:rPr>
              <w:fldChar w:fldCharType="separate"/>
            </w:r>
            <w:r>
              <w:rPr>
                <w:noProof/>
                <w:webHidden/>
              </w:rPr>
              <w:t>13</w:t>
            </w:r>
            <w:r>
              <w:rPr>
                <w:noProof/>
                <w:webHidden/>
              </w:rPr>
              <w:fldChar w:fldCharType="end"/>
            </w:r>
          </w:hyperlink>
        </w:p>
        <w:p w14:paraId="76085BA9" w14:textId="60EE7225" w:rsidR="00EF58C3" w:rsidRDefault="00EF58C3">
          <w:pPr>
            <w:pStyle w:val="TOC1"/>
            <w:tabs>
              <w:tab w:val="right" w:leader="dot" w:pos="9016"/>
            </w:tabs>
            <w:rPr>
              <w:rFonts w:eastAsiaTheme="minorEastAsia"/>
              <w:noProof/>
              <w:sz w:val="24"/>
              <w:szCs w:val="24"/>
              <w:lang w:eastAsia="en-GB"/>
            </w:rPr>
          </w:pPr>
          <w:hyperlink w:anchor="_Toc235384306" w:history="1">
            <w:r w:rsidRPr="00C602E2">
              <w:rPr>
                <w:rStyle w:val="Hyperlink"/>
                <w:rFonts w:ascii="Arial" w:hAnsi="Arial" w:cs="Arial"/>
                <w:noProof/>
              </w:rPr>
              <w:t>7. Reference List</w:t>
            </w:r>
            <w:r>
              <w:rPr>
                <w:noProof/>
                <w:webHidden/>
              </w:rPr>
              <w:tab/>
            </w:r>
            <w:r>
              <w:rPr>
                <w:noProof/>
                <w:webHidden/>
              </w:rPr>
              <w:fldChar w:fldCharType="begin"/>
            </w:r>
            <w:r>
              <w:rPr>
                <w:noProof/>
                <w:webHidden/>
              </w:rPr>
              <w:instrText xml:space="preserve"> PAGEREF _Toc235384306 \h </w:instrText>
            </w:r>
            <w:r>
              <w:rPr>
                <w:noProof/>
                <w:webHidden/>
              </w:rPr>
            </w:r>
            <w:r>
              <w:rPr>
                <w:noProof/>
                <w:webHidden/>
              </w:rPr>
              <w:fldChar w:fldCharType="separate"/>
            </w:r>
            <w:r>
              <w:rPr>
                <w:noProof/>
                <w:webHidden/>
              </w:rPr>
              <w:t>14</w:t>
            </w:r>
            <w:r>
              <w:rPr>
                <w:noProof/>
                <w:webHidden/>
              </w:rPr>
              <w:fldChar w:fldCharType="end"/>
            </w:r>
          </w:hyperlink>
        </w:p>
        <w:p w14:paraId="7506203D" w14:textId="39B14766" w:rsidR="00A178D1" w:rsidRPr="007A7AE1" w:rsidRDefault="00A178D1" w:rsidP="00892C04">
          <w:pPr>
            <w:spacing w:after="120" w:line="360" w:lineRule="auto"/>
            <w:rPr>
              <w:rFonts w:ascii="Arial" w:hAnsi="Arial" w:cs="Arial"/>
            </w:rPr>
          </w:pPr>
          <w:r w:rsidRPr="007A7AE1">
            <w:rPr>
              <w:rFonts w:ascii="Arial" w:hAnsi="Arial" w:cs="Arial"/>
              <w:b/>
              <w:bCs/>
              <w:noProof/>
            </w:rPr>
            <w:fldChar w:fldCharType="end"/>
          </w:r>
        </w:p>
      </w:sdtContent>
    </w:sdt>
    <w:p w14:paraId="6F7FF52D" w14:textId="77777777" w:rsidR="00A178D1" w:rsidRPr="007A7AE1" w:rsidRDefault="00A178D1" w:rsidP="002C1703">
      <w:pPr>
        <w:spacing w:after="0" w:line="360" w:lineRule="auto"/>
        <w:rPr>
          <w:rFonts w:ascii="Arial" w:hAnsi="Arial" w:cs="Arial"/>
        </w:rPr>
      </w:pPr>
    </w:p>
    <w:p w14:paraId="4148FED9" w14:textId="77777777" w:rsidR="00355BC1" w:rsidRDefault="00355BC1" w:rsidP="006044E5">
      <w:pPr>
        <w:tabs>
          <w:tab w:val="center" w:pos="4513"/>
        </w:tabs>
        <w:spacing w:after="0" w:line="360" w:lineRule="auto"/>
        <w:rPr>
          <w:rFonts w:ascii="Arial" w:hAnsi="Arial" w:cs="Arial"/>
          <w:b/>
          <w:bCs/>
          <w:sz w:val="40"/>
          <w:szCs w:val="40"/>
        </w:rPr>
      </w:pPr>
    </w:p>
    <w:p w14:paraId="5B7FCDC8" w14:textId="77777777" w:rsidR="00355BC1" w:rsidRDefault="00355BC1" w:rsidP="006044E5">
      <w:pPr>
        <w:tabs>
          <w:tab w:val="center" w:pos="4513"/>
        </w:tabs>
        <w:spacing w:after="0" w:line="360" w:lineRule="auto"/>
        <w:rPr>
          <w:rFonts w:ascii="Arial" w:hAnsi="Arial" w:cs="Arial"/>
          <w:b/>
          <w:bCs/>
          <w:sz w:val="40"/>
          <w:szCs w:val="40"/>
        </w:rPr>
      </w:pPr>
    </w:p>
    <w:p w14:paraId="79125E3D" w14:textId="77777777" w:rsidR="00355BC1" w:rsidRDefault="00355BC1" w:rsidP="006044E5">
      <w:pPr>
        <w:tabs>
          <w:tab w:val="center" w:pos="4513"/>
        </w:tabs>
        <w:spacing w:after="0" w:line="360" w:lineRule="auto"/>
        <w:rPr>
          <w:rFonts w:ascii="Arial" w:hAnsi="Arial" w:cs="Arial"/>
          <w:b/>
          <w:bCs/>
          <w:sz w:val="40"/>
          <w:szCs w:val="40"/>
        </w:rPr>
      </w:pPr>
    </w:p>
    <w:p w14:paraId="796FC4A3" w14:textId="77777777" w:rsidR="00355BC1" w:rsidRDefault="00355BC1" w:rsidP="006044E5">
      <w:pPr>
        <w:tabs>
          <w:tab w:val="center" w:pos="4513"/>
        </w:tabs>
        <w:spacing w:after="0" w:line="360" w:lineRule="auto"/>
        <w:rPr>
          <w:rFonts w:ascii="Arial" w:hAnsi="Arial" w:cs="Arial"/>
          <w:b/>
          <w:bCs/>
          <w:sz w:val="40"/>
          <w:szCs w:val="40"/>
        </w:rPr>
      </w:pPr>
    </w:p>
    <w:p w14:paraId="1C728D8D" w14:textId="77777777" w:rsidR="00355BC1" w:rsidRDefault="00355BC1" w:rsidP="006044E5">
      <w:pPr>
        <w:tabs>
          <w:tab w:val="center" w:pos="4513"/>
        </w:tabs>
        <w:spacing w:after="0" w:line="360" w:lineRule="auto"/>
        <w:rPr>
          <w:rFonts w:ascii="Arial" w:hAnsi="Arial" w:cs="Arial"/>
          <w:b/>
          <w:bCs/>
          <w:sz w:val="40"/>
          <w:szCs w:val="40"/>
        </w:rPr>
      </w:pPr>
    </w:p>
    <w:p w14:paraId="19DBDC35" w14:textId="77777777" w:rsidR="00355BC1" w:rsidRDefault="00355BC1" w:rsidP="006044E5">
      <w:pPr>
        <w:tabs>
          <w:tab w:val="center" w:pos="4513"/>
        </w:tabs>
        <w:spacing w:after="0" w:line="360" w:lineRule="auto"/>
        <w:rPr>
          <w:rFonts w:ascii="Arial" w:hAnsi="Arial" w:cs="Arial"/>
          <w:b/>
          <w:bCs/>
          <w:sz w:val="40"/>
          <w:szCs w:val="40"/>
        </w:rPr>
      </w:pPr>
    </w:p>
    <w:p w14:paraId="46035C7C" w14:textId="77777777" w:rsidR="00355BC1" w:rsidRDefault="00355BC1" w:rsidP="006044E5">
      <w:pPr>
        <w:tabs>
          <w:tab w:val="center" w:pos="4513"/>
        </w:tabs>
        <w:spacing w:after="0" w:line="360" w:lineRule="auto"/>
        <w:rPr>
          <w:rFonts w:ascii="Arial" w:hAnsi="Arial" w:cs="Arial"/>
          <w:b/>
          <w:bCs/>
          <w:sz w:val="40"/>
          <w:szCs w:val="40"/>
        </w:rPr>
      </w:pPr>
    </w:p>
    <w:p w14:paraId="06AB5CDC" w14:textId="229B972D" w:rsidR="00EA3F4C" w:rsidRPr="002B7B89" w:rsidRDefault="00C50D45" w:rsidP="00391EA5">
      <w:pPr>
        <w:pStyle w:val="Heading1"/>
      </w:pPr>
      <w:bookmarkStart w:id="0" w:name="_Toc235384289"/>
      <w:r w:rsidRPr="007A7AE1">
        <w:t>Executive Summary</w:t>
      </w:r>
      <w:bookmarkEnd w:id="0"/>
      <w:r w:rsidR="006044E5">
        <w:tab/>
      </w:r>
    </w:p>
    <w:p w14:paraId="72796C91" w14:textId="5CCCA4ED" w:rsidR="00226410" w:rsidRDefault="00226410" w:rsidP="004B41A2">
      <w:pPr>
        <w:spacing w:after="120" w:line="360" w:lineRule="auto"/>
        <w:jc w:val="both"/>
        <w:rPr>
          <w:rFonts w:ascii="Arial" w:hAnsi="Arial" w:cs="Arial"/>
        </w:rPr>
      </w:pPr>
      <w:r>
        <w:rPr>
          <w:rFonts w:ascii="Arial" w:hAnsi="Arial" w:cs="Arial"/>
        </w:rPr>
        <w:t>This report examines three contemporary Human Resource Management challenges affecting GXO Logistics: technological advancement, talent acquisition, retention and Diversity, Equity and Inclusion (DEI). The analysis considers how these challenges influence organisational performance, employee engagement and long-term sustainability.</w:t>
      </w:r>
    </w:p>
    <w:p w14:paraId="0B9B041F" w14:textId="507C9E70" w:rsidR="00A65256" w:rsidRDefault="00226410" w:rsidP="004B41A2">
      <w:pPr>
        <w:spacing w:after="120" w:line="360" w:lineRule="auto"/>
        <w:jc w:val="both"/>
        <w:rPr>
          <w:rFonts w:ascii="Arial" w:hAnsi="Arial" w:cs="Arial"/>
        </w:rPr>
      </w:pPr>
      <w:r>
        <w:rPr>
          <w:rFonts w:ascii="Arial" w:hAnsi="Arial" w:cs="Arial"/>
        </w:rPr>
        <w:t>The finding</w:t>
      </w:r>
      <w:r w:rsidR="006044E5">
        <w:rPr>
          <w:rFonts w:ascii="Arial" w:hAnsi="Arial" w:cs="Arial"/>
        </w:rPr>
        <w:t>s</w:t>
      </w:r>
      <w:r>
        <w:rPr>
          <w:rFonts w:ascii="Arial" w:hAnsi="Arial" w:cs="Arial"/>
        </w:rPr>
        <w:t xml:space="preserve"> </w:t>
      </w:r>
      <w:r w:rsidR="00A65256">
        <w:rPr>
          <w:rFonts w:ascii="Arial" w:hAnsi="Arial" w:cs="Arial"/>
        </w:rPr>
        <w:t>indicate</w:t>
      </w:r>
      <w:r>
        <w:rPr>
          <w:rFonts w:ascii="Arial" w:hAnsi="Arial" w:cs="Arial"/>
        </w:rPr>
        <w:t xml:space="preserve"> that GXO has developed several positive HR </w:t>
      </w:r>
      <w:r w:rsidR="00A65256">
        <w:rPr>
          <w:rFonts w:ascii="Arial" w:hAnsi="Arial" w:cs="Arial"/>
        </w:rPr>
        <w:t>practices</w:t>
      </w:r>
      <w:r>
        <w:rPr>
          <w:rFonts w:ascii="Arial" w:hAnsi="Arial" w:cs="Arial"/>
        </w:rPr>
        <w:t xml:space="preserve">, including internal recruitment, employee development </w:t>
      </w:r>
      <w:r w:rsidR="00A65256">
        <w:rPr>
          <w:rFonts w:ascii="Arial" w:hAnsi="Arial" w:cs="Arial"/>
        </w:rPr>
        <w:t>through GXO University, leadership development and the use of digital systems to support operational efficiency. However, technological and operational change requires continuous employee training, effective communication and strong managerial support.</w:t>
      </w:r>
    </w:p>
    <w:p w14:paraId="66F74632" w14:textId="501B0F8A" w:rsidR="00EA3F4C" w:rsidRPr="007A7AE1" w:rsidRDefault="00A65256" w:rsidP="004B41A2">
      <w:pPr>
        <w:spacing w:after="120" w:line="360" w:lineRule="auto"/>
        <w:jc w:val="both"/>
        <w:rPr>
          <w:rFonts w:ascii="Arial" w:hAnsi="Arial" w:cs="Arial"/>
        </w:rPr>
      </w:pPr>
      <w:r>
        <w:rPr>
          <w:rFonts w:ascii="Arial" w:hAnsi="Arial" w:cs="Arial"/>
        </w:rPr>
        <w:t>The report concludes that departmental managers play a critical role in translating HR strategy into operational practice. It recommends continued investment in employee development and digital skills, a</w:t>
      </w:r>
      <w:r w:rsidR="002205CB">
        <w:rPr>
          <w:rFonts w:ascii="Arial" w:hAnsi="Arial" w:cs="Arial"/>
        </w:rPr>
        <w:t xml:space="preserve"> balanced approach to internal and external</w:t>
      </w:r>
      <w:r>
        <w:rPr>
          <w:rFonts w:ascii="Arial" w:hAnsi="Arial" w:cs="Arial"/>
        </w:rPr>
        <w:t xml:space="preserve"> recruitment, regular one-to-one development discussions, inclusive leadership and the use of both operational KPIs and employee engagement measures to evaluate performance.</w:t>
      </w:r>
    </w:p>
    <w:p w14:paraId="187A18D9" w14:textId="77777777" w:rsidR="00EA3F4C" w:rsidRPr="007A7AE1" w:rsidRDefault="00EA3F4C" w:rsidP="002C1703">
      <w:pPr>
        <w:spacing w:after="0" w:line="360" w:lineRule="auto"/>
        <w:rPr>
          <w:rFonts w:ascii="Arial" w:hAnsi="Arial" w:cs="Arial"/>
        </w:rPr>
      </w:pPr>
    </w:p>
    <w:p w14:paraId="76D548FD" w14:textId="77777777" w:rsidR="00A178D1" w:rsidRPr="007A7AE1" w:rsidRDefault="00A178D1" w:rsidP="002C1703">
      <w:pPr>
        <w:spacing w:after="0" w:line="360" w:lineRule="auto"/>
        <w:rPr>
          <w:rFonts w:ascii="Arial" w:hAnsi="Arial" w:cs="Arial"/>
        </w:rPr>
      </w:pPr>
    </w:p>
    <w:p w14:paraId="0859A3BB" w14:textId="77777777" w:rsidR="00A178D1" w:rsidRPr="007A7AE1" w:rsidRDefault="00A178D1" w:rsidP="002C1703">
      <w:pPr>
        <w:spacing w:after="0" w:line="360" w:lineRule="auto"/>
        <w:rPr>
          <w:rFonts w:ascii="Arial" w:hAnsi="Arial" w:cs="Arial"/>
        </w:rPr>
      </w:pPr>
    </w:p>
    <w:p w14:paraId="5F82A1E1" w14:textId="77777777" w:rsidR="00A178D1" w:rsidRPr="007A7AE1" w:rsidRDefault="00A178D1" w:rsidP="002C1703">
      <w:pPr>
        <w:spacing w:after="0" w:line="360" w:lineRule="auto"/>
        <w:rPr>
          <w:rFonts w:ascii="Arial" w:hAnsi="Arial" w:cs="Arial"/>
        </w:rPr>
      </w:pPr>
    </w:p>
    <w:p w14:paraId="768A6130" w14:textId="77777777" w:rsidR="00A178D1" w:rsidRPr="007A7AE1" w:rsidRDefault="00A178D1" w:rsidP="002C1703">
      <w:pPr>
        <w:spacing w:after="0" w:line="360" w:lineRule="auto"/>
        <w:rPr>
          <w:rFonts w:ascii="Arial" w:hAnsi="Arial" w:cs="Arial"/>
        </w:rPr>
      </w:pPr>
    </w:p>
    <w:p w14:paraId="09A8B67D" w14:textId="77777777" w:rsidR="00A178D1" w:rsidRPr="007A7AE1" w:rsidRDefault="00A178D1" w:rsidP="002C1703">
      <w:pPr>
        <w:spacing w:after="0" w:line="360" w:lineRule="auto"/>
        <w:rPr>
          <w:rFonts w:ascii="Arial" w:hAnsi="Arial" w:cs="Arial"/>
        </w:rPr>
      </w:pPr>
    </w:p>
    <w:p w14:paraId="0C33241E" w14:textId="77777777" w:rsidR="00A178D1" w:rsidRPr="007A7AE1" w:rsidRDefault="00A178D1" w:rsidP="002C1703">
      <w:pPr>
        <w:spacing w:after="0" w:line="360" w:lineRule="auto"/>
        <w:rPr>
          <w:rFonts w:ascii="Arial" w:hAnsi="Arial" w:cs="Arial"/>
        </w:rPr>
      </w:pPr>
    </w:p>
    <w:p w14:paraId="2F0BC7DA" w14:textId="77777777" w:rsidR="00A178D1" w:rsidRPr="007A7AE1" w:rsidRDefault="00A178D1" w:rsidP="002C1703">
      <w:pPr>
        <w:spacing w:after="0" w:line="360" w:lineRule="auto"/>
        <w:rPr>
          <w:rFonts w:ascii="Arial" w:hAnsi="Arial" w:cs="Arial"/>
        </w:rPr>
      </w:pPr>
    </w:p>
    <w:p w14:paraId="5401C329" w14:textId="77777777" w:rsidR="00A178D1" w:rsidRPr="007A7AE1" w:rsidRDefault="00A178D1" w:rsidP="002C1703">
      <w:pPr>
        <w:spacing w:after="0" w:line="360" w:lineRule="auto"/>
        <w:rPr>
          <w:rFonts w:ascii="Arial" w:hAnsi="Arial" w:cs="Arial"/>
        </w:rPr>
      </w:pPr>
    </w:p>
    <w:p w14:paraId="360D18B1" w14:textId="77777777" w:rsidR="00355BC1" w:rsidRDefault="00355BC1" w:rsidP="002C1703">
      <w:pPr>
        <w:spacing w:after="0" w:line="360" w:lineRule="auto"/>
        <w:rPr>
          <w:rFonts w:ascii="Arial" w:hAnsi="Arial" w:cs="Arial"/>
          <w:b/>
          <w:bCs/>
          <w:sz w:val="36"/>
          <w:szCs w:val="36"/>
        </w:rPr>
      </w:pPr>
    </w:p>
    <w:p w14:paraId="521EC014" w14:textId="77777777" w:rsidR="00355BC1" w:rsidRDefault="00355BC1" w:rsidP="002C1703">
      <w:pPr>
        <w:spacing w:after="0" w:line="360" w:lineRule="auto"/>
        <w:rPr>
          <w:rFonts w:ascii="Arial" w:hAnsi="Arial" w:cs="Arial"/>
          <w:b/>
          <w:bCs/>
          <w:sz w:val="36"/>
          <w:szCs w:val="36"/>
        </w:rPr>
      </w:pPr>
    </w:p>
    <w:p w14:paraId="3A20D922" w14:textId="77777777" w:rsidR="00355BC1" w:rsidRDefault="00355BC1" w:rsidP="002C1703">
      <w:pPr>
        <w:spacing w:after="0" w:line="360" w:lineRule="auto"/>
        <w:rPr>
          <w:rFonts w:ascii="Arial" w:hAnsi="Arial" w:cs="Arial"/>
          <w:b/>
          <w:bCs/>
          <w:sz w:val="36"/>
          <w:szCs w:val="36"/>
        </w:rPr>
      </w:pPr>
    </w:p>
    <w:p w14:paraId="6522C455" w14:textId="77777777" w:rsidR="00355BC1" w:rsidRDefault="00355BC1" w:rsidP="002C1703">
      <w:pPr>
        <w:spacing w:after="0" w:line="360" w:lineRule="auto"/>
        <w:rPr>
          <w:rFonts w:ascii="Arial" w:hAnsi="Arial" w:cs="Arial"/>
          <w:b/>
          <w:bCs/>
          <w:sz w:val="36"/>
          <w:szCs w:val="36"/>
        </w:rPr>
      </w:pPr>
    </w:p>
    <w:p w14:paraId="113309F0" w14:textId="77777777" w:rsidR="00355BC1" w:rsidRDefault="00355BC1" w:rsidP="002C1703">
      <w:pPr>
        <w:spacing w:after="0" w:line="360" w:lineRule="auto"/>
        <w:rPr>
          <w:rFonts w:ascii="Arial" w:hAnsi="Arial" w:cs="Arial"/>
          <w:b/>
          <w:bCs/>
          <w:sz w:val="36"/>
          <w:szCs w:val="36"/>
        </w:rPr>
      </w:pPr>
    </w:p>
    <w:p w14:paraId="37712F39" w14:textId="01D2DB48" w:rsidR="009B7809" w:rsidRPr="007A7AE1" w:rsidRDefault="009B7809" w:rsidP="002C1703">
      <w:pPr>
        <w:spacing w:after="0" w:line="360" w:lineRule="auto"/>
        <w:rPr>
          <w:rFonts w:ascii="Arial" w:hAnsi="Arial" w:cs="Arial"/>
          <w:b/>
          <w:bCs/>
          <w:sz w:val="36"/>
          <w:szCs w:val="36"/>
        </w:rPr>
      </w:pPr>
      <w:r w:rsidRPr="007A7AE1">
        <w:rPr>
          <w:rFonts w:ascii="Arial" w:hAnsi="Arial" w:cs="Arial"/>
          <w:b/>
          <w:bCs/>
          <w:sz w:val="36"/>
          <w:szCs w:val="36"/>
        </w:rPr>
        <w:lastRenderedPageBreak/>
        <w:t>Recruitment and Contemporary Human Resource Practices at GXO Logistics, Tamworth</w:t>
      </w:r>
    </w:p>
    <w:p w14:paraId="5C6EB9F9" w14:textId="4171302B" w:rsidR="00A178D1" w:rsidRPr="007A7AE1" w:rsidRDefault="00CD792D" w:rsidP="009C2474">
      <w:pPr>
        <w:pStyle w:val="Heading1"/>
        <w:spacing w:after="240" w:line="360" w:lineRule="auto"/>
        <w:rPr>
          <w:rFonts w:ascii="Arial" w:hAnsi="Arial" w:cs="Arial"/>
        </w:rPr>
      </w:pPr>
      <w:bookmarkStart w:id="1" w:name="_Toc235384290"/>
      <w:r w:rsidRPr="007A7AE1">
        <w:rPr>
          <w:rFonts w:ascii="Arial" w:hAnsi="Arial" w:cs="Arial"/>
        </w:rPr>
        <w:t>1.</w:t>
      </w:r>
      <w:r w:rsidR="00C76F1B" w:rsidRPr="007A7AE1">
        <w:rPr>
          <w:rFonts w:ascii="Arial" w:hAnsi="Arial" w:cs="Arial"/>
        </w:rPr>
        <w:t>Introduction</w:t>
      </w:r>
      <w:bookmarkEnd w:id="1"/>
    </w:p>
    <w:p w14:paraId="44E9111E" w14:textId="3882219D" w:rsidR="002428FD" w:rsidRPr="007A7AE1" w:rsidRDefault="002428FD" w:rsidP="009C2474">
      <w:pPr>
        <w:spacing w:after="240" w:line="360" w:lineRule="auto"/>
        <w:contextualSpacing/>
        <w:jc w:val="both"/>
        <w:rPr>
          <w:rFonts w:ascii="Arial" w:eastAsiaTheme="majorEastAsia" w:hAnsi="Arial" w:cs="Arial"/>
          <w:color w:val="0F4761" w:themeColor="accent1" w:themeShade="BF"/>
          <w:sz w:val="40"/>
          <w:szCs w:val="40"/>
        </w:rPr>
      </w:pPr>
      <w:r w:rsidRPr="007A7AE1">
        <w:rPr>
          <w:rFonts w:ascii="Arial" w:hAnsi="Arial" w:cs="Arial"/>
        </w:rPr>
        <w:t>Human Resource Management (HRM) has become increasingly important as organisations respond to technological innovation, labour shortages and changing employee expectations. Organisations that successfully recruit, develop and retain talented employees are more likely to achieve sustainable growth and maintain a competitive advantage (Armstrong and Taylor, 2023). Consequently, HR professionals play a key role in ensuring organisations have the right people with the right skills to support organisational transformation.</w:t>
      </w:r>
    </w:p>
    <w:p w14:paraId="5B7DED35" w14:textId="77777777" w:rsidR="00FE31A7" w:rsidRPr="007A7AE1" w:rsidRDefault="00FE31A7" w:rsidP="008D705C">
      <w:pPr>
        <w:spacing w:after="120" w:line="360" w:lineRule="auto"/>
        <w:contextualSpacing/>
        <w:jc w:val="both"/>
        <w:rPr>
          <w:rFonts w:ascii="Arial" w:hAnsi="Arial" w:cs="Arial"/>
        </w:rPr>
      </w:pPr>
    </w:p>
    <w:p w14:paraId="2CBFCE8B" w14:textId="416E1334" w:rsidR="00FE31A7" w:rsidRDefault="002428FD" w:rsidP="008D705C">
      <w:pPr>
        <w:spacing w:after="120" w:line="360" w:lineRule="auto"/>
        <w:contextualSpacing/>
        <w:jc w:val="both"/>
        <w:rPr>
          <w:rFonts w:ascii="Arial" w:hAnsi="Arial" w:cs="Arial"/>
        </w:rPr>
      </w:pPr>
      <w:r w:rsidRPr="007A7AE1">
        <w:rPr>
          <w:rFonts w:ascii="Arial" w:hAnsi="Arial" w:cs="Arial"/>
        </w:rPr>
        <w:t>This report analyses the contemporary HR challenges facing GXO Logistics in Tamworth, a leading UK</w:t>
      </w:r>
      <w:r w:rsidR="002704C4">
        <w:rPr>
          <w:rFonts w:ascii="Arial" w:hAnsi="Arial" w:cs="Arial"/>
        </w:rPr>
        <w:t>-based</w:t>
      </w:r>
      <w:r w:rsidRPr="007A7AE1">
        <w:rPr>
          <w:rFonts w:ascii="Arial" w:hAnsi="Arial" w:cs="Arial"/>
        </w:rPr>
        <w:t xml:space="preserve"> logistics provi</w:t>
      </w:r>
      <w:r w:rsidR="002704C4">
        <w:rPr>
          <w:rFonts w:ascii="Arial" w:hAnsi="Arial" w:cs="Arial"/>
        </w:rPr>
        <w:t>der operating within a rapidly changing</w:t>
      </w:r>
      <w:r w:rsidRPr="007A7AE1">
        <w:rPr>
          <w:rFonts w:ascii="Arial" w:hAnsi="Arial" w:cs="Arial"/>
        </w:rPr>
        <w:t xml:space="preserve"> and technolo</w:t>
      </w:r>
      <w:r w:rsidR="00E334BA">
        <w:rPr>
          <w:rFonts w:ascii="Arial" w:hAnsi="Arial" w:cs="Arial"/>
        </w:rPr>
        <w:t>gy-driven logistics environment (GXO Logistics, 2025)</w:t>
      </w:r>
      <w:r w:rsidRPr="007A7AE1">
        <w:rPr>
          <w:rFonts w:ascii="Arial" w:hAnsi="Arial" w:cs="Arial"/>
        </w:rPr>
        <w:t>. The organisation has invested in digital systems, employee development and internal career progression to improve operational performance while responding to increasing customer expectations.</w:t>
      </w:r>
    </w:p>
    <w:p w14:paraId="4ED5F4D2" w14:textId="77777777" w:rsidR="008D705C" w:rsidRPr="007A7AE1" w:rsidRDefault="008D705C" w:rsidP="008D705C">
      <w:pPr>
        <w:spacing w:after="120" w:line="360" w:lineRule="auto"/>
        <w:contextualSpacing/>
        <w:jc w:val="both"/>
        <w:rPr>
          <w:rFonts w:ascii="Arial" w:hAnsi="Arial" w:cs="Arial"/>
        </w:rPr>
      </w:pPr>
    </w:p>
    <w:p w14:paraId="1370FBE0" w14:textId="167F9AF8" w:rsidR="002428FD" w:rsidRPr="007A7AE1" w:rsidRDefault="002428FD" w:rsidP="008D705C">
      <w:pPr>
        <w:spacing w:after="120" w:line="360" w:lineRule="auto"/>
        <w:jc w:val="both"/>
        <w:rPr>
          <w:rFonts w:ascii="Arial" w:hAnsi="Arial" w:cs="Arial"/>
        </w:rPr>
      </w:pPr>
      <w:r w:rsidRPr="007A7AE1">
        <w:rPr>
          <w:rFonts w:ascii="Arial" w:hAnsi="Arial" w:cs="Arial"/>
        </w:rPr>
        <w:t>The report examines three contemporary HR challenges: technological advancement, talent acquisition and retention and diversity, equity and inclusion (DEI). It then evaluates appropriate HR practices before critically assessing how departmental managers can ensure successful implementation.</w:t>
      </w:r>
    </w:p>
    <w:p w14:paraId="5738BADF" w14:textId="2712B330" w:rsidR="00C76F1B" w:rsidRPr="007A7AE1" w:rsidRDefault="00C76F1B" w:rsidP="00D00E05">
      <w:pPr>
        <w:pStyle w:val="Heading1"/>
        <w:spacing w:after="120" w:line="360" w:lineRule="auto"/>
        <w:rPr>
          <w:rFonts w:ascii="Arial" w:hAnsi="Arial" w:cs="Arial"/>
        </w:rPr>
      </w:pPr>
      <w:bookmarkStart w:id="2" w:name="_Toc235384291"/>
      <w:r w:rsidRPr="007A7AE1">
        <w:rPr>
          <w:rFonts w:ascii="Arial" w:hAnsi="Arial" w:cs="Arial"/>
        </w:rPr>
        <w:t>2. Explanation of Key Contemporary HR Challenges</w:t>
      </w:r>
      <w:bookmarkEnd w:id="2"/>
    </w:p>
    <w:p w14:paraId="4DD5A450" w14:textId="17857129" w:rsidR="002428FD" w:rsidRPr="007A7AE1" w:rsidRDefault="00C76F1B" w:rsidP="009C2474">
      <w:pPr>
        <w:pStyle w:val="Heading2"/>
        <w:spacing w:after="240" w:line="360" w:lineRule="auto"/>
        <w:rPr>
          <w:rFonts w:ascii="Arial" w:hAnsi="Arial" w:cs="Arial"/>
        </w:rPr>
      </w:pPr>
      <w:bookmarkStart w:id="3" w:name="_Toc235384292"/>
      <w:r w:rsidRPr="007A7AE1">
        <w:rPr>
          <w:rFonts w:ascii="Arial" w:hAnsi="Arial" w:cs="Arial"/>
        </w:rPr>
        <w:t>2.1 Adapting to Technological Advancement</w:t>
      </w:r>
      <w:bookmarkEnd w:id="3"/>
    </w:p>
    <w:p w14:paraId="5BBA729B" w14:textId="7552DF00" w:rsidR="00FE31A7" w:rsidRPr="007A7AE1" w:rsidRDefault="00AB5B57" w:rsidP="009C2474">
      <w:pPr>
        <w:spacing w:after="240" w:line="360" w:lineRule="auto"/>
        <w:jc w:val="both"/>
        <w:rPr>
          <w:rFonts w:ascii="Arial" w:hAnsi="Arial" w:cs="Arial"/>
        </w:rPr>
      </w:pPr>
      <w:r w:rsidRPr="007A7AE1">
        <w:rPr>
          <w:rFonts w:ascii="Arial" w:hAnsi="Arial" w:cs="Arial"/>
        </w:rPr>
        <w:t>Technological advancement has transformed modern logistics organisations by improving operational efficiency, communication and decision-making</w:t>
      </w:r>
      <w:r w:rsidR="001B158F" w:rsidRPr="007A7AE1">
        <w:rPr>
          <w:rFonts w:ascii="Arial" w:hAnsi="Arial" w:cs="Arial"/>
        </w:rPr>
        <w:t xml:space="preserve"> (</w:t>
      </w:r>
      <w:proofErr w:type="spellStart"/>
      <w:r w:rsidR="001B158F" w:rsidRPr="007A7AE1">
        <w:rPr>
          <w:rFonts w:ascii="Arial" w:hAnsi="Arial" w:cs="Arial"/>
        </w:rPr>
        <w:t>Aiki</w:t>
      </w:r>
      <w:proofErr w:type="spellEnd"/>
      <w:r w:rsidR="001B158F" w:rsidRPr="007A7AE1">
        <w:rPr>
          <w:rFonts w:ascii="Arial" w:hAnsi="Arial" w:cs="Arial"/>
        </w:rPr>
        <w:t xml:space="preserve"> et al., 2025)</w:t>
      </w:r>
      <w:r w:rsidRPr="007A7AE1">
        <w:rPr>
          <w:rFonts w:ascii="Arial" w:hAnsi="Arial" w:cs="Arial"/>
        </w:rPr>
        <w:t>. However, successful digital transformation depends not only on implementing new technology but also on developing employee capability to use it effectively (CIPD, 2024</w:t>
      </w:r>
      <w:r w:rsidR="006044E5">
        <w:rPr>
          <w:rFonts w:ascii="Arial" w:hAnsi="Arial" w:cs="Arial"/>
        </w:rPr>
        <w:t>b</w:t>
      </w:r>
      <w:r w:rsidR="00843656" w:rsidRPr="007A7AE1">
        <w:rPr>
          <w:rFonts w:ascii="Arial" w:hAnsi="Arial" w:cs="Arial"/>
        </w:rPr>
        <w:t>)</w:t>
      </w:r>
    </w:p>
    <w:p w14:paraId="6807CC11" w14:textId="203204A6" w:rsidR="008D705C" w:rsidRPr="007A7AE1" w:rsidRDefault="00AB5B57" w:rsidP="008D705C">
      <w:pPr>
        <w:spacing w:after="120" w:line="360" w:lineRule="auto"/>
        <w:jc w:val="both"/>
        <w:rPr>
          <w:rFonts w:ascii="Arial" w:hAnsi="Arial" w:cs="Arial"/>
        </w:rPr>
      </w:pPr>
      <w:r w:rsidRPr="007A7AE1">
        <w:rPr>
          <w:rFonts w:ascii="Arial" w:hAnsi="Arial" w:cs="Arial"/>
        </w:rPr>
        <w:lastRenderedPageBreak/>
        <w:t xml:space="preserve">Within GXO Logistics, technology influences both warehouse and office operations. Employees use digital systems such as </w:t>
      </w:r>
      <w:proofErr w:type="spellStart"/>
      <w:r w:rsidRPr="007A7AE1">
        <w:rPr>
          <w:rFonts w:ascii="Arial" w:hAnsi="Arial" w:cs="Arial"/>
        </w:rPr>
        <w:t>RedPrairie</w:t>
      </w:r>
      <w:proofErr w:type="spellEnd"/>
      <w:r w:rsidRPr="007A7AE1">
        <w:rPr>
          <w:rFonts w:ascii="Arial" w:hAnsi="Arial" w:cs="Arial"/>
        </w:rPr>
        <w:t xml:space="preserve">, C3 and Track and Trace to coordinate warehouse activities, manage transport operations and monitor customer deliveries. Office-based employees must also adapt to revised customer requirements, particularly when preparing documentation for international shipments where compliance requirements, such as </w:t>
      </w:r>
      <w:r w:rsidR="00A178D1" w:rsidRPr="007A7AE1">
        <w:rPr>
          <w:rFonts w:ascii="Arial" w:hAnsi="Arial" w:cs="Arial"/>
        </w:rPr>
        <w:t>country-of-origin</w:t>
      </w:r>
      <w:r w:rsidRPr="007A7AE1">
        <w:rPr>
          <w:rFonts w:ascii="Arial" w:hAnsi="Arial" w:cs="Arial"/>
        </w:rPr>
        <w:t xml:space="preserve"> information, must be accurately completed.</w:t>
      </w:r>
    </w:p>
    <w:p w14:paraId="791E0C2F" w14:textId="219A735F" w:rsidR="00B17FE5" w:rsidRPr="007A7AE1" w:rsidRDefault="00AB5B57" w:rsidP="008D705C">
      <w:pPr>
        <w:spacing w:after="120" w:line="360" w:lineRule="auto"/>
        <w:jc w:val="both"/>
        <w:rPr>
          <w:rFonts w:ascii="Arial" w:hAnsi="Arial" w:cs="Arial"/>
        </w:rPr>
      </w:pPr>
      <w:r w:rsidRPr="007A7AE1">
        <w:rPr>
          <w:rFonts w:ascii="Arial" w:hAnsi="Arial" w:cs="Arial"/>
        </w:rPr>
        <w:t>T</w:t>
      </w:r>
      <w:r w:rsidR="00BD14AF">
        <w:rPr>
          <w:rFonts w:ascii="Arial" w:hAnsi="Arial" w:cs="Arial"/>
        </w:rPr>
        <w:t>he</w:t>
      </w:r>
      <w:r w:rsidRPr="007A7AE1">
        <w:rPr>
          <w:rFonts w:ascii="Arial" w:hAnsi="Arial" w:cs="Arial"/>
        </w:rPr>
        <w:t xml:space="preserve"> introduction of multitask picking required employees to prepare two pallets simultaneously</w:t>
      </w:r>
      <w:r w:rsidR="00BD14AF">
        <w:rPr>
          <w:rFonts w:ascii="Arial" w:hAnsi="Arial" w:cs="Arial"/>
        </w:rPr>
        <w:t>, demonstrates how technological and process changes can improve productivity while increasing training requirements.</w:t>
      </w:r>
    </w:p>
    <w:p w14:paraId="54890013" w14:textId="3D48C0A7" w:rsidR="002428FD" w:rsidRPr="007A7AE1" w:rsidRDefault="007F5DC4" w:rsidP="009C2474">
      <w:pPr>
        <w:spacing w:after="240" w:line="360" w:lineRule="auto"/>
        <w:jc w:val="both"/>
        <w:rPr>
          <w:rFonts w:ascii="Arial" w:hAnsi="Arial" w:cs="Arial"/>
        </w:rPr>
      </w:pPr>
      <w:r w:rsidRPr="007A7AE1">
        <w:rPr>
          <w:rFonts w:ascii="Arial" w:hAnsi="Arial" w:cs="Arial"/>
        </w:rPr>
        <w:t xml:space="preserve">According to Armstrong and Taylor (2023), organisations that fail to invest in employee </w:t>
      </w:r>
      <w:r w:rsidR="00AB5B57" w:rsidRPr="007A7AE1">
        <w:rPr>
          <w:rFonts w:ascii="Arial" w:hAnsi="Arial" w:cs="Arial"/>
        </w:rPr>
        <w:t>training during technological change are more likely to experience resistance, reduced productivity and lower employee engagement. Therefore, continuous learning has become essential to organisational success.</w:t>
      </w:r>
    </w:p>
    <w:p w14:paraId="3D5986F5" w14:textId="519B73AE" w:rsidR="007B1E15" w:rsidRPr="007A7AE1" w:rsidRDefault="00C76F1B" w:rsidP="009C2474">
      <w:pPr>
        <w:pStyle w:val="Heading2"/>
        <w:spacing w:after="240" w:line="360" w:lineRule="auto"/>
        <w:rPr>
          <w:rFonts w:ascii="Arial" w:hAnsi="Arial" w:cs="Arial"/>
        </w:rPr>
      </w:pPr>
      <w:bookmarkStart w:id="4" w:name="_Toc235384293"/>
      <w:r w:rsidRPr="007A7AE1">
        <w:rPr>
          <w:rFonts w:ascii="Arial" w:hAnsi="Arial" w:cs="Arial"/>
        </w:rPr>
        <w:t>2.2 Talent Acquisition and Retention</w:t>
      </w:r>
      <w:bookmarkEnd w:id="4"/>
    </w:p>
    <w:p w14:paraId="3E2E7C4C" w14:textId="53B1B52C" w:rsidR="00FE31A7" w:rsidRPr="007A7AE1" w:rsidRDefault="007B1E15" w:rsidP="009C2474">
      <w:pPr>
        <w:spacing w:after="240" w:line="360" w:lineRule="auto"/>
        <w:jc w:val="both"/>
        <w:rPr>
          <w:rFonts w:ascii="Arial" w:hAnsi="Arial" w:cs="Arial"/>
        </w:rPr>
      </w:pPr>
      <w:r w:rsidRPr="007A7AE1">
        <w:rPr>
          <w:rFonts w:ascii="Arial" w:hAnsi="Arial" w:cs="Arial"/>
        </w:rPr>
        <w:t>Recruiting and retaining</w:t>
      </w:r>
      <w:r w:rsidR="00BD14AF">
        <w:rPr>
          <w:rFonts w:ascii="Arial" w:hAnsi="Arial" w:cs="Arial"/>
        </w:rPr>
        <w:t xml:space="preserve"> skilled</w:t>
      </w:r>
      <w:r w:rsidRPr="007A7AE1">
        <w:rPr>
          <w:rFonts w:ascii="Arial" w:hAnsi="Arial" w:cs="Arial"/>
        </w:rPr>
        <w:t xml:space="preserve"> employees remains </w:t>
      </w:r>
      <w:r w:rsidR="00BD14AF">
        <w:rPr>
          <w:rFonts w:ascii="Arial" w:hAnsi="Arial" w:cs="Arial"/>
        </w:rPr>
        <w:t>c</w:t>
      </w:r>
      <w:r w:rsidRPr="007A7AE1">
        <w:rPr>
          <w:rFonts w:ascii="Arial" w:hAnsi="Arial" w:cs="Arial"/>
        </w:rPr>
        <w:t>halleng</w:t>
      </w:r>
      <w:r w:rsidR="00BD14AF">
        <w:rPr>
          <w:rFonts w:ascii="Arial" w:hAnsi="Arial" w:cs="Arial"/>
        </w:rPr>
        <w:t>ing within com</w:t>
      </w:r>
      <w:r w:rsidR="00D625B7">
        <w:rPr>
          <w:rFonts w:ascii="Arial" w:hAnsi="Arial" w:cs="Arial"/>
        </w:rPr>
        <w:t>petitive</w:t>
      </w:r>
      <w:r w:rsidRPr="007A7AE1">
        <w:rPr>
          <w:rFonts w:ascii="Arial" w:hAnsi="Arial" w:cs="Arial"/>
        </w:rPr>
        <w:t xml:space="preserve"> </w:t>
      </w:r>
      <w:r w:rsidR="00D625B7">
        <w:rPr>
          <w:rFonts w:ascii="Arial" w:hAnsi="Arial" w:cs="Arial"/>
        </w:rPr>
        <w:t>labour markets, requiring organisations to combine external talent attraction with internal employee development (Taylor, 2022</w:t>
      </w:r>
      <w:r w:rsidR="002704C4">
        <w:rPr>
          <w:rFonts w:ascii="Arial" w:hAnsi="Arial" w:cs="Arial"/>
        </w:rPr>
        <w:t>; Wood and Bischoff,2020)</w:t>
      </w:r>
      <w:r w:rsidR="00D625B7">
        <w:rPr>
          <w:rFonts w:ascii="Arial" w:hAnsi="Arial" w:cs="Arial"/>
        </w:rPr>
        <w:t>.</w:t>
      </w:r>
    </w:p>
    <w:p w14:paraId="491FBB5A" w14:textId="05D0D2AC" w:rsidR="00124CEE" w:rsidRPr="007A7AE1" w:rsidRDefault="00D625B7" w:rsidP="008D705C">
      <w:pPr>
        <w:spacing w:after="120" w:line="360" w:lineRule="auto"/>
        <w:jc w:val="both"/>
        <w:rPr>
          <w:rFonts w:ascii="Arial" w:hAnsi="Arial" w:cs="Arial"/>
        </w:rPr>
      </w:pPr>
      <w:r>
        <w:rPr>
          <w:rFonts w:ascii="Arial" w:hAnsi="Arial" w:cs="Arial"/>
        </w:rPr>
        <w:t>GXO supports internal recruitment by enabling employee to apply for vacancies across departments. This can increase motivation and allow employee to progress from warehouse roles into office-based or specialist positions.</w:t>
      </w:r>
    </w:p>
    <w:p w14:paraId="3B9451B2" w14:textId="339EE97D" w:rsidR="00124CEE" w:rsidRPr="007A7AE1" w:rsidRDefault="007B1E15" w:rsidP="008D705C">
      <w:pPr>
        <w:spacing w:after="120" w:line="360" w:lineRule="auto"/>
        <w:jc w:val="both"/>
        <w:rPr>
          <w:rFonts w:ascii="Arial" w:hAnsi="Arial" w:cs="Arial"/>
        </w:rPr>
      </w:pPr>
      <w:r w:rsidRPr="007A7AE1">
        <w:rPr>
          <w:rFonts w:ascii="Arial" w:hAnsi="Arial" w:cs="Arial"/>
        </w:rPr>
        <w:t>Employee development also supports retention. GXO University provides professional development programmes that allow employees to improve technical and leadership skills. Leadership programmes prepare future managers, while Team Leaders receive additional training to strengthen management capability and succession planning.</w:t>
      </w:r>
    </w:p>
    <w:p w14:paraId="2E8F93C0" w14:textId="30C728ED" w:rsidR="00193F0F" w:rsidRDefault="007B1E15" w:rsidP="008D705C">
      <w:pPr>
        <w:spacing w:after="120" w:line="360" w:lineRule="auto"/>
        <w:jc w:val="both"/>
        <w:rPr>
          <w:rFonts w:ascii="Arial" w:hAnsi="Arial" w:cs="Arial"/>
        </w:rPr>
      </w:pPr>
      <w:r w:rsidRPr="007A7AE1">
        <w:rPr>
          <w:rFonts w:ascii="Arial" w:hAnsi="Arial" w:cs="Arial"/>
        </w:rPr>
        <w:t>However, internal recruitment alone cannot satisfy workforce demand during peak operational periods. Consequently, GXO also collaborates with external recruitment agencies, providing additional workforce flexibility while maintaining business continuity. Although agency recruitment enables rapid staffing, it may increase induction costs and require additional training before employees achieve expected performance levels (Bratton and Gold, 2022).</w:t>
      </w:r>
    </w:p>
    <w:p w14:paraId="62543E11" w14:textId="29E299C0" w:rsidR="00193F0F" w:rsidRPr="007A7AE1" w:rsidRDefault="00193F0F" w:rsidP="008D705C">
      <w:pPr>
        <w:spacing w:after="120" w:line="360" w:lineRule="auto"/>
        <w:jc w:val="both"/>
        <w:rPr>
          <w:rFonts w:ascii="Arial" w:hAnsi="Arial" w:cs="Arial"/>
        </w:rPr>
      </w:pPr>
      <w:r>
        <w:rPr>
          <w:rFonts w:ascii="Arial" w:hAnsi="Arial" w:cs="Arial"/>
        </w:rPr>
        <w:t xml:space="preserve">The Talent Management Cycle presented in Figure </w:t>
      </w:r>
      <w:r w:rsidR="004F722D">
        <w:rPr>
          <w:rFonts w:ascii="Arial" w:hAnsi="Arial" w:cs="Arial"/>
        </w:rPr>
        <w:t xml:space="preserve">1 </w:t>
      </w:r>
      <w:r>
        <w:rPr>
          <w:rFonts w:ascii="Arial" w:hAnsi="Arial" w:cs="Arial"/>
        </w:rPr>
        <w:t xml:space="preserve">demonstrates that effective talent management extends beyond recruitment and involves the continuous development, progression and retention of employees. This is relevant to GXO because internal </w:t>
      </w:r>
      <w:r w:rsidR="00BD14AF">
        <w:rPr>
          <w:rFonts w:ascii="Arial" w:hAnsi="Arial" w:cs="Arial"/>
        </w:rPr>
        <w:t xml:space="preserve">recruitment </w:t>
      </w:r>
      <w:r w:rsidR="00BD14AF">
        <w:rPr>
          <w:rFonts w:ascii="Arial" w:hAnsi="Arial" w:cs="Arial"/>
        </w:rPr>
        <w:lastRenderedPageBreak/>
        <w:t>and</w:t>
      </w:r>
      <w:r>
        <w:rPr>
          <w:rFonts w:ascii="Arial" w:hAnsi="Arial" w:cs="Arial"/>
        </w:rPr>
        <w:t xml:space="preserve"> GXO </w:t>
      </w:r>
      <w:r w:rsidR="00BD14AF">
        <w:rPr>
          <w:rFonts w:ascii="Arial" w:hAnsi="Arial" w:cs="Arial"/>
        </w:rPr>
        <w:t>University</w:t>
      </w:r>
      <w:r>
        <w:rPr>
          <w:rFonts w:ascii="Arial" w:hAnsi="Arial" w:cs="Arial"/>
        </w:rPr>
        <w:t xml:space="preserve"> can help develop existing employees for future roles while retaining valuable organisational knowledge (Armstrong and Taylor, 2023).</w:t>
      </w:r>
    </w:p>
    <w:p w14:paraId="34945CC5" w14:textId="77777777" w:rsidR="00843656" w:rsidRPr="007A7AE1" w:rsidRDefault="00843656" w:rsidP="007B1E15">
      <w:pPr>
        <w:spacing w:after="0" w:line="360" w:lineRule="auto"/>
        <w:rPr>
          <w:rFonts w:ascii="Arial" w:hAnsi="Arial" w:cs="Arial"/>
        </w:rPr>
      </w:pPr>
    </w:p>
    <w:p w14:paraId="560F78EB" w14:textId="77777777" w:rsidR="008B6CF9" w:rsidRPr="007A7AE1" w:rsidRDefault="008B6CF9" w:rsidP="007B1E15">
      <w:pPr>
        <w:spacing w:after="0" w:line="360" w:lineRule="auto"/>
        <w:rPr>
          <w:rFonts w:ascii="Arial" w:hAnsi="Arial" w:cs="Arial"/>
        </w:rPr>
      </w:pPr>
    </w:p>
    <w:p w14:paraId="5E48B23A" w14:textId="77777777" w:rsidR="008B6CF9" w:rsidRPr="007A7AE1" w:rsidRDefault="008B6CF9" w:rsidP="008B6CF9">
      <w:pPr>
        <w:spacing w:after="0" w:line="360" w:lineRule="auto"/>
        <w:rPr>
          <w:rFonts w:ascii="Arial" w:hAnsi="Arial" w:cs="Arial"/>
          <w:noProof/>
          <w:color w:val="FF0000"/>
        </w:rPr>
      </w:pPr>
      <w:r w:rsidRPr="007A7AE1">
        <w:rPr>
          <w:rFonts w:ascii="Arial" w:hAnsi="Arial" w:cs="Arial"/>
          <w:noProof/>
          <w:color w:val="FF0000"/>
        </w:rPr>
        <w:drawing>
          <wp:inline distT="0" distB="0" distL="0" distR="0" wp14:anchorId="3DC5DDF9" wp14:editId="1F80A8AD">
            <wp:extent cx="5938520" cy="3351179"/>
            <wp:effectExtent l="0" t="0" r="0" b="2095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5EA36DC" w14:textId="77777777" w:rsidR="008B6CF9" w:rsidRDefault="008B6CF9" w:rsidP="008B6CF9">
      <w:pPr>
        <w:spacing w:after="0" w:line="360" w:lineRule="auto"/>
        <w:rPr>
          <w:rFonts w:ascii="Arial" w:hAnsi="Arial" w:cs="Arial"/>
          <w:noProof/>
          <w:color w:val="FF0000"/>
        </w:rPr>
      </w:pPr>
    </w:p>
    <w:p w14:paraId="02F4F423" w14:textId="0A468B08" w:rsidR="008D705C" w:rsidRDefault="008B6CF9" w:rsidP="008D705C">
      <w:pPr>
        <w:spacing w:after="120" w:line="360" w:lineRule="auto"/>
        <w:jc w:val="both"/>
        <w:rPr>
          <w:rFonts w:ascii="Arial" w:hAnsi="Arial" w:cs="Arial"/>
          <w:noProof/>
        </w:rPr>
      </w:pPr>
      <w:r w:rsidRPr="007A7AE1">
        <w:rPr>
          <w:rFonts w:ascii="Arial" w:hAnsi="Arial" w:cs="Arial"/>
          <w:noProof/>
        </w:rPr>
        <w:t xml:space="preserve">Figure </w:t>
      </w:r>
      <w:r w:rsidR="004F722D">
        <w:rPr>
          <w:rFonts w:ascii="Arial" w:hAnsi="Arial" w:cs="Arial"/>
          <w:noProof/>
        </w:rPr>
        <w:t>1</w:t>
      </w:r>
      <w:r w:rsidRPr="007A7AE1">
        <w:rPr>
          <w:rFonts w:ascii="Arial" w:hAnsi="Arial" w:cs="Arial"/>
          <w:noProof/>
        </w:rPr>
        <w:t>. Talent Management Cycle (Adapted from Armstrong and Taylor, 2023)</w:t>
      </w:r>
      <w:r w:rsidR="005078F8" w:rsidRPr="007A7AE1">
        <w:rPr>
          <w:rFonts w:ascii="Arial" w:hAnsi="Arial" w:cs="Arial"/>
          <w:noProof/>
        </w:rPr>
        <w:t>.</w:t>
      </w:r>
    </w:p>
    <w:p w14:paraId="58B61BA1" w14:textId="77777777" w:rsidR="008D705C" w:rsidRDefault="008D705C" w:rsidP="008D705C">
      <w:pPr>
        <w:spacing w:after="120" w:line="360" w:lineRule="auto"/>
        <w:jc w:val="both"/>
        <w:rPr>
          <w:rFonts w:ascii="Arial" w:hAnsi="Arial" w:cs="Arial"/>
          <w:noProof/>
        </w:rPr>
      </w:pPr>
    </w:p>
    <w:p w14:paraId="55349BC5" w14:textId="6D3F41DA" w:rsidR="008B6CF9" w:rsidRPr="008D705C" w:rsidRDefault="008926C6" w:rsidP="008D705C">
      <w:pPr>
        <w:spacing w:after="120" w:line="360" w:lineRule="auto"/>
        <w:jc w:val="both"/>
        <w:rPr>
          <w:rFonts w:ascii="Arial" w:hAnsi="Arial" w:cs="Arial"/>
        </w:rPr>
      </w:pPr>
      <w:r>
        <w:rPr>
          <w:rFonts w:ascii="Arial" w:hAnsi="Arial" w:cs="Arial"/>
          <w:noProof/>
        </w:rPr>
        <w:t>As i</w:t>
      </w:r>
      <w:r w:rsidR="00EC4D1E">
        <w:rPr>
          <w:rFonts w:ascii="Arial" w:hAnsi="Arial" w:cs="Arial"/>
          <w:noProof/>
        </w:rPr>
        <w:t>l</w:t>
      </w:r>
      <w:r>
        <w:rPr>
          <w:rFonts w:ascii="Arial" w:hAnsi="Arial" w:cs="Arial"/>
          <w:noProof/>
        </w:rPr>
        <w:t xml:space="preserve">lustrated in Figure </w:t>
      </w:r>
      <w:r w:rsidR="004F722D">
        <w:rPr>
          <w:rFonts w:ascii="Arial" w:hAnsi="Arial" w:cs="Arial"/>
          <w:noProof/>
        </w:rPr>
        <w:t>1</w:t>
      </w:r>
      <w:r>
        <w:rPr>
          <w:rFonts w:ascii="Arial" w:hAnsi="Arial" w:cs="Arial"/>
          <w:noProof/>
        </w:rPr>
        <w:t>, developing inter</w:t>
      </w:r>
      <w:r w:rsidR="00EC4D1E">
        <w:rPr>
          <w:rFonts w:ascii="Arial" w:hAnsi="Arial" w:cs="Arial"/>
          <w:noProof/>
        </w:rPr>
        <w:t>nal</w:t>
      </w:r>
      <w:r>
        <w:rPr>
          <w:rFonts w:ascii="Arial" w:hAnsi="Arial" w:cs="Arial"/>
          <w:noProof/>
        </w:rPr>
        <w:t xml:space="preserve"> talent can reduce dependence on exter</w:t>
      </w:r>
      <w:r w:rsidR="00EC4D1E">
        <w:rPr>
          <w:rFonts w:ascii="Arial" w:hAnsi="Arial" w:cs="Arial"/>
          <w:noProof/>
        </w:rPr>
        <w:t>nal</w:t>
      </w:r>
      <w:r>
        <w:rPr>
          <w:rFonts w:ascii="Arial" w:hAnsi="Arial" w:cs="Arial"/>
          <w:noProof/>
        </w:rPr>
        <w:t xml:space="preserve"> recruitment. However, i</w:t>
      </w:r>
      <w:r w:rsidR="006044E5">
        <w:rPr>
          <w:rFonts w:ascii="Arial" w:hAnsi="Arial" w:cs="Arial"/>
          <w:noProof/>
        </w:rPr>
        <w:t>t</w:t>
      </w:r>
      <w:r>
        <w:rPr>
          <w:rFonts w:ascii="Arial" w:hAnsi="Arial" w:cs="Arial"/>
          <w:noProof/>
        </w:rPr>
        <w:t>s effectiveness depends on employees having equal access to development opportunities and managers actively supporting career progression.</w:t>
      </w:r>
    </w:p>
    <w:p w14:paraId="6B3A5C38" w14:textId="6EBDD714" w:rsidR="008926C6" w:rsidRPr="008926C6" w:rsidRDefault="008926C6" w:rsidP="008D705C">
      <w:pPr>
        <w:spacing w:after="120" w:line="360" w:lineRule="auto"/>
        <w:jc w:val="both"/>
        <w:rPr>
          <w:rFonts w:ascii="Arial" w:hAnsi="Arial" w:cs="Arial"/>
        </w:rPr>
      </w:pPr>
      <w:r>
        <w:rPr>
          <w:rFonts w:ascii="Arial" w:hAnsi="Arial" w:cs="Arial"/>
        </w:rPr>
        <w:t>A practical example of internal talent development at GXO is presented in Figure</w:t>
      </w:r>
      <w:r w:rsidR="006044E5">
        <w:rPr>
          <w:rFonts w:ascii="Arial" w:hAnsi="Arial" w:cs="Arial"/>
        </w:rPr>
        <w:t xml:space="preserve"> </w:t>
      </w:r>
      <w:r w:rsidR="00355BC1">
        <w:rPr>
          <w:rFonts w:ascii="Arial" w:hAnsi="Arial" w:cs="Arial"/>
        </w:rPr>
        <w:t>2</w:t>
      </w:r>
      <w:r>
        <w:rPr>
          <w:rFonts w:ascii="Arial" w:hAnsi="Arial" w:cs="Arial"/>
        </w:rPr>
        <w:t>. It demonstrates how an employee may develop operational knowledge and transferable skills before progressing through internal recruitment into administrative, specialist or future leadership roles.</w:t>
      </w:r>
    </w:p>
    <w:p w14:paraId="42577C87" w14:textId="39623FBB" w:rsidR="007F7568" w:rsidRPr="007A7AE1" w:rsidRDefault="008B6CF9" w:rsidP="007B1E15">
      <w:pPr>
        <w:spacing w:after="0" w:line="360" w:lineRule="auto"/>
        <w:rPr>
          <w:rFonts w:ascii="Arial" w:hAnsi="Arial" w:cs="Arial"/>
          <w:color w:val="FF0000"/>
        </w:rPr>
      </w:pPr>
      <w:r w:rsidRPr="007A7AE1">
        <w:rPr>
          <w:rFonts w:ascii="Arial" w:hAnsi="Arial" w:cs="Arial"/>
          <w:noProof/>
          <w:color w:val="FF0000"/>
        </w:rPr>
        <w:lastRenderedPageBreak/>
        <w:drawing>
          <wp:inline distT="0" distB="0" distL="0" distR="0" wp14:anchorId="241D1A61" wp14:editId="11577EBB">
            <wp:extent cx="6202680" cy="4049486"/>
            <wp:effectExtent l="0" t="0" r="26670" b="27305"/>
            <wp:docPr id="114917121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4743E5F7" w14:textId="2CB0CF9C" w:rsidR="008926C6" w:rsidRDefault="007F7568" w:rsidP="008D705C">
      <w:pPr>
        <w:spacing w:after="120" w:line="360" w:lineRule="auto"/>
        <w:jc w:val="both"/>
        <w:rPr>
          <w:rFonts w:ascii="Arial" w:hAnsi="Arial" w:cs="Arial"/>
        </w:rPr>
      </w:pPr>
      <w:r w:rsidRPr="007A7AE1">
        <w:rPr>
          <w:rFonts w:ascii="Arial" w:hAnsi="Arial" w:cs="Arial"/>
        </w:rPr>
        <w:t xml:space="preserve">Figure </w:t>
      </w:r>
      <w:r w:rsidR="004F722D">
        <w:rPr>
          <w:rFonts w:ascii="Arial" w:hAnsi="Arial" w:cs="Arial"/>
        </w:rPr>
        <w:t>2</w:t>
      </w:r>
      <w:r w:rsidR="00A2402F" w:rsidRPr="007A7AE1">
        <w:rPr>
          <w:rFonts w:ascii="Arial" w:hAnsi="Arial" w:cs="Arial"/>
        </w:rPr>
        <w:t>.</w:t>
      </w:r>
      <w:r w:rsidR="006044E5">
        <w:rPr>
          <w:rFonts w:ascii="Arial" w:hAnsi="Arial" w:cs="Arial"/>
        </w:rPr>
        <w:t xml:space="preserve"> </w:t>
      </w:r>
      <w:r w:rsidRPr="007A7AE1">
        <w:rPr>
          <w:rFonts w:ascii="Arial" w:hAnsi="Arial" w:cs="Arial"/>
        </w:rPr>
        <w:t>Internal Career Development</w:t>
      </w:r>
      <w:r w:rsidR="00A2402F" w:rsidRPr="007A7AE1">
        <w:rPr>
          <w:rFonts w:ascii="Arial" w:hAnsi="Arial" w:cs="Arial"/>
        </w:rPr>
        <w:t xml:space="preserve"> </w:t>
      </w:r>
      <w:r w:rsidRPr="007A7AE1">
        <w:rPr>
          <w:rFonts w:ascii="Arial" w:hAnsi="Arial" w:cs="Arial"/>
        </w:rPr>
        <w:t>within GXO Logistics (Author’s own illustration</w:t>
      </w:r>
      <w:r w:rsidR="00A2402F" w:rsidRPr="007A7AE1">
        <w:rPr>
          <w:rFonts w:ascii="Arial" w:hAnsi="Arial" w:cs="Arial"/>
        </w:rPr>
        <w:t>)</w:t>
      </w:r>
    </w:p>
    <w:p w14:paraId="688B0C42" w14:textId="77777777" w:rsidR="008D705C" w:rsidRDefault="008D705C" w:rsidP="008D705C">
      <w:pPr>
        <w:spacing w:after="120" w:line="360" w:lineRule="auto"/>
        <w:jc w:val="both"/>
        <w:rPr>
          <w:rFonts w:ascii="Arial" w:hAnsi="Arial" w:cs="Arial"/>
        </w:rPr>
      </w:pPr>
    </w:p>
    <w:p w14:paraId="0079C09B" w14:textId="0933B72A" w:rsidR="00AB5B57" w:rsidRPr="007A7AE1" w:rsidRDefault="008926C6" w:rsidP="009C2474">
      <w:pPr>
        <w:spacing w:after="240" w:line="360" w:lineRule="auto"/>
        <w:jc w:val="both"/>
        <w:rPr>
          <w:rFonts w:ascii="Arial" w:hAnsi="Arial" w:cs="Arial"/>
        </w:rPr>
      </w:pPr>
      <w:r>
        <w:rPr>
          <w:rFonts w:ascii="Arial" w:hAnsi="Arial" w:cs="Arial"/>
        </w:rPr>
        <w:t>This pathway demonstrates the potential value of internal recruitment in retaining organisational knowledge and motivating employees. However, individua</w:t>
      </w:r>
      <w:r w:rsidR="006044E5">
        <w:rPr>
          <w:rFonts w:ascii="Arial" w:hAnsi="Arial" w:cs="Arial"/>
        </w:rPr>
        <w:t>l</w:t>
      </w:r>
      <w:r>
        <w:rPr>
          <w:rFonts w:ascii="Arial" w:hAnsi="Arial" w:cs="Arial"/>
        </w:rPr>
        <w:t xml:space="preserve"> career pathways may differ depending on available vacancies, employee performance and development opportunities.</w:t>
      </w:r>
    </w:p>
    <w:p w14:paraId="74B45AFD" w14:textId="3AA6DC4E" w:rsidR="007B1E15" w:rsidRDefault="00C76F1B" w:rsidP="009C2474">
      <w:pPr>
        <w:pStyle w:val="Heading2"/>
        <w:spacing w:after="240" w:line="360" w:lineRule="auto"/>
        <w:rPr>
          <w:rFonts w:ascii="Arial" w:hAnsi="Arial" w:cs="Arial"/>
        </w:rPr>
      </w:pPr>
      <w:bookmarkStart w:id="5" w:name="_Toc235384294"/>
      <w:r w:rsidRPr="007A7AE1">
        <w:rPr>
          <w:rFonts w:ascii="Arial" w:hAnsi="Arial" w:cs="Arial"/>
        </w:rPr>
        <w:t>2.3 Diversity, Equity and Inclusion (DEI)</w:t>
      </w:r>
      <w:bookmarkEnd w:id="5"/>
    </w:p>
    <w:p w14:paraId="5A06A583" w14:textId="198D14F4" w:rsidR="006044E5" w:rsidRDefault="00D625B7" w:rsidP="009C2474">
      <w:pPr>
        <w:spacing w:after="240" w:line="360" w:lineRule="auto"/>
        <w:jc w:val="both"/>
        <w:rPr>
          <w:rFonts w:ascii="Arial" w:hAnsi="Arial" w:cs="Arial"/>
        </w:rPr>
      </w:pPr>
      <w:r>
        <w:rPr>
          <w:rFonts w:ascii="Arial" w:hAnsi="Arial" w:cs="Arial"/>
        </w:rPr>
        <w:t>Diversity refers</w:t>
      </w:r>
      <w:r w:rsidR="006044E5">
        <w:rPr>
          <w:rFonts w:ascii="Arial" w:hAnsi="Arial" w:cs="Arial"/>
        </w:rPr>
        <w:t xml:space="preserve"> to differences between</w:t>
      </w:r>
      <w:r w:rsidR="00710160">
        <w:rPr>
          <w:rFonts w:ascii="Arial" w:hAnsi="Arial" w:cs="Arial"/>
        </w:rPr>
        <w:t xml:space="preserve"> employees, equity focuses on fair access to opportunities and resources, while inclusion involves creating a workplace where individuals feel respected, valued and able to contribute fully (CIPD, 2023).</w:t>
      </w:r>
    </w:p>
    <w:p w14:paraId="1F6BD619" w14:textId="5ED832E8" w:rsidR="00124CEE" w:rsidRPr="007A7AE1" w:rsidRDefault="00212435" w:rsidP="008D705C">
      <w:pPr>
        <w:spacing w:after="120" w:line="360" w:lineRule="auto"/>
        <w:jc w:val="both"/>
        <w:rPr>
          <w:rFonts w:ascii="Arial" w:hAnsi="Arial" w:cs="Arial"/>
        </w:rPr>
      </w:pPr>
      <w:r w:rsidRPr="007A7AE1">
        <w:rPr>
          <w:rFonts w:ascii="Arial" w:hAnsi="Arial" w:cs="Arial"/>
        </w:rPr>
        <w:t>Diversity, Equity and Inclusion (DEI) has become an essential component of strategic HRM because inclusive organisations generally demonstrate higher employee engagement, innovation and organisational performance (Beardwell and Thompson, 2023).</w:t>
      </w:r>
    </w:p>
    <w:p w14:paraId="579622BE" w14:textId="68FB6678" w:rsidR="00124CEE" w:rsidRPr="007A7AE1" w:rsidRDefault="00212435" w:rsidP="008D705C">
      <w:pPr>
        <w:spacing w:after="120" w:line="360" w:lineRule="auto"/>
        <w:jc w:val="both"/>
        <w:rPr>
          <w:rFonts w:ascii="Arial" w:hAnsi="Arial" w:cs="Arial"/>
        </w:rPr>
      </w:pPr>
      <w:r w:rsidRPr="007A7AE1">
        <w:rPr>
          <w:rFonts w:ascii="Arial" w:hAnsi="Arial" w:cs="Arial"/>
        </w:rPr>
        <w:t xml:space="preserve">Within GXO, equal opportunities can be observed through transparent internal recruitment and equal access to development programmes such as GXO University. Employees are encouraged to apply for new positions based on competence and performance rather than </w:t>
      </w:r>
      <w:r w:rsidRPr="007A7AE1">
        <w:rPr>
          <w:rFonts w:ascii="Arial" w:hAnsi="Arial" w:cs="Arial"/>
        </w:rPr>
        <w:lastRenderedPageBreak/>
        <w:t>their current role. Such practices strengthen employee engagement by demonstrating that career progression is achievable for all employees.</w:t>
      </w:r>
    </w:p>
    <w:p w14:paraId="55BA34CF" w14:textId="77777777" w:rsidR="00391EA5" w:rsidRDefault="00212435" w:rsidP="008D705C">
      <w:pPr>
        <w:spacing w:after="120" w:line="360" w:lineRule="auto"/>
        <w:jc w:val="both"/>
        <w:rPr>
          <w:rFonts w:ascii="Arial" w:hAnsi="Arial" w:cs="Arial"/>
        </w:rPr>
      </w:pPr>
      <w:r w:rsidRPr="007A7AE1">
        <w:rPr>
          <w:rFonts w:ascii="Arial" w:hAnsi="Arial" w:cs="Arial"/>
        </w:rPr>
        <w:t xml:space="preserve">Nevertheless, maintaining an inclusive culture requires continuous managerial commitment. </w:t>
      </w:r>
    </w:p>
    <w:p w14:paraId="2771CE6B" w14:textId="2F0D7BE6" w:rsidR="00A531E1" w:rsidRDefault="00212435" w:rsidP="008D705C">
      <w:pPr>
        <w:spacing w:after="120" w:line="360" w:lineRule="auto"/>
        <w:jc w:val="both"/>
        <w:rPr>
          <w:rFonts w:ascii="Arial" w:hAnsi="Arial" w:cs="Arial"/>
        </w:rPr>
      </w:pPr>
      <w:r w:rsidRPr="007A7AE1">
        <w:rPr>
          <w:rFonts w:ascii="Arial" w:hAnsi="Arial" w:cs="Arial"/>
        </w:rPr>
        <w:t>Managers must ensure recruitment, promotion and performance management decisions remain objective through structured interviews, competency-based assessment and consistent selection criteria (CIPD, 2023</w:t>
      </w:r>
      <w:r w:rsidR="00391EA5">
        <w:rPr>
          <w:rFonts w:ascii="Arial" w:hAnsi="Arial" w:cs="Arial"/>
        </w:rPr>
        <w:t>; CIPD, 2024a</w:t>
      </w:r>
      <w:r w:rsidRPr="007A7AE1">
        <w:rPr>
          <w:rFonts w:ascii="Arial" w:hAnsi="Arial" w:cs="Arial"/>
        </w:rPr>
        <w:t>). Regular equality training also helps reduce unconscious bias while strengthening organisational culture.</w:t>
      </w:r>
    </w:p>
    <w:p w14:paraId="5FDA8494" w14:textId="34FDD88C" w:rsidR="004F722D" w:rsidRPr="007A7AE1" w:rsidRDefault="004F722D" w:rsidP="008D705C">
      <w:pPr>
        <w:spacing w:after="120" w:line="360" w:lineRule="auto"/>
        <w:jc w:val="both"/>
        <w:rPr>
          <w:rFonts w:ascii="Arial" w:hAnsi="Arial" w:cs="Arial"/>
        </w:rPr>
      </w:pPr>
      <w:r w:rsidRPr="004F722D">
        <w:rPr>
          <w:rFonts w:ascii="Arial" w:hAnsi="Arial" w:cs="Arial"/>
        </w:rPr>
        <w:t xml:space="preserve">Table 1 </w:t>
      </w:r>
      <w:r>
        <w:rPr>
          <w:rFonts w:ascii="Arial" w:hAnsi="Arial" w:cs="Arial"/>
        </w:rPr>
        <w:t>summarises how the key contemporary HR challenges identified in this report can be addressed through appropriate HR practices within GXO. It demonstrates the relationship between HR interventions and expected organisational outcomes.</w:t>
      </w:r>
    </w:p>
    <w:p w14:paraId="0E30917C" w14:textId="77777777" w:rsidR="00A2402F" w:rsidRPr="007A7AE1" w:rsidRDefault="00A2402F" w:rsidP="00212435">
      <w:pPr>
        <w:spacing w:after="0" w:line="360" w:lineRule="auto"/>
        <w:rPr>
          <w:rFonts w:ascii="Arial" w:hAnsi="Arial" w:cs="Arial"/>
          <w:color w:val="FF0000"/>
        </w:rPr>
      </w:pPr>
    </w:p>
    <w:tbl>
      <w:tblPr>
        <w:tblStyle w:val="ListTable3-Accent1"/>
        <w:tblW w:w="9588" w:type="dxa"/>
        <w:tblLook w:val="04A0" w:firstRow="1" w:lastRow="0" w:firstColumn="1" w:lastColumn="0" w:noHBand="0" w:noVBand="1"/>
      </w:tblPr>
      <w:tblGrid>
        <w:gridCol w:w="2122"/>
        <w:gridCol w:w="2268"/>
        <w:gridCol w:w="2801"/>
        <w:gridCol w:w="2397"/>
      </w:tblGrid>
      <w:tr w:rsidR="00A2402F" w:rsidRPr="007A7AE1" w14:paraId="44BDC883" w14:textId="77777777" w:rsidTr="00EC4463">
        <w:trPr>
          <w:cnfStyle w:val="100000000000" w:firstRow="1" w:lastRow="0" w:firstColumn="0" w:lastColumn="0" w:oddVBand="0" w:evenVBand="0" w:oddHBand="0" w:evenHBand="0" w:firstRowFirstColumn="0" w:firstRowLastColumn="0" w:lastRowFirstColumn="0" w:lastRowLastColumn="0"/>
          <w:trHeight w:val="595"/>
        </w:trPr>
        <w:tc>
          <w:tcPr>
            <w:cnfStyle w:val="001000000100" w:firstRow="0" w:lastRow="0" w:firstColumn="1" w:lastColumn="0" w:oddVBand="0" w:evenVBand="0" w:oddHBand="0" w:evenHBand="0" w:firstRowFirstColumn="1" w:firstRowLastColumn="0" w:lastRowFirstColumn="0" w:lastRowLastColumn="0"/>
            <w:tcW w:w="2122" w:type="dxa"/>
            <w:tcBorders>
              <w:bottom w:val="single" w:sz="4" w:space="0" w:color="auto"/>
            </w:tcBorders>
          </w:tcPr>
          <w:p w14:paraId="61299045" w14:textId="77777777" w:rsidR="005B7610" w:rsidRDefault="005B7610" w:rsidP="005B7610">
            <w:pPr>
              <w:spacing w:line="360" w:lineRule="auto"/>
              <w:jc w:val="center"/>
              <w:rPr>
                <w:rFonts w:ascii="Arial" w:hAnsi="Arial" w:cs="Arial"/>
                <w:b w:val="0"/>
                <w:bCs w:val="0"/>
              </w:rPr>
            </w:pPr>
          </w:p>
          <w:p w14:paraId="50208E40" w14:textId="77777777" w:rsidR="00A2402F" w:rsidRDefault="00A2402F" w:rsidP="005B7610">
            <w:pPr>
              <w:spacing w:line="360" w:lineRule="auto"/>
              <w:jc w:val="center"/>
              <w:rPr>
                <w:rFonts w:ascii="Arial" w:hAnsi="Arial" w:cs="Arial"/>
                <w:b w:val="0"/>
                <w:bCs w:val="0"/>
              </w:rPr>
            </w:pPr>
            <w:r w:rsidRPr="007A7AE1">
              <w:rPr>
                <w:rFonts w:ascii="Arial" w:hAnsi="Arial" w:cs="Arial"/>
              </w:rPr>
              <w:t>HR Challenge</w:t>
            </w:r>
          </w:p>
          <w:p w14:paraId="0BE14DD6" w14:textId="07CD119E" w:rsidR="005B7610" w:rsidRPr="007A7AE1" w:rsidRDefault="005B7610" w:rsidP="005B7610">
            <w:pPr>
              <w:spacing w:line="360" w:lineRule="auto"/>
              <w:jc w:val="center"/>
              <w:rPr>
                <w:rFonts w:ascii="Arial" w:hAnsi="Arial" w:cs="Arial"/>
              </w:rPr>
            </w:pPr>
          </w:p>
        </w:tc>
        <w:tc>
          <w:tcPr>
            <w:tcW w:w="2268" w:type="dxa"/>
            <w:tcBorders>
              <w:bottom w:val="single" w:sz="4" w:space="0" w:color="auto"/>
            </w:tcBorders>
          </w:tcPr>
          <w:p w14:paraId="2B712E62" w14:textId="77777777" w:rsidR="005B7610" w:rsidRDefault="005B7610" w:rsidP="005B7610">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p>
          <w:p w14:paraId="5D73B30D" w14:textId="0BFE0778" w:rsidR="00A2402F" w:rsidRPr="007A7AE1" w:rsidRDefault="00A2402F" w:rsidP="005B7610">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7A7AE1">
              <w:rPr>
                <w:rFonts w:ascii="Arial" w:hAnsi="Arial" w:cs="Arial"/>
              </w:rPr>
              <w:t>HR Practice</w:t>
            </w:r>
          </w:p>
        </w:tc>
        <w:tc>
          <w:tcPr>
            <w:tcW w:w="2801" w:type="dxa"/>
            <w:tcBorders>
              <w:bottom w:val="single" w:sz="4" w:space="0" w:color="auto"/>
            </w:tcBorders>
          </w:tcPr>
          <w:p w14:paraId="041FE811" w14:textId="77777777" w:rsidR="005B7610" w:rsidRDefault="005B7610" w:rsidP="005B7610">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p>
          <w:p w14:paraId="3AA8EF49" w14:textId="300D2A63" w:rsidR="00A2402F" w:rsidRPr="007A7AE1" w:rsidRDefault="00A2402F" w:rsidP="005B7610">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7A7AE1">
              <w:rPr>
                <w:rFonts w:ascii="Arial" w:hAnsi="Arial" w:cs="Arial"/>
              </w:rPr>
              <w:t>GXO Example</w:t>
            </w:r>
          </w:p>
        </w:tc>
        <w:tc>
          <w:tcPr>
            <w:tcW w:w="2397" w:type="dxa"/>
            <w:tcBorders>
              <w:bottom w:val="single" w:sz="4" w:space="0" w:color="auto"/>
            </w:tcBorders>
          </w:tcPr>
          <w:p w14:paraId="175EB7D5" w14:textId="77777777" w:rsidR="005B7610" w:rsidRDefault="005B7610" w:rsidP="005B7610">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p>
          <w:p w14:paraId="7DF09D21" w14:textId="57168E52" w:rsidR="00A2402F" w:rsidRPr="007A7AE1" w:rsidRDefault="00A2402F" w:rsidP="005B7610">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7A7AE1">
              <w:rPr>
                <w:rFonts w:ascii="Arial" w:hAnsi="Arial" w:cs="Arial"/>
              </w:rPr>
              <w:t>Expected Outcome</w:t>
            </w:r>
          </w:p>
        </w:tc>
      </w:tr>
      <w:tr w:rsidR="00A2402F" w:rsidRPr="007A7AE1" w14:paraId="321D6A0C" w14:textId="77777777" w:rsidTr="00EC4463">
        <w:trPr>
          <w:cnfStyle w:val="000000100000" w:firstRow="0" w:lastRow="0" w:firstColumn="0" w:lastColumn="0" w:oddVBand="0" w:evenVBand="0" w:oddHBand="1" w:evenHBand="0" w:firstRowFirstColumn="0" w:firstRowLastColumn="0" w:lastRowFirstColumn="0" w:lastRowLastColumn="0"/>
          <w:trHeight w:val="1411"/>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auto"/>
              <w:left w:val="single" w:sz="4" w:space="0" w:color="auto"/>
              <w:bottom w:val="single" w:sz="4" w:space="0" w:color="auto"/>
              <w:right w:val="single" w:sz="4" w:space="0" w:color="auto"/>
            </w:tcBorders>
          </w:tcPr>
          <w:p w14:paraId="3FC21DA9" w14:textId="27BF2A44" w:rsidR="00A2402F" w:rsidRPr="007A7AE1" w:rsidRDefault="00A2402F" w:rsidP="00212435">
            <w:pPr>
              <w:spacing w:line="360" w:lineRule="auto"/>
              <w:rPr>
                <w:rFonts w:ascii="Arial" w:hAnsi="Arial" w:cs="Arial"/>
              </w:rPr>
            </w:pPr>
            <w:r w:rsidRPr="007A7AE1">
              <w:rPr>
                <w:rFonts w:ascii="Arial" w:hAnsi="Arial" w:cs="Arial"/>
              </w:rPr>
              <w:t>Adapting to Technological Advancement.</w:t>
            </w:r>
          </w:p>
        </w:tc>
        <w:tc>
          <w:tcPr>
            <w:tcW w:w="2268" w:type="dxa"/>
            <w:tcBorders>
              <w:top w:val="single" w:sz="4" w:space="0" w:color="auto"/>
              <w:left w:val="single" w:sz="4" w:space="0" w:color="auto"/>
              <w:bottom w:val="single" w:sz="4" w:space="0" w:color="auto"/>
              <w:right w:val="single" w:sz="4" w:space="0" w:color="auto"/>
            </w:tcBorders>
          </w:tcPr>
          <w:p w14:paraId="14F8AE98" w14:textId="3EC78336" w:rsidR="00A2402F" w:rsidRPr="007A7AE1" w:rsidRDefault="00A2402F" w:rsidP="0021243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7A7AE1">
              <w:rPr>
                <w:rFonts w:ascii="Arial" w:hAnsi="Arial" w:cs="Arial"/>
              </w:rPr>
              <w:t>Digital Training and Upskilling.</w:t>
            </w:r>
          </w:p>
        </w:tc>
        <w:tc>
          <w:tcPr>
            <w:tcW w:w="2801" w:type="dxa"/>
            <w:tcBorders>
              <w:top w:val="single" w:sz="4" w:space="0" w:color="auto"/>
              <w:left w:val="single" w:sz="4" w:space="0" w:color="auto"/>
              <w:bottom w:val="single" w:sz="4" w:space="0" w:color="auto"/>
              <w:right w:val="single" w:sz="4" w:space="0" w:color="auto"/>
            </w:tcBorders>
          </w:tcPr>
          <w:p w14:paraId="234EBAA9" w14:textId="4F59B026" w:rsidR="00A2402F" w:rsidRPr="007A7AE1" w:rsidRDefault="00A2402F" w:rsidP="0021243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roofErr w:type="spellStart"/>
            <w:r w:rsidRPr="007A7AE1">
              <w:rPr>
                <w:rFonts w:ascii="Arial" w:hAnsi="Arial" w:cs="Arial"/>
              </w:rPr>
              <w:t>RedPrairie</w:t>
            </w:r>
            <w:proofErr w:type="spellEnd"/>
            <w:r w:rsidRPr="007A7AE1">
              <w:rPr>
                <w:rFonts w:ascii="Arial" w:hAnsi="Arial" w:cs="Arial"/>
              </w:rPr>
              <w:t>, C3 Transport system, Track and Trace.</w:t>
            </w:r>
          </w:p>
        </w:tc>
        <w:tc>
          <w:tcPr>
            <w:tcW w:w="2397" w:type="dxa"/>
            <w:tcBorders>
              <w:top w:val="single" w:sz="4" w:space="0" w:color="auto"/>
              <w:left w:val="single" w:sz="4" w:space="0" w:color="auto"/>
              <w:bottom w:val="single" w:sz="4" w:space="0" w:color="auto"/>
              <w:right w:val="single" w:sz="4" w:space="0" w:color="auto"/>
            </w:tcBorders>
          </w:tcPr>
          <w:p w14:paraId="1E5BBD23" w14:textId="3361F0A5" w:rsidR="00A2402F" w:rsidRPr="007A7AE1" w:rsidRDefault="00A2402F" w:rsidP="0021243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7A7AE1">
              <w:rPr>
                <w:rFonts w:ascii="Arial" w:hAnsi="Arial" w:cs="Arial"/>
              </w:rPr>
              <w:t>Higher productivity, accuracy and operational efficiency.</w:t>
            </w:r>
          </w:p>
        </w:tc>
      </w:tr>
      <w:tr w:rsidR="00A2402F" w:rsidRPr="007A7AE1" w14:paraId="04CB86D3" w14:textId="77777777" w:rsidTr="00EC4463">
        <w:trPr>
          <w:trHeight w:val="395"/>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auto"/>
              <w:left w:val="single" w:sz="4" w:space="0" w:color="auto"/>
              <w:bottom w:val="single" w:sz="4" w:space="0" w:color="auto"/>
              <w:right w:val="single" w:sz="4" w:space="0" w:color="auto"/>
            </w:tcBorders>
          </w:tcPr>
          <w:p w14:paraId="2D7A1219" w14:textId="20104C66" w:rsidR="00A2402F" w:rsidRPr="007A7AE1" w:rsidRDefault="00212F8E" w:rsidP="00212435">
            <w:pPr>
              <w:spacing w:line="360" w:lineRule="auto"/>
              <w:rPr>
                <w:rFonts w:ascii="Arial" w:hAnsi="Arial" w:cs="Arial"/>
              </w:rPr>
            </w:pPr>
            <w:r w:rsidRPr="007A7AE1">
              <w:rPr>
                <w:rFonts w:ascii="Arial" w:hAnsi="Arial" w:cs="Arial"/>
              </w:rPr>
              <w:t>Talent Acquisition and Retention.</w:t>
            </w:r>
          </w:p>
        </w:tc>
        <w:tc>
          <w:tcPr>
            <w:tcW w:w="2268" w:type="dxa"/>
            <w:tcBorders>
              <w:top w:val="single" w:sz="4" w:space="0" w:color="auto"/>
              <w:left w:val="single" w:sz="4" w:space="0" w:color="auto"/>
              <w:bottom w:val="single" w:sz="4" w:space="0" w:color="auto"/>
              <w:right w:val="single" w:sz="4" w:space="0" w:color="auto"/>
            </w:tcBorders>
          </w:tcPr>
          <w:p w14:paraId="3F15045A" w14:textId="6DA2F7FB" w:rsidR="00A2402F" w:rsidRPr="007A7AE1" w:rsidRDefault="00212F8E" w:rsidP="0021243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7A7AE1">
              <w:rPr>
                <w:rFonts w:ascii="Arial" w:hAnsi="Arial" w:cs="Arial"/>
              </w:rPr>
              <w:t>Internal Recruitment,</w:t>
            </w:r>
          </w:p>
        </w:tc>
        <w:tc>
          <w:tcPr>
            <w:tcW w:w="2801" w:type="dxa"/>
            <w:tcBorders>
              <w:top w:val="single" w:sz="4" w:space="0" w:color="auto"/>
              <w:left w:val="single" w:sz="4" w:space="0" w:color="auto"/>
              <w:bottom w:val="single" w:sz="4" w:space="0" w:color="auto"/>
              <w:right w:val="single" w:sz="4" w:space="0" w:color="auto"/>
            </w:tcBorders>
          </w:tcPr>
          <w:p w14:paraId="2454BE2C" w14:textId="7850FD6A" w:rsidR="00A2402F" w:rsidRPr="007A7AE1" w:rsidRDefault="00212F8E" w:rsidP="0021243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7A7AE1">
              <w:rPr>
                <w:rFonts w:ascii="Arial" w:hAnsi="Arial" w:cs="Arial"/>
              </w:rPr>
              <w:t>Employees progressing to Dispatch, Office Administration, Health and Safety.</w:t>
            </w:r>
          </w:p>
        </w:tc>
        <w:tc>
          <w:tcPr>
            <w:tcW w:w="2397" w:type="dxa"/>
            <w:tcBorders>
              <w:top w:val="single" w:sz="4" w:space="0" w:color="auto"/>
              <w:left w:val="single" w:sz="4" w:space="0" w:color="auto"/>
              <w:bottom w:val="single" w:sz="4" w:space="0" w:color="auto"/>
              <w:right w:val="single" w:sz="4" w:space="0" w:color="auto"/>
            </w:tcBorders>
          </w:tcPr>
          <w:p w14:paraId="621070C7" w14:textId="2F70BC0D" w:rsidR="00A2402F" w:rsidRPr="007A7AE1" w:rsidRDefault="00212F8E" w:rsidP="0021243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7A7AE1">
              <w:rPr>
                <w:rFonts w:ascii="Arial" w:hAnsi="Arial" w:cs="Arial"/>
              </w:rPr>
              <w:t>Better retention, motivation and organisational knowledge.</w:t>
            </w:r>
          </w:p>
        </w:tc>
      </w:tr>
      <w:tr w:rsidR="00A2402F" w:rsidRPr="007A7AE1" w14:paraId="42BEC721" w14:textId="77777777" w:rsidTr="00EC4463">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auto"/>
              <w:left w:val="single" w:sz="4" w:space="0" w:color="auto"/>
              <w:bottom w:val="single" w:sz="4" w:space="0" w:color="auto"/>
              <w:right w:val="single" w:sz="4" w:space="0" w:color="auto"/>
            </w:tcBorders>
          </w:tcPr>
          <w:p w14:paraId="0EFFF7AA" w14:textId="30270ED9" w:rsidR="00A2402F" w:rsidRPr="007A7AE1" w:rsidRDefault="00212F8E" w:rsidP="00212435">
            <w:pPr>
              <w:spacing w:line="360" w:lineRule="auto"/>
              <w:rPr>
                <w:rFonts w:ascii="Arial" w:hAnsi="Arial" w:cs="Arial"/>
              </w:rPr>
            </w:pPr>
            <w:r w:rsidRPr="007A7AE1">
              <w:rPr>
                <w:rFonts w:ascii="Arial" w:hAnsi="Arial" w:cs="Arial"/>
              </w:rPr>
              <w:t>Talent Development and Growth.</w:t>
            </w:r>
          </w:p>
        </w:tc>
        <w:tc>
          <w:tcPr>
            <w:tcW w:w="2268" w:type="dxa"/>
            <w:tcBorders>
              <w:top w:val="single" w:sz="4" w:space="0" w:color="auto"/>
              <w:left w:val="single" w:sz="4" w:space="0" w:color="auto"/>
              <w:bottom w:val="single" w:sz="4" w:space="0" w:color="auto"/>
              <w:right w:val="single" w:sz="4" w:space="0" w:color="auto"/>
            </w:tcBorders>
          </w:tcPr>
          <w:p w14:paraId="0CCCF247" w14:textId="0BE375B3" w:rsidR="00A2402F" w:rsidRPr="007A7AE1" w:rsidRDefault="00212F8E" w:rsidP="0021243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7A7AE1">
              <w:rPr>
                <w:rFonts w:ascii="Arial" w:hAnsi="Arial" w:cs="Arial"/>
              </w:rPr>
              <w:t>Learning and Development (GXO University).</w:t>
            </w:r>
          </w:p>
        </w:tc>
        <w:tc>
          <w:tcPr>
            <w:tcW w:w="2801" w:type="dxa"/>
            <w:tcBorders>
              <w:top w:val="single" w:sz="4" w:space="0" w:color="auto"/>
              <w:left w:val="single" w:sz="4" w:space="0" w:color="auto"/>
              <w:bottom w:val="single" w:sz="4" w:space="0" w:color="auto"/>
              <w:right w:val="single" w:sz="4" w:space="0" w:color="auto"/>
            </w:tcBorders>
          </w:tcPr>
          <w:p w14:paraId="2D774624" w14:textId="1787A227" w:rsidR="00A2402F" w:rsidRPr="007A7AE1" w:rsidRDefault="00212F8E" w:rsidP="0021243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7A7AE1">
              <w:rPr>
                <w:rFonts w:ascii="Arial" w:hAnsi="Arial" w:cs="Arial"/>
              </w:rPr>
              <w:t>Leadership Programme, Team Leader Development.</w:t>
            </w:r>
          </w:p>
        </w:tc>
        <w:tc>
          <w:tcPr>
            <w:tcW w:w="2397" w:type="dxa"/>
            <w:tcBorders>
              <w:top w:val="single" w:sz="4" w:space="0" w:color="auto"/>
              <w:left w:val="single" w:sz="4" w:space="0" w:color="auto"/>
              <w:bottom w:val="single" w:sz="4" w:space="0" w:color="auto"/>
              <w:right w:val="single" w:sz="4" w:space="0" w:color="auto"/>
            </w:tcBorders>
          </w:tcPr>
          <w:p w14:paraId="53CA9D55" w14:textId="3DC45482" w:rsidR="00A2402F" w:rsidRPr="007A7AE1" w:rsidRDefault="00212F8E" w:rsidP="0021243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7A7AE1">
              <w:rPr>
                <w:rFonts w:ascii="Arial" w:hAnsi="Arial" w:cs="Arial"/>
              </w:rPr>
              <w:t>Stronger skills, career progression and succession planning.</w:t>
            </w:r>
          </w:p>
        </w:tc>
      </w:tr>
      <w:tr w:rsidR="00A2402F" w:rsidRPr="007A7AE1" w14:paraId="6BB0D8A8" w14:textId="77777777" w:rsidTr="00EC4463">
        <w:trPr>
          <w:trHeight w:val="395"/>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auto"/>
              <w:left w:val="single" w:sz="4" w:space="0" w:color="auto"/>
              <w:bottom w:val="single" w:sz="4" w:space="0" w:color="auto"/>
              <w:right w:val="single" w:sz="4" w:space="0" w:color="auto"/>
            </w:tcBorders>
          </w:tcPr>
          <w:p w14:paraId="75E19F8E" w14:textId="01C731DB" w:rsidR="00A2402F" w:rsidRPr="007A7AE1" w:rsidRDefault="00212F8E" w:rsidP="00212435">
            <w:pPr>
              <w:spacing w:line="360" w:lineRule="auto"/>
              <w:rPr>
                <w:rFonts w:ascii="Arial" w:hAnsi="Arial" w:cs="Arial"/>
              </w:rPr>
            </w:pPr>
            <w:r w:rsidRPr="007A7AE1">
              <w:rPr>
                <w:rFonts w:ascii="Arial" w:hAnsi="Arial" w:cs="Arial"/>
              </w:rPr>
              <w:t>Diversity, Equity and Inclusion</w:t>
            </w:r>
          </w:p>
        </w:tc>
        <w:tc>
          <w:tcPr>
            <w:tcW w:w="2268" w:type="dxa"/>
            <w:tcBorders>
              <w:top w:val="single" w:sz="4" w:space="0" w:color="auto"/>
              <w:left w:val="single" w:sz="4" w:space="0" w:color="auto"/>
              <w:bottom w:val="single" w:sz="4" w:space="0" w:color="auto"/>
              <w:right w:val="single" w:sz="4" w:space="0" w:color="auto"/>
            </w:tcBorders>
          </w:tcPr>
          <w:p w14:paraId="6BB30B63" w14:textId="29237C09" w:rsidR="00A2402F" w:rsidRPr="007A7AE1" w:rsidRDefault="00212F8E" w:rsidP="0021243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7A7AE1">
              <w:rPr>
                <w:rFonts w:ascii="Arial" w:hAnsi="Arial" w:cs="Arial"/>
              </w:rPr>
              <w:t>Inclusive Recruitment and Equal Opportunities</w:t>
            </w:r>
          </w:p>
        </w:tc>
        <w:tc>
          <w:tcPr>
            <w:tcW w:w="2801" w:type="dxa"/>
            <w:tcBorders>
              <w:top w:val="single" w:sz="4" w:space="0" w:color="auto"/>
              <w:left w:val="single" w:sz="4" w:space="0" w:color="auto"/>
              <w:bottom w:val="single" w:sz="4" w:space="0" w:color="auto"/>
              <w:right w:val="single" w:sz="4" w:space="0" w:color="auto"/>
            </w:tcBorders>
          </w:tcPr>
          <w:p w14:paraId="4EC8B818" w14:textId="0574E4AC" w:rsidR="00A2402F" w:rsidRPr="007A7AE1" w:rsidRDefault="00212F8E" w:rsidP="0021243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7A7AE1">
              <w:rPr>
                <w:rFonts w:ascii="Arial" w:hAnsi="Arial" w:cs="Arial"/>
              </w:rPr>
              <w:t xml:space="preserve">Equal access to internal </w:t>
            </w:r>
            <w:r w:rsidR="00A531E1" w:rsidRPr="007A7AE1">
              <w:rPr>
                <w:rFonts w:ascii="Arial" w:hAnsi="Arial" w:cs="Arial"/>
              </w:rPr>
              <w:t>vacancies and training programmes.</w:t>
            </w:r>
          </w:p>
        </w:tc>
        <w:tc>
          <w:tcPr>
            <w:tcW w:w="2397" w:type="dxa"/>
            <w:tcBorders>
              <w:top w:val="single" w:sz="4" w:space="0" w:color="auto"/>
              <w:left w:val="single" w:sz="4" w:space="0" w:color="auto"/>
              <w:bottom w:val="single" w:sz="4" w:space="0" w:color="auto"/>
              <w:right w:val="single" w:sz="4" w:space="0" w:color="auto"/>
            </w:tcBorders>
          </w:tcPr>
          <w:p w14:paraId="054B568D" w14:textId="5FA26645" w:rsidR="00A2402F" w:rsidRPr="007A7AE1" w:rsidRDefault="00A531E1" w:rsidP="0021243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7A7AE1">
              <w:rPr>
                <w:rFonts w:ascii="Arial" w:hAnsi="Arial" w:cs="Arial"/>
              </w:rPr>
              <w:t>Higher engagement, inclusion and diverse workforce.</w:t>
            </w:r>
          </w:p>
        </w:tc>
      </w:tr>
    </w:tbl>
    <w:p w14:paraId="481DAA32" w14:textId="174DD584" w:rsidR="00A2402F" w:rsidRDefault="00A2402F" w:rsidP="00212435">
      <w:pPr>
        <w:spacing w:after="0" w:line="360" w:lineRule="auto"/>
        <w:rPr>
          <w:rFonts w:ascii="Arial" w:hAnsi="Arial" w:cs="Arial"/>
          <w:color w:val="FF0000"/>
        </w:rPr>
      </w:pPr>
    </w:p>
    <w:p w14:paraId="27C05DAE" w14:textId="6DDCA7A6" w:rsidR="00710160" w:rsidRDefault="004F722D" w:rsidP="008D705C">
      <w:pPr>
        <w:spacing w:after="240" w:line="360" w:lineRule="auto"/>
        <w:jc w:val="both"/>
        <w:rPr>
          <w:rFonts w:ascii="Arial" w:hAnsi="Arial" w:cs="Arial"/>
        </w:rPr>
      </w:pPr>
      <w:r w:rsidRPr="007A7AE1">
        <w:rPr>
          <w:rFonts w:ascii="Arial" w:hAnsi="Arial" w:cs="Arial"/>
        </w:rPr>
        <w:t xml:space="preserve">Table 1. Contemporary HR </w:t>
      </w:r>
      <w:r>
        <w:rPr>
          <w:rFonts w:ascii="Arial" w:hAnsi="Arial" w:cs="Arial"/>
        </w:rPr>
        <w:t xml:space="preserve">Challenges and </w:t>
      </w:r>
      <w:r w:rsidRPr="007A7AE1">
        <w:rPr>
          <w:rFonts w:ascii="Arial" w:hAnsi="Arial" w:cs="Arial"/>
        </w:rPr>
        <w:t xml:space="preserve">Practices </w:t>
      </w:r>
      <w:r>
        <w:rPr>
          <w:rFonts w:ascii="Arial" w:hAnsi="Arial" w:cs="Arial"/>
        </w:rPr>
        <w:t xml:space="preserve">at </w:t>
      </w:r>
      <w:r w:rsidRPr="007A7AE1">
        <w:rPr>
          <w:rFonts w:ascii="Arial" w:hAnsi="Arial" w:cs="Arial"/>
        </w:rPr>
        <w:t xml:space="preserve">GXO </w:t>
      </w:r>
      <w:r w:rsidR="00710160" w:rsidRPr="007A7AE1">
        <w:rPr>
          <w:rFonts w:ascii="Arial" w:hAnsi="Arial" w:cs="Arial"/>
        </w:rPr>
        <w:t>Logistics (</w:t>
      </w:r>
      <w:r>
        <w:rPr>
          <w:rFonts w:ascii="Arial" w:hAnsi="Arial" w:cs="Arial"/>
        </w:rPr>
        <w:t xml:space="preserve">Author’s own table, informed by </w:t>
      </w:r>
      <w:r w:rsidRPr="007A7AE1">
        <w:rPr>
          <w:rFonts w:ascii="Arial" w:hAnsi="Arial" w:cs="Arial"/>
        </w:rPr>
        <w:t>Armstrong and Taylor, 2023; CIPD, 202</w:t>
      </w:r>
      <w:r>
        <w:rPr>
          <w:rFonts w:ascii="Arial" w:hAnsi="Arial" w:cs="Arial"/>
        </w:rPr>
        <w:t>3; CIPD, 2024</w:t>
      </w:r>
      <w:r w:rsidR="004D455E">
        <w:rPr>
          <w:rFonts w:ascii="Arial" w:hAnsi="Arial" w:cs="Arial"/>
        </w:rPr>
        <w:t>a; CIPD, 2024b</w:t>
      </w:r>
      <w:r w:rsidRPr="007A7AE1">
        <w:rPr>
          <w:rFonts w:ascii="Arial" w:hAnsi="Arial" w:cs="Arial"/>
        </w:rPr>
        <w:t xml:space="preserve">). </w:t>
      </w:r>
    </w:p>
    <w:p w14:paraId="5CFEC34C" w14:textId="5AD55400" w:rsidR="00710160" w:rsidRPr="007A7AE1" w:rsidRDefault="00710160" w:rsidP="008D705C">
      <w:pPr>
        <w:spacing w:after="240" w:line="360" w:lineRule="auto"/>
        <w:jc w:val="both"/>
        <w:rPr>
          <w:rFonts w:ascii="Arial" w:hAnsi="Arial" w:cs="Arial"/>
        </w:rPr>
      </w:pPr>
      <w:r>
        <w:rPr>
          <w:rFonts w:ascii="Arial" w:hAnsi="Arial" w:cs="Arial"/>
        </w:rPr>
        <w:t>The table demonstrate that these HR practices are interconnected, as investment in employee skills, internal development and inclusive opportunities can collectively support employee engagement and organisational performance.</w:t>
      </w:r>
    </w:p>
    <w:p w14:paraId="059D1167" w14:textId="77777777" w:rsidR="004F722D" w:rsidRDefault="004F722D" w:rsidP="00212435">
      <w:pPr>
        <w:spacing w:after="0" w:line="360" w:lineRule="auto"/>
        <w:rPr>
          <w:rFonts w:ascii="Arial" w:hAnsi="Arial" w:cs="Arial"/>
          <w:color w:val="FF0000"/>
        </w:rPr>
      </w:pPr>
    </w:p>
    <w:p w14:paraId="2EE5E733" w14:textId="42203491" w:rsidR="00212435" w:rsidRPr="007A7AE1" w:rsidRDefault="00C76F1B" w:rsidP="008D705C">
      <w:pPr>
        <w:pStyle w:val="Heading1"/>
        <w:spacing w:after="120" w:line="360" w:lineRule="auto"/>
        <w:rPr>
          <w:rFonts w:ascii="Arial" w:hAnsi="Arial" w:cs="Arial"/>
        </w:rPr>
      </w:pPr>
      <w:bookmarkStart w:id="6" w:name="_Toc235384295"/>
      <w:r w:rsidRPr="007A7AE1">
        <w:rPr>
          <w:rFonts w:ascii="Arial" w:hAnsi="Arial" w:cs="Arial"/>
        </w:rPr>
        <w:t>3. Evaluation of Contemporary HR Practices</w:t>
      </w:r>
      <w:bookmarkEnd w:id="6"/>
    </w:p>
    <w:p w14:paraId="5FBBF5F2" w14:textId="4381C1B8" w:rsidR="00212435" w:rsidRPr="007A7AE1" w:rsidRDefault="005A4A54" w:rsidP="009C2474">
      <w:pPr>
        <w:spacing w:after="240" w:line="360" w:lineRule="auto"/>
        <w:jc w:val="both"/>
        <w:rPr>
          <w:rFonts w:ascii="Arial" w:hAnsi="Arial" w:cs="Arial"/>
        </w:rPr>
      </w:pPr>
      <w:r w:rsidRPr="007A7AE1">
        <w:rPr>
          <w:rFonts w:ascii="Arial" w:hAnsi="Arial" w:cs="Arial"/>
        </w:rPr>
        <w:t>To remain competitive within the UK logistics industry, GXO Logistics must implement HR practices that support organisational transformation while maintaining employee engagement and operational performance.</w:t>
      </w:r>
    </w:p>
    <w:p w14:paraId="656CDEFA" w14:textId="02D1BE64" w:rsidR="00A178D1" w:rsidRPr="007A7AE1" w:rsidRDefault="00C76F1B" w:rsidP="009C2474">
      <w:pPr>
        <w:pStyle w:val="Heading2"/>
        <w:spacing w:after="240" w:line="360" w:lineRule="auto"/>
        <w:rPr>
          <w:rFonts w:ascii="Arial" w:hAnsi="Arial" w:cs="Arial"/>
        </w:rPr>
      </w:pPr>
      <w:bookmarkStart w:id="7" w:name="_Toc235384296"/>
      <w:r w:rsidRPr="007A7AE1">
        <w:rPr>
          <w:rFonts w:ascii="Arial" w:hAnsi="Arial" w:cs="Arial"/>
        </w:rPr>
        <w:t>3.1 Digital HR Systems and Workforce Analytics</w:t>
      </w:r>
      <w:bookmarkEnd w:id="7"/>
    </w:p>
    <w:p w14:paraId="3A146602" w14:textId="45045DEA" w:rsidR="00416944" w:rsidRPr="007A7AE1" w:rsidRDefault="00416944" w:rsidP="008D705C">
      <w:pPr>
        <w:spacing w:after="120" w:line="360" w:lineRule="auto"/>
        <w:rPr>
          <w:rFonts w:ascii="Arial" w:hAnsi="Arial" w:cs="Arial"/>
        </w:rPr>
      </w:pPr>
      <w:r w:rsidRPr="007A7AE1">
        <w:rPr>
          <w:rFonts w:ascii="Arial" w:hAnsi="Arial" w:cs="Arial"/>
        </w:rPr>
        <w:t>Digital HR systems improve decision-making by enabling organisations to monitor employee performance, identify skills gaps and support workforce planning (CIPD, 2024</w:t>
      </w:r>
      <w:r w:rsidR="00710160">
        <w:rPr>
          <w:rFonts w:ascii="Arial" w:hAnsi="Arial" w:cs="Arial"/>
        </w:rPr>
        <w:t>b</w:t>
      </w:r>
      <w:r w:rsidRPr="007A7AE1">
        <w:rPr>
          <w:rFonts w:ascii="Arial" w:hAnsi="Arial" w:cs="Arial"/>
        </w:rPr>
        <w:t xml:space="preserve">). Within GXO, digital systems such as </w:t>
      </w:r>
      <w:proofErr w:type="spellStart"/>
      <w:r w:rsidRPr="007A7AE1">
        <w:rPr>
          <w:rFonts w:ascii="Arial" w:hAnsi="Arial" w:cs="Arial"/>
        </w:rPr>
        <w:t>RedPrairie</w:t>
      </w:r>
      <w:proofErr w:type="spellEnd"/>
      <w:r w:rsidRPr="007A7AE1">
        <w:rPr>
          <w:rFonts w:ascii="Arial" w:hAnsi="Arial" w:cs="Arial"/>
        </w:rPr>
        <w:t>, C3 and Track and Trace improve operational efficiency by providing real-time information and reducing manual processes.</w:t>
      </w:r>
    </w:p>
    <w:p w14:paraId="724F1445" w14:textId="40AF41E8" w:rsidR="00416944" w:rsidRPr="007A7AE1" w:rsidRDefault="00D625B7" w:rsidP="009C2474">
      <w:pPr>
        <w:spacing w:after="240" w:line="360" w:lineRule="auto"/>
        <w:rPr>
          <w:rFonts w:ascii="Arial" w:hAnsi="Arial" w:cs="Arial"/>
        </w:rPr>
      </w:pPr>
      <w:r>
        <w:rPr>
          <w:rFonts w:ascii="Arial" w:hAnsi="Arial" w:cs="Arial"/>
        </w:rPr>
        <w:t>However, technology alone cannot improve performance; continuous training is required to ensure employees can use new systems effectively during organizational change.</w:t>
      </w:r>
    </w:p>
    <w:p w14:paraId="298AFBCD" w14:textId="19D4EB88" w:rsidR="00C76F1B" w:rsidRPr="007A7AE1" w:rsidRDefault="00C76F1B" w:rsidP="009C2474">
      <w:pPr>
        <w:pStyle w:val="Heading2"/>
        <w:spacing w:after="240" w:line="360" w:lineRule="auto"/>
        <w:rPr>
          <w:rFonts w:ascii="Arial" w:hAnsi="Arial" w:cs="Arial"/>
        </w:rPr>
      </w:pPr>
      <w:bookmarkStart w:id="8" w:name="_Toc235384297"/>
      <w:r w:rsidRPr="007A7AE1">
        <w:rPr>
          <w:rFonts w:ascii="Arial" w:hAnsi="Arial" w:cs="Arial"/>
        </w:rPr>
        <w:t>3.2 Employer Branding and Strategic Workforce Planning</w:t>
      </w:r>
      <w:bookmarkEnd w:id="8"/>
    </w:p>
    <w:p w14:paraId="2E5F3283" w14:textId="45622DFE" w:rsidR="00750879" w:rsidRPr="007A7AE1" w:rsidRDefault="00750879" w:rsidP="009C2474">
      <w:pPr>
        <w:spacing w:after="240" w:line="360" w:lineRule="auto"/>
        <w:jc w:val="both"/>
        <w:rPr>
          <w:rFonts w:ascii="Arial" w:hAnsi="Arial" w:cs="Arial"/>
        </w:rPr>
      </w:pPr>
      <w:r w:rsidRPr="007A7AE1">
        <w:rPr>
          <w:rFonts w:ascii="Arial" w:hAnsi="Arial" w:cs="Arial"/>
        </w:rPr>
        <w:t>Strategic workforce planning enables organisations to anticipate future workforce requirements rather than simply responding to vacancies as they occur (Taylor, 2022</w:t>
      </w:r>
      <w:r w:rsidR="002704C4">
        <w:rPr>
          <w:rFonts w:ascii="Arial" w:hAnsi="Arial" w:cs="Arial"/>
        </w:rPr>
        <w:t>; Torrington et al., 2020</w:t>
      </w:r>
      <w:r w:rsidRPr="007A7AE1">
        <w:rPr>
          <w:rFonts w:ascii="Arial" w:hAnsi="Arial" w:cs="Arial"/>
        </w:rPr>
        <w:t>). For GXO, this is particularly important because customer demand changes throughout the year, requiring both permanent employees and temporary agency workers.</w:t>
      </w:r>
    </w:p>
    <w:p w14:paraId="45AF0BD3" w14:textId="1D965862" w:rsidR="00750879" w:rsidRPr="007A7AE1" w:rsidRDefault="00D625B7" w:rsidP="008D705C">
      <w:pPr>
        <w:spacing w:after="120" w:line="360" w:lineRule="auto"/>
        <w:jc w:val="both"/>
        <w:rPr>
          <w:rFonts w:ascii="Arial" w:hAnsi="Arial" w:cs="Arial"/>
        </w:rPr>
      </w:pPr>
      <w:r>
        <w:rPr>
          <w:rFonts w:ascii="Arial" w:hAnsi="Arial" w:cs="Arial"/>
        </w:rPr>
        <w:t>Combin</w:t>
      </w:r>
      <w:r w:rsidR="00EC4D1E">
        <w:rPr>
          <w:rFonts w:ascii="Arial" w:hAnsi="Arial" w:cs="Arial"/>
        </w:rPr>
        <w:t xml:space="preserve">ing </w:t>
      </w:r>
      <w:r>
        <w:rPr>
          <w:rFonts w:ascii="Arial" w:hAnsi="Arial" w:cs="Arial"/>
        </w:rPr>
        <w:t>internal recruitment with external agencies allow</w:t>
      </w:r>
      <w:r w:rsidR="00EC4D1E">
        <w:rPr>
          <w:rFonts w:ascii="Arial" w:hAnsi="Arial" w:cs="Arial"/>
        </w:rPr>
        <w:t>s</w:t>
      </w:r>
      <w:r>
        <w:rPr>
          <w:rFonts w:ascii="Arial" w:hAnsi="Arial" w:cs="Arial"/>
        </w:rPr>
        <w:t xml:space="preserve"> GXO </w:t>
      </w:r>
      <w:r w:rsidR="001A340A">
        <w:rPr>
          <w:rFonts w:ascii="Arial" w:hAnsi="Arial" w:cs="Arial"/>
        </w:rPr>
        <w:t>to retain organisational knowledge and career opportunities while providing workforce flexibility during busy operational periods.</w:t>
      </w:r>
    </w:p>
    <w:p w14:paraId="26FFB68D" w14:textId="3ABADB52" w:rsidR="00406523" w:rsidRPr="007A7AE1" w:rsidRDefault="00750879" w:rsidP="009C2474">
      <w:pPr>
        <w:spacing w:after="240" w:line="360" w:lineRule="auto"/>
        <w:jc w:val="both"/>
        <w:rPr>
          <w:rFonts w:ascii="Arial" w:hAnsi="Arial" w:cs="Arial"/>
        </w:rPr>
      </w:pPr>
      <w:r w:rsidRPr="007A7AE1">
        <w:rPr>
          <w:rFonts w:ascii="Arial" w:hAnsi="Arial" w:cs="Arial"/>
        </w:rPr>
        <w:t>Although this balanced approach is effective, excessive reliance on agency workers may increase training costs and reduce long-term employee commitment. Consequently, continued investment in internal talent development remains essential for long-term organisational sustainability.</w:t>
      </w:r>
      <w:r w:rsidR="00B4497E" w:rsidRPr="007A7AE1">
        <w:rPr>
          <w:rFonts w:ascii="Arial" w:hAnsi="Arial" w:cs="Arial"/>
          <w:noProof/>
          <w:color w:val="FF0000"/>
        </w:rPr>
        <w:t xml:space="preserve">                        </w:t>
      </w:r>
    </w:p>
    <w:p w14:paraId="102CDA02" w14:textId="77777777" w:rsidR="00C76F1B" w:rsidRPr="007A7AE1" w:rsidRDefault="00C76F1B" w:rsidP="009C2474">
      <w:pPr>
        <w:pStyle w:val="Heading2"/>
        <w:spacing w:after="240" w:line="360" w:lineRule="auto"/>
        <w:rPr>
          <w:rFonts w:ascii="Arial" w:hAnsi="Arial" w:cs="Arial"/>
        </w:rPr>
      </w:pPr>
      <w:bookmarkStart w:id="9" w:name="_Toc235384298"/>
      <w:r w:rsidRPr="007A7AE1">
        <w:rPr>
          <w:rFonts w:ascii="Arial" w:hAnsi="Arial" w:cs="Arial"/>
        </w:rPr>
        <w:lastRenderedPageBreak/>
        <w:t>3.3 Employee Engagement and Retention</w:t>
      </w:r>
      <w:bookmarkEnd w:id="9"/>
    </w:p>
    <w:p w14:paraId="3C2DA931" w14:textId="1ADD1300" w:rsidR="00C23116" w:rsidRPr="007A7AE1" w:rsidRDefault="00C23116" w:rsidP="009C2474">
      <w:pPr>
        <w:spacing w:after="240" w:line="360" w:lineRule="auto"/>
        <w:jc w:val="both"/>
        <w:rPr>
          <w:rFonts w:ascii="Arial" w:hAnsi="Arial" w:cs="Arial"/>
        </w:rPr>
      </w:pPr>
      <w:r w:rsidRPr="007A7AE1">
        <w:rPr>
          <w:rFonts w:ascii="Arial" w:hAnsi="Arial" w:cs="Arial"/>
        </w:rPr>
        <w:t>Employee development has become one of the most effective contemporary HR practices because employees are more likely to remain with organisations that invest in their professional growth (Boxall and Purcell, 2022).</w:t>
      </w:r>
    </w:p>
    <w:p w14:paraId="2BED9DEE" w14:textId="79B8341D" w:rsidR="00124CEE" w:rsidRPr="007A7AE1" w:rsidRDefault="00C23116" w:rsidP="008D705C">
      <w:pPr>
        <w:spacing w:after="120" w:line="360" w:lineRule="auto"/>
        <w:jc w:val="both"/>
        <w:rPr>
          <w:rFonts w:ascii="Arial" w:hAnsi="Arial" w:cs="Arial"/>
        </w:rPr>
      </w:pPr>
      <w:r w:rsidRPr="007A7AE1">
        <w:rPr>
          <w:rFonts w:ascii="Arial" w:hAnsi="Arial" w:cs="Arial"/>
        </w:rPr>
        <w:t>GXO demonstrates this through GXO University, which provides technical, leadership and management development opportunities. Leadership programmes prepare future managers, while Team Leaders receive additional training to strengthen leadership capability. These initiatives support succession planning by developing internal talent before management vacancies arise.</w:t>
      </w:r>
    </w:p>
    <w:p w14:paraId="7464E3D4" w14:textId="533712E9" w:rsidR="00C23116" w:rsidRPr="007A7AE1" w:rsidRDefault="00C23116" w:rsidP="009C2474">
      <w:pPr>
        <w:spacing w:after="240" w:line="360" w:lineRule="auto"/>
        <w:jc w:val="both"/>
        <w:rPr>
          <w:rFonts w:ascii="Arial" w:hAnsi="Arial" w:cs="Arial"/>
        </w:rPr>
      </w:pPr>
      <w:r w:rsidRPr="007A7AE1">
        <w:rPr>
          <w:rFonts w:ascii="Arial" w:hAnsi="Arial" w:cs="Arial"/>
        </w:rPr>
        <w:t>Despite these strengths, managers should ensure that all employees receive equal access to learning opportunities. Regular one-to-one meetings provide an effective opportunity to discuss career aspirations, identify training needs and encourage participation in development programmes</w:t>
      </w:r>
      <w:r w:rsidR="00C76F1B" w:rsidRPr="007A7AE1">
        <w:rPr>
          <w:rFonts w:ascii="Arial" w:hAnsi="Arial" w:cs="Arial"/>
        </w:rPr>
        <w:t>.</w:t>
      </w:r>
    </w:p>
    <w:p w14:paraId="0BD8FF8E" w14:textId="77777777" w:rsidR="00C76F1B" w:rsidRPr="007A7AE1" w:rsidRDefault="00C76F1B" w:rsidP="009C2474">
      <w:pPr>
        <w:pStyle w:val="Heading2"/>
        <w:spacing w:after="240" w:line="360" w:lineRule="auto"/>
        <w:rPr>
          <w:rFonts w:ascii="Arial" w:hAnsi="Arial" w:cs="Arial"/>
        </w:rPr>
      </w:pPr>
      <w:bookmarkStart w:id="10" w:name="_Toc235384299"/>
      <w:r w:rsidRPr="007A7AE1">
        <w:rPr>
          <w:rFonts w:ascii="Arial" w:hAnsi="Arial" w:cs="Arial"/>
        </w:rPr>
        <w:t>3.4 Inclusive Recruitment and DEI Practices</w:t>
      </w:r>
      <w:bookmarkEnd w:id="10"/>
    </w:p>
    <w:p w14:paraId="085DA40D" w14:textId="65E42FF0" w:rsidR="00362652" w:rsidRPr="007A7AE1" w:rsidRDefault="00362652" w:rsidP="009C2474">
      <w:pPr>
        <w:spacing w:after="240" w:line="360" w:lineRule="auto"/>
        <w:jc w:val="both"/>
        <w:rPr>
          <w:rFonts w:ascii="Arial" w:hAnsi="Arial" w:cs="Arial"/>
        </w:rPr>
      </w:pPr>
      <w:r w:rsidRPr="007A7AE1">
        <w:rPr>
          <w:rFonts w:ascii="Arial" w:hAnsi="Arial" w:cs="Arial"/>
        </w:rPr>
        <w:t>Inclusive recruitment contributes to organisational performance by attracting individuals with different experiences, knowledge and perspectives (Beardwell and Thompson, 2023). Organisations that promote equality throughout recruitment and promotion processes are more likely to improve employee engagement and organisational reputation.</w:t>
      </w:r>
    </w:p>
    <w:p w14:paraId="2DEEEDD1" w14:textId="19CE46B2" w:rsidR="00362652" w:rsidRPr="007A7AE1" w:rsidRDefault="00362652" w:rsidP="008D705C">
      <w:pPr>
        <w:spacing w:after="120" w:line="360" w:lineRule="auto"/>
        <w:jc w:val="both"/>
        <w:rPr>
          <w:rFonts w:ascii="Arial" w:hAnsi="Arial" w:cs="Arial"/>
        </w:rPr>
      </w:pPr>
      <w:r w:rsidRPr="007A7AE1">
        <w:rPr>
          <w:rFonts w:ascii="Arial" w:hAnsi="Arial" w:cs="Arial"/>
        </w:rPr>
        <w:t>Within GXO, structured recruitment processes and equal access to internal vacancies support inclusive employment practices. The use of competency-based interviews and objective selection criteria helps reduce unconscious bias while ensuring candidates are assessed fairly.</w:t>
      </w:r>
    </w:p>
    <w:p w14:paraId="0754F69D" w14:textId="4E5D824C" w:rsidR="00362652" w:rsidRPr="007A7AE1" w:rsidRDefault="00362652" w:rsidP="008D705C">
      <w:pPr>
        <w:spacing w:after="120" w:line="360" w:lineRule="auto"/>
        <w:jc w:val="both"/>
        <w:rPr>
          <w:rFonts w:ascii="Arial" w:hAnsi="Arial" w:cs="Arial"/>
        </w:rPr>
      </w:pPr>
      <w:r w:rsidRPr="007A7AE1">
        <w:rPr>
          <w:rFonts w:ascii="Arial" w:hAnsi="Arial" w:cs="Arial"/>
        </w:rPr>
        <w:t>However, inclusive recruitment should extend beyond hiring decisions. Managers must continue promoting diversity through employee development, leadership opportunities and fair performance management. This demonstrates organisational commitment to equality while strengthening employee trust and organisational culture.</w:t>
      </w:r>
    </w:p>
    <w:p w14:paraId="030343E2" w14:textId="745C73D9" w:rsidR="00CE35AB" w:rsidRPr="007A7AE1" w:rsidRDefault="00362652" w:rsidP="004F41F9">
      <w:pPr>
        <w:spacing w:after="120" w:line="360" w:lineRule="auto"/>
        <w:jc w:val="both"/>
        <w:rPr>
          <w:rFonts w:ascii="Arial" w:hAnsi="Arial" w:cs="Arial"/>
        </w:rPr>
      </w:pPr>
      <w:r w:rsidRPr="007A7AE1">
        <w:rPr>
          <w:rFonts w:ascii="Arial" w:hAnsi="Arial" w:cs="Arial"/>
        </w:rPr>
        <w:t>Overall, GXO demonstrates effective contemporary HR practices by combining digital transformation, workforce planning, employee development and inclusive recruitment. Nevertheless, continued investment in learning, leadership development and employee engagement will remain essential to support future organisational growth and maintain competitive advantage.</w:t>
      </w:r>
    </w:p>
    <w:p w14:paraId="4B35125E" w14:textId="7F8EE95B" w:rsidR="005D2505" w:rsidRPr="007A7AE1" w:rsidRDefault="00C76F1B" w:rsidP="009C2474">
      <w:pPr>
        <w:pStyle w:val="Heading1"/>
        <w:spacing w:after="240" w:line="360" w:lineRule="auto"/>
        <w:rPr>
          <w:rFonts w:ascii="Arial" w:hAnsi="Arial" w:cs="Arial"/>
        </w:rPr>
      </w:pPr>
      <w:bookmarkStart w:id="11" w:name="_Toc235384300"/>
      <w:r w:rsidRPr="007A7AE1">
        <w:rPr>
          <w:rFonts w:ascii="Arial" w:hAnsi="Arial" w:cs="Arial"/>
        </w:rPr>
        <w:lastRenderedPageBreak/>
        <w:t>4. Critical Evaluation of Managerial Implementation</w:t>
      </w:r>
      <w:bookmarkEnd w:id="11"/>
    </w:p>
    <w:p w14:paraId="6A5B3DAF" w14:textId="633C3F77" w:rsidR="0018628B" w:rsidRDefault="005D2505" w:rsidP="009C2474">
      <w:pPr>
        <w:spacing w:after="240" w:line="360" w:lineRule="auto"/>
        <w:jc w:val="both"/>
        <w:rPr>
          <w:rFonts w:ascii="Arial" w:hAnsi="Arial" w:cs="Arial"/>
        </w:rPr>
      </w:pPr>
      <w:r w:rsidRPr="007A7AE1">
        <w:rPr>
          <w:rFonts w:ascii="Arial" w:hAnsi="Arial" w:cs="Arial"/>
        </w:rPr>
        <w:t>The success of contemporary HR practices depends not only on HR departments but also on the ability of departmental managers to implement them effectively. Managers are responsible for translating HR strategies into everyday operational practice while ensuring employees remain engaged and motivated throughout organisational change (Armstrong and Taylor, 2023).</w:t>
      </w:r>
    </w:p>
    <w:p w14:paraId="1ED8FBF5" w14:textId="77777777" w:rsidR="00710160" w:rsidRDefault="0018628B" w:rsidP="004F41F9">
      <w:pPr>
        <w:spacing w:after="120" w:line="360" w:lineRule="auto"/>
        <w:jc w:val="both"/>
        <w:rPr>
          <w:rFonts w:ascii="Arial" w:hAnsi="Arial" w:cs="Arial"/>
        </w:rPr>
      </w:pPr>
      <w:r>
        <w:rPr>
          <w:rFonts w:ascii="Arial" w:hAnsi="Arial" w:cs="Arial"/>
        </w:rPr>
        <w:t xml:space="preserve">Kottler’s Eight-Step Change Model provides a useful framework for understanding how departmental managers can implement organisational change systematically. </w:t>
      </w:r>
    </w:p>
    <w:p w14:paraId="295BB72F" w14:textId="7E85E040" w:rsidR="0018628B" w:rsidRDefault="0018628B" w:rsidP="004F41F9">
      <w:pPr>
        <w:spacing w:after="120" w:line="360" w:lineRule="auto"/>
        <w:jc w:val="both"/>
        <w:rPr>
          <w:rFonts w:ascii="Arial" w:hAnsi="Arial" w:cs="Arial"/>
        </w:rPr>
      </w:pPr>
      <w:r>
        <w:rPr>
          <w:rFonts w:ascii="Arial" w:hAnsi="Arial" w:cs="Arial"/>
        </w:rPr>
        <w:t xml:space="preserve">As illustrated in Figure </w:t>
      </w:r>
      <w:r w:rsidR="004F722D">
        <w:rPr>
          <w:rFonts w:ascii="Arial" w:hAnsi="Arial" w:cs="Arial"/>
        </w:rPr>
        <w:t>3</w:t>
      </w:r>
      <w:r>
        <w:rPr>
          <w:rFonts w:ascii="Arial" w:hAnsi="Arial" w:cs="Arial"/>
        </w:rPr>
        <w:t xml:space="preserve">, effective </w:t>
      </w:r>
      <w:r w:rsidR="00710160">
        <w:rPr>
          <w:rFonts w:ascii="Arial" w:hAnsi="Arial" w:cs="Arial"/>
        </w:rPr>
        <w:t>transformation requires</w:t>
      </w:r>
      <w:r>
        <w:rPr>
          <w:rFonts w:ascii="Arial" w:hAnsi="Arial" w:cs="Arial"/>
        </w:rPr>
        <w:t xml:space="preserve"> managers to create urgency, communicate a clear version, remove barriers and embed new practices </w:t>
      </w:r>
      <w:r w:rsidR="004F41F9">
        <w:rPr>
          <w:rFonts w:ascii="Arial" w:hAnsi="Arial" w:cs="Arial"/>
        </w:rPr>
        <w:t>within organisational</w:t>
      </w:r>
      <w:r>
        <w:rPr>
          <w:rFonts w:ascii="Arial" w:hAnsi="Arial" w:cs="Arial"/>
        </w:rPr>
        <w:t xml:space="preserve"> culture (Kotter, 2012).</w:t>
      </w:r>
    </w:p>
    <w:p w14:paraId="639AC97A" w14:textId="77777777" w:rsidR="0018628B" w:rsidRDefault="0018628B" w:rsidP="005D2505">
      <w:pPr>
        <w:spacing w:after="0" w:line="360" w:lineRule="auto"/>
        <w:rPr>
          <w:rFonts w:ascii="Arial" w:hAnsi="Arial" w:cs="Arial"/>
        </w:rPr>
      </w:pPr>
    </w:p>
    <w:p w14:paraId="27F8FD3F" w14:textId="77777777" w:rsidR="0018628B" w:rsidRPr="007A7AE1" w:rsidRDefault="0018628B" w:rsidP="0018628B">
      <w:pPr>
        <w:spacing w:after="0" w:line="360" w:lineRule="auto"/>
        <w:rPr>
          <w:rFonts w:ascii="Arial" w:hAnsi="Arial" w:cs="Arial"/>
          <w:color w:val="FF0000"/>
        </w:rPr>
      </w:pPr>
      <w:r w:rsidRPr="007A7AE1">
        <w:rPr>
          <w:rFonts w:ascii="Arial" w:hAnsi="Arial" w:cs="Arial"/>
          <w:noProof/>
        </w:rPr>
        <w:drawing>
          <wp:inline distT="0" distB="0" distL="0" distR="0" wp14:anchorId="356EE751" wp14:editId="26E2B562">
            <wp:extent cx="5486400" cy="3200400"/>
            <wp:effectExtent l="19050" t="0" r="19050" b="571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r w:rsidRPr="007A7AE1">
        <w:rPr>
          <w:rFonts w:ascii="Arial" w:hAnsi="Arial" w:cs="Arial"/>
          <w:color w:val="FF0000"/>
        </w:rPr>
        <w:t xml:space="preserve"> </w:t>
      </w:r>
    </w:p>
    <w:p w14:paraId="35230D51" w14:textId="1CB66779" w:rsidR="004F41F9" w:rsidRDefault="0018628B" w:rsidP="004F41F9">
      <w:pPr>
        <w:spacing w:after="240" w:line="360" w:lineRule="auto"/>
        <w:jc w:val="both"/>
        <w:rPr>
          <w:rFonts w:ascii="Arial" w:hAnsi="Arial" w:cs="Arial"/>
        </w:rPr>
      </w:pPr>
      <w:r w:rsidRPr="007A7AE1">
        <w:rPr>
          <w:rFonts w:ascii="Arial" w:hAnsi="Arial" w:cs="Arial"/>
        </w:rPr>
        <w:t xml:space="preserve">Figure </w:t>
      </w:r>
      <w:r w:rsidR="004F722D">
        <w:rPr>
          <w:rFonts w:ascii="Arial" w:hAnsi="Arial" w:cs="Arial"/>
        </w:rPr>
        <w:t>3</w:t>
      </w:r>
      <w:r w:rsidRPr="007A7AE1">
        <w:rPr>
          <w:rFonts w:ascii="Arial" w:hAnsi="Arial" w:cs="Arial"/>
        </w:rPr>
        <w:t>. Kotter’s Eight-step Change Model (Ad</w:t>
      </w:r>
      <w:r w:rsidR="004D455E">
        <w:rPr>
          <w:rFonts w:ascii="Arial" w:hAnsi="Arial" w:cs="Arial"/>
        </w:rPr>
        <w:t>a</w:t>
      </w:r>
      <w:r w:rsidRPr="007A7AE1">
        <w:rPr>
          <w:rFonts w:ascii="Arial" w:hAnsi="Arial" w:cs="Arial"/>
        </w:rPr>
        <w:t>pted from Kotter, 2012).</w:t>
      </w:r>
    </w:p>
    <w:p w14:paraId="37C4AE74" w14:textId="1B7AC299" w:rsidR="00124CEE" w:rsidRPr="007A7AE1" w:rsidRDefault="002B7B89" w:rsidP="009C2474">
      <w:pPr>
        <w:spacing w:after="240" w:line="360" w:lineRule="auto"/>
        <w:jc w:val="both"/>
        <w:rPr>
          <w:rFonts w:ascii="Arial" w:hAnsi="Arial" w:cs="Arial"/>
        </w:rPr>
      </w:pPr>
      <w:r>
        <w:rPr>
          <w:rFonts w:ascii="Arial" w:hAnsi="Arial" w:cs="Arial"/>
        </w:rPr>
        <w:t>The model is relevant to GXO when implementing changes such as new digital systems or multitask picking. Managers should explain why change is necessary, provide appropriate training and support employee</w:t>
      </w:r>
      <w:r w:rsidR="004D455E">
        <w:rPr>
          <w:rFonts w:ascii="Arial" w:hAnsi="Arial" w:cs="Arial"/>
        </w:rPr>
        <w:t>s</w:t>
      </w:r>
      <w:r>
        <w:rPr>
          <w:rFonts w:ascii="Arial" w:hAnsi="Arial" w:cs="Arial"/>
        </w:rPr>
        <w:t xml:space="preserve"> throughout implementation. However, because logistics operations can change rapidly, Kotter’s sequential approach may not always provide sufficient </w:t>
      </w:r>
      <w:r>
        <w:rPr>
          <w:rFonts w:ascii="Arial" w:hAnsi="Arial" w:cs="Arial"/>
        </w:rPr>
        <w:lastRenderedPageBreak/>
        <w:t>flexibility</w:t>
      </w:r>
      <w:r w:rsidR="004D455E">
        <w:rPr>
          <w:rFonts w:ascii="Arial" w:hAnsi="Arial" w:cs="Arial"/>
        </w:rPr>
        <w:t>.</w:t>
      </w:r>
      <w:r>
        <w:rPr>
          <w:rFonts w:ascii="Arial" w:hAnsi="Arial" w:cs="Arial"/>
        </w:rPr>
        <w:t xml:space="preserve"> Therefore, the model should be used as a guiding framework rather than followed rigidly</w:t>
      </w:r>
      <w:r w:rsidR="00193F0F">
        <w:rPr>
          <w:rFonts w:ascii="Arial" w:hAnsi="Arial" w:cs="Arial"/>
        </w:rPr>
        <w:t xml:space="preserve">. </w:t>
      </w:r>
    </w:p>
    <w:p w14:paraId="1ACA2F14" w14:textId="55D06BCE" w:rsidR="005D2505" w:rsidRPr="007A7AE1" w:rsidRDefault="005D2505" w:rsidP="009C2474">
      <w:pPr>
        <w:pStyle w:val="Heading2"/>
        <w:spacing w:after="240" w:line="360" w:lineRule="auto"/>
        <w:rPr>
          <w:rFonts w:ascii="Arial" w:hAnsi="Arial" w:cs="Arial"/>
        </w:rPr>
      </w:pPr>
      <w:bookmarkStart w:id="12" w:name="_Toc235384301"/>
      <w:r w:rsidRPr="007A7AE1">
        <w:rPr>
          <w:rFonts w:ascii="Arial" w:hAnsi="Arial" w:cs="Arial"/>
        </w:rPr>
        <w:t>4.1 Leadership Accountability</w:t>
      </w:r>
      <w:bookmarkEnd w:id="12"/>
    </w:p>
    <w:p w14:paraId="41DB1B78" w14:textId="380AC8E5" w:rsidR="00124CEE" w:rsidRPr="007A7AE1" w:rsidRDefault="005D2505" w:rsidP="009C2474">
      <w:pPr>
        <w:spacing w:after="240" w:line="360" w:lineRule="auto"/>
        <w:jc w:val="both"/>
        <w:rPr>
          <w:rFonts w:ascii="Arial" w:hAnsi="Arial" w:cs="Arial"/>
        </w:rPr>
      </w:pPr>
      <w:r w:rsidRPr="007A7AE1">
        <w:rPr>
          <w:rFonts w:ascii="Arial" w:hAnsi="Arial" w:cs="Arial"/>
        </w:rPr>
        <w:t>Departmental managers should act as role models during organisational transformation by promoting continuous learning, supporting employee wellbeing and encouraging adaptability</w:t>
      </w:r>
      <w:r w:rsidR="002704C4">
        <w:rPr>
          <w:rFonts w:ascii="Arial" w:hAnsi="Arial" w:cs="Arial"/>
        </w:rPr>
        <w:t xml:space="preserve"> (Marchington et al., 2021).</w:t>
      </w:r>
      <w:r w:rsidRPr="007A7AE1">
        <w:rPr>
          <w:rFonts w:ascii="Arial" w:hAnsi="Arial" w:cs="Arial"/>
        </w:rPr>
        <w:t xml:space="preserve"> According to Kotter (2012), successful organisational change requires leaders who communicate a clear vision and actively support employees throughout the change process.</w:t>
      </w:r>
    </w:p>
    <w:p w14:paraId="25B7794C" w14:textId="0F657235" w:rsidR="005D2505" w:rsidRPr="007A7AE1" w:rsidRDefault="005D2505" w:rsidP="009C2474">
      <w:pPr>
        <w:spacing w:after="240" w:line="360" w:lineRule="auto"/>
        <w:jc w:val="both"/>
        <w:rPr>
          <w:rFonts w:ascii="Arial" w:hAnsi="Arial" w:cs="Arial"/>
        </w:rPr>
      </w:pPr>
      <w:r w:rsidRPr="007A7AE1">
        <w:rPr>
          <w:rFonts w:ascii="Arial" w:hAnsi="Arial" w:cs="Arial"/>
        </w:rPr>
        <w:t>Within GXO Logistics, Team Leaders monitor employee performance through Key Performance Indicators (KPIs) and conduct regular one-to-one meetings. These practices provide opportunities to identify training needs, discuss career development and address concerns before they affect organisational performance. However, managers should focus not only on productivity but also on employee engagement and wellbeing to ensure sustainable performance.</w:t>
      </w:r>
    </w:p>
    <w:p w14:paraId="0AB51BF9" w14:textId="77777777" w:rsidR="005D2505" w:rsidRPr="007A7AE1" w:rsidRDefault="005D2505" w:rsidP="009C2474">
      <w:pPr>
        <w:pStyle w:val="Heading2"/>
        <w:spacing w:after="240" w:line="360" w:lineRule="auto"/>
        <w:rPr>
          <w:rFonts w:ascii="Arial" w:hAnsi="Arial" w:cs="Arial"/>
        </w:rPr>
      </w:pPr>
      <w:bookmarkStart w:id="13" w:name="_Toc235384302"/>
      <w:r w:rsidRPr="007A7AE1">
        <w:rPr>
          <w:rFonts w:ascii="Arial" w:hAnsi="Arial" w:cs="Arial"/>
        </w:rPr>
        <w:t>4.2 Communication and Organisational Culture</w:t>
      </w:r>
      <w:bookmarkEnd w:id="13"/>
    </w:p>
    <w:p w14:paraId="23FA7E1D" w14:textId="43BA6D46" w:rsidR="00124CEE" w:rsidRPr="007A7AE1" w:rsidRDefault="005D2505" w:rsidP="009C2474">
      <w:pPr>
        <w:spacing w:after="240" w:line="360" w:lineRule="auto"/>
        <w:jc w:val="both"/>
        <w:rPr>
          <w:rFonts w:ascii="Arial" w:hAnsi="Arial" w:cs="Arial"/>
        </w:rPr>
      </w:pPr>
      <w:r w:rsidRPr="007A7AE1">
        <w:rPr>
          <w:rFonts w:ascii="Arial" w:hAnsi="Arial" w:cs="Arial"/>
        </w:rPr>
        <w:t>Effective communication reduces uncertainty and increases employee commitment during organisational change (CIPD, 2024</w:t>
      </w:r>
      <w:r w:rsidR="004D455E">
        <w:rPr>
          <w:rFonts w:ascii="Arial" w:hAnsi="Arial" w:cs="Arial"/>
        </w:rPr>
        <w:t>b</w:t>
      </w:r>
      <w:r w:rsidRPr="007A7AE1">
        <w:rPr>
          <w:rFonts w:ascii="Arial" w:hAnsi="Arial" w:cs="Arial"/>
        </w:rPr>
        <w:t>). Within GXO, employees regularly adapt to revised customer requirements, updated warehouse systems and new operational processes. Managers should therefore communicate changes clearly through team briefings, one-to-one meetings and practical demonstrations.</w:t>
      </w:r>
    </w:p>
    <w:p w14:paraId="2CA0F8F8" w14:textId="2BC97621" w:rsidR="005D2505" w:rsidRPr="007A7AE1" w:rsidRDefault="005D2505" w:rsidP="009C2474">
      <w:pPr>
        <w:spacing w:after="240" w:line="360" w:lineRule="auto"/>
        <w:jc w:val="both"/>
        <w:rPr>
          <w:rFonts w:ascii="Arial" w:hAnsi="Arial" w:cs="Arial"/>
        </w:rPr>
      </w:pPr>
      <w:r w:rsidRPr="007A7AE1">
        <w:rPr>
          <w:rFonts w:ascii="Arial" w:hAnsi="Arial" w:cs="Arial"/>
        </w:rPr>
        <w:t xml:space="preserve">Organisational culture also influences the success of HR practices. A culture that values learning, teamwork and continuous improvement </w:t>
      </w:r>
      <w:proofErr w:type="gramStart"/>
      <w:r w:rsidR="004D455E" w:rsidRPr="007A7AE1">
        <w:rPr>
          <w:rFonts w:ascii="Arial" w:hAnsi="Arial" w:cs="Arial"/>
        </w:rPr>
        <w:t>encourage</w:t>
      </w:r>
      <w:r w:rsidR="00EC4D1E">
        <w:rPr>
          <w:rFonts w:ascii="Arial" w:hAnsi="Arial" w:cs="Arial"/>
        </w:rPr>
        <w:t>s</w:t>
      </w:r>
      <w:proofErr w:type="gramEnd"/>
      <w:r w:rsidRPr="007A7AE1">
        <w:rPr>
          <w:rFonts w:ascii="Arial" w:hAnsi="Arial" w:cs="Arial"/>
        </w:rPr>
        <w:t xml:space="preserve"> employees to embrace change rather than resist it (Schein and Schein, 2021). GXO University supports this culture by providing employees with opportunities to develop new skills and prepare for future leadership roles.</w:t>
      </w:r>
    </w:p>
    <w:p w14:paraId="367C1304" w14:textId="77777777" w:rsidR="005D2505" w:rsidRPr="007A7AE1" w:rsidRDefault="005D2505" w:rsidP="009C2474">
      <w:pPr>
        <w:pStyle w:val="Heading2"/>
        <w:spacing w:after="240" w:line="360" w:lineRule="auto"/>
        <w:rPr>
          <w:rFonts w:ascii="Arial" w:hAnsi="Arial" w:cs="Arial"/>
        </w:rPr>
      </w:pPr>
      <w:bookmarkStart w:id="14" w:name="_Toc235384303"/>
      <w:r w:rsidRPr="007A7AE1">
        <w:rPr>
          <w:rFonts w:ascii="Arial" w:hAnsi="Arial" w:cs="Arial"/>
        </w:rPr>
        <w:t>4.3 Monitoring Performance and Overcoming Barriers</w:t>
      </w:r>
      <w:bookmarkEnd w:id="14"/>
    </w:p>
    <w:p w14:paraId="2AC79719" w14:textId="22625D10" w:rsidR="00124CEE" w:rsidRPr="007A7AE1" w:rsidRDefault="005D2505" w:rsidP="009C2474">
      <w:pPr>
        <w:spacing w:after="240" w:line="360" w:lineRule="auto"/>
        <w:jc w:val="both"/>
        <w:rPr>
          <w:rFonts w:ascii="Arial" w:hAnsi="Arial" w:cs="Arial"/>
        </w:rPr>
      </w:pPr>
      <w:r w:rsidRPr="007A7AE1">
        <w:rPr>
          <w:rFonts w:ascii="Arial" w:hAnsi="Arial" w:cs="Arial"/>
        </w:rPr>
        <w:t>Managers should continuously monitor the effectiveness of HR practices using operational KPIs, employee feedback and performance reviews. These measures enable managers to evaluate whether recruitment, training and development initiatives are achieving organisational objectives (Mullins, 2023).</w:t>
      </w:r>
    </w:p>
    <w:p w14:paraId="7D1E02C3" w14:textId="1A5EE498" w:rsidR="00124CEE" w:rsidRPr="007A7AE1" w:rsidRDefault="005D2505" w:rsidP="004F41F9">
      <w:pPr>
        <w:spacing w:after="120" w:line="360" w:lineRule="auto"/>
        <w:jc w:val="both"/>
        <w:rPr>
          <w:rFonts w:ascii="Arial" w:hAnsi="Arial" w:cs="Arial"/>
        </w:rPr>
      </w:pPr>
      <w:r w:rsidRPr="007A7AE1">
        <w:rPr>
          <w:rFonts w:ascii="Arial" w:hAnsi="Arial" w:cs="Arial"/>
        </w:rPr>
        <w:lastRenderedPageBreak/>
        <w:t xml:space="preserve">Despite the benefits of contemporary HR practices, several barriers may affect successful implementation. Employees may resist new </w:t>
      </w:r>
      <w:r w:rsidR="00877EA4" w:rsidRPr="007A7AE1">
        <w:rPr>
          <w:rFonts w:ascii="Arial" w:hAnsi="Arial" w:cs="Arial"/>
        </w:rPr>
        <w:t>technologies;</w:t>
      </w:r>
      <w:r w:rsidRPr="007A7AE1">
        <w:rPr>
          <w:rFonts w:ascii="Arial" w:hAnsi="Arial" w:cs="Arial"/>
        </w:rPr>
        <w:t xml:space="preserve"> operational pressures may reduce opportunities for training and managers may prioritise productivity over employee development. To overcome these barriers, managers should encourage employee participation, recognise individual achievements and provide continuous coaching during organisational change.</w:t>
      </w:r>
    </w:p>
    <w:p w14:paraId="538028FC" w14:textId="3EA92A92" w:rsidR="005D2505" w:rsidRPr="007A7AE1" w:rsidRDefault="005D2505" w:rsidP="009C2474">
      <w:pPr>
        <w:spacing w:after="240" w:line="360" w:lineRule="auto"/>
        <w:jc w:val="both"/>
        <w:rPr>
          <w:rFonts w:ascii="Arial" w:hAnsi="Arial" w:cs="Arial"/>
        </w:rPr>
      </w:pPr>
      <w:r w:rsidRPr="007A7AE1">
        <w:rPr>
          <w:rFonts w:ascii="Arial" w:hAnsi="Arial" w:cs="Arial"/>
        </w:rPr>
        <w:t>Overall, effective managerial leadership is essential to ensure that HR practices support organisational transformation while maintaining employee engagement and operational performance.</w:t>
      </w:r>
    </w:p>
    <w:p w14:paraId="0BB1DD6A" w14:textId="4F2CA562" w:rsidR="00C76F1B" w:rsidRPr="007A7AE1" w:rsidRDefault="00C76F1B" w:rsidP="009C2474">
      <w:pPr>
        <w:pStyle w:val="Heading1"/>
        <w:spacing w:after="240" w:line="360" w:lineRule="auto"/>
        <w:rPr>
          <w:rFonts w:ascii="Arial" w:hAnsi="Arial" w:cs="Arial"/>
        </w:rPr>
      </w:pPr>
      <w:bookmarkStart w:id="15" w:name="_Toc235384304"/>
      <w:r w:rsidRPr="007A7AE1">
        <w:rPr>
          <w:rFonts w:ascii="Arial" w:hAnsi="Arial" w:cs="Arial"/>
        </w:rPr>
        <w:t>5. Conclusion</w:t>
      </w:r>
      <w:bookmarkEnd w:id="15"/>
    </w:p>
    <w:p w14:paraId="5731CC03" w14:textId="2848806B" w:rsidR="00040442" w:rsidRPr="007A7AE1" w:rsidRDefault="00040442" w:rsidP="009C2474">
      <w:pPr>
        <w:spacing w:after="240" w:line="360" w:lineRule="auto"/>
        <w:jc w:val="both"/>
        <w:rPr>
          <w:rFonts w:ascii="Arial" w:hAnsi="Arial" w:cs="Arial"/>
        </w:rPr>
      </w:pPr>
      <w:r w:rsidRPr="007A7AE1">
        <w:rPr>
          <w:rFonts w:ascii="Arial" w:hAnsi="Arial" w:cs="Arial"/>
        </w:rPr>
        <w:t>This report analysed the key HR challenges affecting GXO Logistics, including technological advancement, talent acquisition and retention and Diversity, Equity and Inclusion (DEI). The findings demonstrate that these challenges significantly influence organisational performance, employee engagement and long-term sustainability.</w:t>
      </w:r>
    </w:p>
    <w:p w14:paraId="55728A99" w14:textId="7E1D832A" w:rsidR="00040442" w:rsidRPr="007A7AE1" w:rsidRDefault="00040442" w:rsidP="009C2474">
      <w:pPr>
        <w:spacing w:after="240" w:line="360" w:lineRule="auto"/>
        <w:jc w:val="both"/>
        <w:rPr>
          <w:rFonts w:ascii="Arial" w:hAnsi="Arial" w:cs="Arial"/>
        </w:rPr>
      </w:pPr>
      <w:r w:rsidRPr="007A7AE1">
        <w:rPr>
          <w:rFonts w:ascii="Arial" w:hAnsi="Arial" w:cs="Arial"/>
        </w:rPr>
        <w:t>However, successful implementation depends on effective leadership, communication and continuous employee development. Managers play a critical role in ensuring HR strategies are translated into everyday operational practice.</w:t>
      </w:r>
    </w:p>
    <w:p w14:paraId="3CE576CB" w14:textId="25A696B0" w:rsidR="00EA3F4C" w:rsidRPr="004F41F9" w:rsidRDefault="00C76F1B" w:rsidP="009C2474">
      <w:pPr>
        <w:pStyle w:val="Heading1"/>
        <w:spacing w:after="240" w:line="360" w:lineRule="auto"/>
        <w:rPr>
          <w:rFonts w:ascii="Arial" w:hAnsi="Arial" w:cs="Arial"/>
        </w:rPr>
      </w:pPr>
      <w:bookmarkStart w:id="16" w:name="_Toc235384305"/>
      <w:r w:rsidRPr="00355BC1">
        <w:rPr>
          <w:rFonts w:ascii="Arial" w:hAnsi="Arial" w:cs="Arial"/>
        </w:rPr>
        <w:t>6. Recommendations</w:t>
      </w:r>
      <w:bookmarkEnd w:id="16"/>
      <w:r w:rsidR="007A7AE1" w:rsidRPr="00355BC1">
        <w:rPr>
          <w:rFonts w:ascii="Arial" w:hAnsi="Arial" w:cs="Arial"/>
        </w:rPr>
        <w:t xml:space="preserve"> </w:t>
      </w:r>
    </w:p>
    <w:p w14:paraId="2266E0D5" w14:textId="6C77A628" w:rsidR="002B45E4" w:rsidRPr="007A7AE1" w:rsidRDefault="004D455E" w:rsidP="00391EA5">
      <w:pPr>
        <w:spacing w:after="240" w:line="360" w:lineRule="auto"/>
        <w:jc w:val="both"/>
        <w:rPr>
          <w:rFonts w:ascii="Arial" w:hAnsi="Arial" w:cs="Arial"/>
        </w:rPr>
      </w:pPr>
      <w:r w:rsidRPr="004D455E">
        <w:rPr>
          <w:rFonts w:ascii="Arial" w:hAnsi="Arial" w:cs="Arial"/>
        </w:rPr>
        <w:t>Based on the analysis presented in this report, GXO should continue investing in GXO University and leadership development to support internal career progression, succession planning and employee retention. The organisation should also expand digital skills training to help employees adapt effectively to changing technologies and operational processes. A balanced workforce strategy should be maintained by combining internal recruitment with external agency recruitment during periods of increased labour demand. Departmental managers should use regular one-to-one meetings to identify training needs, discuss career aspirations and support employee wellbeing. In addition, fair and transparent recruitment, promotion and development processes should be maintained to strengthen DEI across the organisation. Finally, GXO should evaluate the effectiveness of these practices through operational KPIs, employee feedback and performance reviews. Together, these actions would address the technological, talent management, inclusion and implementation challenges identified throughout this report</w:t>
      </w:r>
      <w:r w:rsidR="00391EA5">
        <w:rPr>
          <w:rFonts w:ascii="Arial" w:hAnsi="Arial" w:cs="Arial"/>
        </w:rPr>
        <w:t>.</w:t>
      </w:r>
    </w:p>
    <w:p w14:paraId="442286EC" w14:textId="5EFE5335" w:rsidR="008C0169" w:rsidRPr="007A7AE1" w:rsidRDefault="00892C04" w:rsidP="004F41F9">
      <w:pPr>
        <w:pStyle w:val="Heading1"/>
        <w:spacing w:after="120" w:line="360" w:lineRule="auto"/>
        <w:rPr>
          <w:rFonts w:ascii="Arial" w:hAnsi="Arial" w:cs="Arial"/>
        </w:rPr>
      </w:pPr>
      <w:bookmarkStart w:id="17" w:name="_Toc235384306"/>
      <w:r w:rsidRPr="007A7AE1">
        <w:rPr>
          <w:rFonts w:ascii="Arial" w:hAnsi="Arial" w:cs="Arial"/>
        </w:rPr>
        <w:lastRenderedPageBreak/>
        <w:t xml:space="preserve">7. </w:t>
      </w:r>
      <w:r w:rsidR="008C0169" w:rsidRPr="007A7AE1">
        <w:rPr>
          <w:rFonts w:ascii="Arial" w:hAnsi="Arial" w:cs="Arial"/>
        </w:rPr>
        <w:t>Reference List</w:t>
      </w:r>
      <w:bookmarkEnd w:id="17"/>
    </w:p>
    <w:p w14:paraId="4E31F311" w14:textId="77777777" w:rsidR="002704C4" w:rsidRPr="004F41F9" w:rsidRDefault="002704C4" w:rsidP="004F41F9">
      <w:pPr>
        <w:spacing w:after="120" w:line="360" w:lineRule="auto"/>
        <w:jc w:val="both"/>
        <w:rPr>
          <w:rFonts w:ascii="Arial" w:hAnsi="Arial" w:cs="Arial"/>
        </w:rPr>
      </w:pPr>
    </w:p>
    <w:p w14:paraId="666B444A" w14:textId="77777777" w:rsidR="00391EA5" w:rsidRPr="00391EA5" w:rsidRDefault="00391EA5" w:rsidP="00E90202">
      <w:pPr>
        <w:spacing w:after="120" w:line="360" w:lineRule="auto"/>
        <w:ind w:left="1077" w:hanging="720"/>
        <w:jc w:val="both"/>
        <w:rPr>
          <w:rFonts w:ascii="Arial" w:hAnsi="Arial" w:cs="Arial"/>
        </w:rPr>
      </w:pPr>
      <w:r w:rsidRPr="00391EA5">
        <w:rPr>
          <w:rFonts w:ascii="Arial" w:hAnsi="Arial" w:cs="Arial"/>
          <w:lang w:val="pl-PL"/>
        </w:rPr>
        <w:t xml:space="preserve">Aiki, T. R., Okoh, V. O., Banjo, O. J., &amp; Olawore, O. C. (2025). </w:t>
      </w:r>
      <w:r w:rsidRPr="00391EA5">
        <w:rPr>
          <w:rFonts w:ascii="Arial" w:hAnsi="Arial" w:cs="Arial"/>
        </w:rPr>
        <w:t>The Impact of GXO Logistics’ Supply Chain Management Practices on Overall Company Performance. </w:t>
      </w:r>
      <w:r w:rsidRPr="00391EA5">
        <w:rPr>
          <w:rFonts w:ascii="Arial" w:hAnsi="Arial" w:cs="Arial"/>
          <w:i/>
          <w:iCs/>
        </w:rPr>
        <w:t>Saudi Journal of Business and Management Studies</w:t>
      </w:r>
      <w:r w:rsidRPr="00391EA5">
        <w:rPr>
          <w:rFonts w:ascii="Arial" w:hAnsi="Arial" w:cs="Arial"/>
        </w:rPr>
        <w:t>, </w:t>
      </w:r>
      <w:r w:rsidRPr="00391EA5">
        <w:rPr>
          <w:rFonts w:ascii="Arial" w:hAnsi="Arial" w:cs="Arial"/>
          <w:i/>
          <w:iCs/>
        </w:rPr>
        <w:t>10</w:t>
      </w:r>
      <w:r w:rsidRPr="00391EA5">
        <w:rPr>
          <w:rFonts w:ascii="Arial" w:hAnsi="Arial" w:cs="Arial"/>
        </w:rPr>
        <w:t>(6), 229-237.</w:t>
      </w:r>
    </w:p>
    <w:p w14:paraId="3C27A579" w14:textId="77777777" w:rsidR="00391EA5" w:rsidRPr="00391EA5" w:rsidRDefault="00391EA5" w:rsidP="00E90202">
      <w:pPr>
        <w:spacing w:after="0" w:line="360" w:lineRule="auto"/>
        <w:ind w:left="1077" w:hanging="720"/>
        <w:jc w:val="both"/>
        <w:rPr>
          <w:rFonts w:ascii="Arial" w:hAnsi="Arial" w:cs="Arial"/>
        </w:rPr>
      </w:pPr>
      <w:r w:rsidRPr="00391EA5">
        <w:rPr>
          <w:rFonts w:ascii="Arial" w:hAnsi="Arial" w:cs="Arial"/>
        </w:rPr>
        <w:t xml:space="preserve">Armstrong, M. and Taylor, S. (2023) </w:t>
      </w:r>
      <w:r w:rsidRPr="00391EA5">
        <w:rPr>
          <w:rFonts w:ascii="Arial" w:hAnsi="Arial" w:cs="Arial"/>
          <w:i/>
          <w:iCs/>
        </w:rPr>
        <w:t>Armstrong's Handbook of Human Resource Management Practice</w:t>
      </w:r>
      <w:r w:rsidRPr="00391EA5">
        <w:rPr>
          <w:rFonts w:ascii="Arial" w:hAnsi="Arial" w:cs="Arial"/>
        </w:rPr>
        <w:t xml:space="preserve">. 16th </w:t>
      </w:r>
      <w:proofErr w:type="spellStart"/>
      <w:r w:rsidRPr="00391EA5">
        <w:rPr>
          <w:rFonts w:ascii="Arial" w:hAnsi="Arial" w:cs="Arial"/>
        </w:rPr>
        <w:t>edn</w:t>
      </w:r>
      <w:proofErr w:type="spellEnd"/>
      <w:r w:rsidRPr="00391EA5">
        <w:rPr>
          <w:rFonts w:ascii="Arial" w:hAnsi="Arial" w:cs="Arial"/>
        </w:rPr>
        <w:t>. London: Kogan Page.</w:t>
      </w:r>
    </w:p>
    <w:p w14:paraId="5803DD96" w14:textId="77777777" w:rsidR="00391EA5" w:rsidRPr="00391EA5" w:rsidRDefault="00391EA5" w:rsidP="00E90202">
      <w:pPr>
        <w:spacing w:after="0" w:line="360" w:lineRule="auto"/>
        <w:ind w:left="1077" w:hanging="720"/>
        <w:jc w:val="both"/>
        <w:rPr>
          <w:rFonts w:ascii="Arial" w:hAnsi="Arial" w:cs="Arial"/>
        </w:rPr>
      </w:pPr>
      <w:r w:rsidRPr="00391EA5">
        <w:rPr>
          <w:rFonts w:ascii="Arial" w:hAnsi="Arial" w:cs="Arial"/>
        </w:rPr>
        <w:t xml:space="preserve">Beardwell, J. and Thompson, A. (2023) </w:t>
      </w:r>
      <w:r w:rsidRPr="00EC4D1E">
        <w:rPr>
          <w:rFonts w:ascii="Arial" w:hAnsi="Arial" w:cs="Arial"/>
          <w:i/>
          <w:iCs/>
        </w:rPr>
        <w:t>Human Resource Management</w:t>
      </w:r>
      <w:r w:rsidRPr="00391EA5">
        <w:rPr>
          <w:rFonts w:ascii="Arial" w:hAnsi="Arial" w:cs="Arial"/>
        </w:rPr>
        <w:t xml:space="preserve">. 10th </w:t>
      </w:r>
      <w:proofErr w:type="spellStart"/>
      <w:r w:rsidRPr="00391EA5">
        <w:rPr>
          <w:rFonts w:ascii="Arial" w:hAnsi="Arial" w:cs="Arial"/>
        </w:rPr>
        <w:t>edn</w:t>
      </w:r>
      <w:proofErr w:type="spellEnd"/>
      <w:r w:rsidRPr="00391EA5">
        <w:rPr>
          <w:rFonts w:ascii="Arial" w:hAnsi="Arial" w:cs="Arial"/>
        </w:rPr>
        <w:t>. Harlow: Pearson.</w:t>
      </w:r>
    </w:p>
    <w:p w14:paraId="27589A09" w14:textId="77777777" w:rsidR="00391EA5" w:rsidRPr="00391EA5" w:rsidRDefault="00391EA5" w:rsidP="00E90202">
      <w:pPr>
        <w:spacing w:after="0" w:line="360" w:lineRule="auto"/>
        <w:ind w:left="1077" w:hanging="720"/>
        <w:jc w:val="both"/>
        <w:rPr>
          <w:rFonts w:ascii="Arial" w:hAnsi="Arial" w:cs="Arial"/>
        </w:rPr>
      </w:pPr>
      <w:r w:rsidRPr="00391EA5">
        <w:rPr>
          <w:rFonts w:ascii="Arial" w:hAnsi="Arial" w:cs="Arial"/>
        </w:rPr>
        <w:t xml:space="preserve">Boxall, P. and Purcell, J. (2022) </w:t>
      </w:r>
      <w:r w:rsidRPr="00E90202">
        <w:rPr>
          <w:rFonts w:ascii="Arial" w:hAnsi="Arial" w:cs="Arial"/>
          <w:i/>
          <w:iCs/>
        </w:rPr>
        <w:t>Strategy and Human Resource Managemen</w:t>
      </w:r>
      <w:r w:rsidRPr="00391EA5">
        <w:rPr>
          <w:rFonts w:ascii="Arial" w:hAnsi="Arial" w:cs="Arial"/>
        </w:rPr>
        <w:t xml:space="preserve">t. 5th </w:t>
      </w:r>
      <w:proofErr w:type="spellStart"/>
      <w:r w:rsidRPr="00391EA5">
        <w:rPr>
          <w:rFonts w:ascii="Arial" w:hAnsi="Arial" w:cs="Arial"/>
        </w:rPr>
        <w:t>edn</w:t>
      </w:r>
      <w:proofErr w:type="spellEnd"/>
      <w:r w:rsidRPr="00391EA5">
        <w:rPr>
          <w:rFonts w:ascii="Arial" w:hAnsi="Arial" w:cs="Arial"/>
        </w:rPr>
        <w:t>. London: Red Globe Press.</w:t>
      </w:r>
    </w:p>
    <w:p w14:paraId="0D1A1D3F" w14:textId="77777777" w:rsidR="00391EA5" w:rsidRPr="00391EA5" w:rsidRDefault="00391EA5" w:rsidP="00E90202">
      <w:pPr>
        <w:spacing w:after="0" w:line="360" w:lineRule="auto"/>
        <w:ind w:left="1077" w:hanging="720"/>
        <w:jc w:val="both"/>
        <w:rPr>
          <w:rFonts w:ascii="Arial" w:hAnsi="Arial" w:cs="Arial"/>
        </w:rPr>
      </w:pPr>
      <w:r w:rsidRPr="00391EA5">
        <w:rPr>
          <w:rFonts w:ascii="Arial" w:hAnsi="Arial" w:cs="Arial"/>
        </w:rPr>
        <w:t xml:space="preserve">Bratton, J. and Gold, J. (2022) </w:t>
      </w:r>
      <w:r w:rsidRPr="00E90202">
        <w:rPr>
          <w:rFonts w:ascii="Arial" w:hAnsi="Arial" w:cs="Arial"/>
          <w:i/>
          <w:iCs/>
        </w:rPr>
        <w:t>Human Resource Management: Theory and Practice</w:t>
      </w:r>
      <w:r w:rsidRPr="00391EA5">
        <w:rPr>
          <w:rFonts w:ascii="Arial" w:hAnsi="Arial" w:cs="Arial"/>
        </w:rPr>
        <w:t xml:space="preserve">. 7th </w:t>
      </w:r>
      <w:proofErr w:type="spellStart"/>
      <w:r w:rsidRPr="00391EA5">
        <w:rPr>
          <w:rFonts w:ascii="Arial" w:hAnsi="Arial" w:cs="Arial"/>
        </w:rPr>
        <w:t>edn</w:t>
      </w:r>
      <w:proofErr w:type="spellEnd"/>
      <w:r w:rsidRPr="00391EA5">
        <w:rPr>
          <w:rFonts w:ascii="Arial" w:hAnsi="Arial" w:cs="Arial"/>
        </w:rPr>
        <w:t>. London: Palgrave Macmillan.</w:t>
      </w:r>
    </w:p>
    <w:p w14:paraId="3DE0A26C" w14:textId="77777777" w:rsidR="00391EA5" w:rsidRPr="00391EA5" w:rsidRDefault="00391EA5" w:rsidP="00E90202">
      <w:pPr>
        <w:spacing w:after="0" w:line="360" w:lineRule="auto"/>
        <w:ind w:left="1077" w:hanging="720"/>
        <w:jc w:val="both"/>
        <w:rPr>
          <w:rFonts w:ascii="Arial" w:hAnsi="Arial" w:cs="Arial"/>
        </w:rPr>
      </w:pPr>
      <w:r w:rsidRPr="00391EA5">
        <w:rPr>
          <w:rFonts w:ascii="Arial" w:hAnsi="Arial" w:cs="Arial"/>
        </w:rPr>
        <w:t xml:space="preserve">CIPD (2023) </w:t>
      </w:r>
      <w:r w:rsidRPr="00E90202">
        <w:rPr>
          <w:rFonts w:ascii="Arial" w:hAnsi="Arial" w:cs="Arial"/>
          <w:i/>
          <w:iCs/>
        </w:rPr>
        <w:t>Diversity, Equity and Inclusion Factsheet</w:t>
      </w:r>
      <w:r w:rsidRPr="00391EA5">
        <w:rPr>
          <w:rFonts w:ascii="Arial" w:hAnsi="Arial" w:cs="Arial"/>
        </w:rPr>
        <w:t xml:space="preserve">. Available at: </w:t>
      </w:r>
      <w:hyperlink r:id="rId25" w:history="1">
        <w:r w:rsidRPr="00391EA5">
          <w:rPr>
            <w:rStyle w:val="Hyperlink"/>
            <w:rFonts w:ascii="Arial" w:hAnsi="Arial" w:cs="Arial"/>
          </w:rPr>
          <w:t>https://www.cipd.org.uk</w:t>
        </w:r>
      </w:hyperlink>
      <w:r w:rsidRPr="00391EA5">
        <w:rPr>
          <w:rFonts w:ascii="Segoe UI Symbol" w:hAnsi="Segoe UI Symbol" w:cs="Segoe UI Symbol"/>
        </w:rPr>
        <w:t>⁠</w:t>
      </w:r>
      <w:r w:rsidRPr="00391EA5">
        <w:rPr>
          <w:rFonts w:ascii="Arial" w:hAnsi="Arial" w:cs="Arial"/>
        </w:rPr>
        <w:t xml:space="preserve"> (Accessed: 13 July 2026).</w:t>
      </w:r>
    </w:p>
    <w:p w14:paraId="6DC3ED56" w14:textId="77777777" w:rsidR="00391EA5" w:rsidRPr="00391EA5" w:rsidRDefault="00391EA5" w:rsidP="00E90202">
      <w:pPr>
        <w:spacing w:after="0" w:line="360" w:lineRule="auto"/>
        <w:ind w:left="1077" w:hanging="720"/>
        <w:jc w:val="both"/>
        <w:rPr>
          <w:rFonts w:ascii="Arial" w:hAnsi="Arial" w:cs="Arial"/>
        </w:rPr>
      </w:pPr>
      <w:r w:rsidRPr="00391EA5">
        <w:rPr>
          <w:rFonts w:ascii="Arial" w:hAnsi="Arial" w:cs="Arial"/>
        </w:rPr>
        <w:t xml:space="preserve">CIPD (2024a) </w:t>
      </w:r>
      <w:r w:rsidRPr="00E90202">
        <w:rPr>
          <w:rFonts w:ascii="Arial" w:hAnsi="Arial" w:cs="Arial"/>
          <w:i/>
          <w:iCs/>
        </w:rPr>
        <w:t>Recruitment and Selection Factsheet</w:t>
      </w:r>
      <w:r w:rsidRPr="00391EA5">
        <w:rPr>
          <w:rFonts w:ascii="Arial" w:hAnsi="Arial" w:cs="Arial"/>
        </w:rPr>
        <w:t xml:space="preserve">. Available at: </w:t>
      </w:r>
      <w:hyperlink r:id="rId26" w:history="1">
        <w:r w:rsidRPr="00391EA5">
          <w:rPr>
            <w:rStyle w:val="Hyperlink"/>
            <w:rFonts w:ascii="Arial" w:hAnsi="Arial" w:cs="Arial"/>
          </w:rPr>
          <w:t>https://www.cipd.org.uk</w:t>
        </w:r>
      </w:hyperlink>
      <w:r w:rsidRPr="00391EA5">
        <w:rPr>
          <w:rFonts w:ascii="Segoe UI Symbol" w:hAnsi="Segoe UI Symbol" w:cs="Segoe UI Symbol"/>
        </w:rPr>
        <w:t>⁠</w:t>
      </w:r>
      <w:r w:rsidRPr="00391EA5">
        <w:rPr>
          <w:rFonts w:ascii="Arial" w:hAnsi="Arial" w:cs="Arial"/>
        </w:rPr>
        <w:t xml:space="preserve"> (Accessed: 13 July 2026).</w:t>
      </w:r>
    </w:p>
    <w:p w14:paraId="1074EFDC" w14:textId="77777777" w:rsidR="00391EA5" w:rsidRPr="00391EA5" w:rsidRDefault="00391EA5" w:rsidP="00E90202">
      <w:pPr>
        <w:spacing w:after="0" w:line="360" w:lineRule="auto"/>
        <w:ind w:left="1077" w:hanging="720"/>
        <w:jc w:val="both"/>
        <w:rPr>
          <w:rFonts w:ascii="Arial" w:hAnsi="Arial" w:cs="Arial"/>
        </w:rPr>
      </w:pPr>
      <w:r w:rsidRPr="00391EA5">
        <w:rPr>
          <w:rFonts w:ascii="Arial" w:hAnsi="Arial" w:cs="Arial"/>
        </w:rPr>
        <w:t xml:space="preserve">CIPD (2024b) </w:t>
      </w:r>
      <w:r w:rsidRPr="00E90202">
        <w:rPr>
          <w:rFonts w:ascii="Arial" w:hAnsi="Arial" w:cs="Arial"/>
          <w:i/>
          <w:iCs/>
        </w:rPr>
        <w:t>Technology and the Future of Work.</w:t>
      </w:r>
      <w:r w:rsidRPr="00391EA5">
        <w:rPr>
          <w:rFonts w:ascii="Arial" w:hAnsi="Arial" w:cs="Arial"/>
        </w:rPr>
        <w:t xml:space="preserve"> Available at: </w:t>
      </w:r>
      <w:hyperlink r:id="rId27" w:history="1">
        <w:r w:rsidRPr="00391EA5">
          <w:rPr>
            <w:rStyle w:val="Hyperlink"/>
            <w:rFonts w:ascii="Arial" w:hAnsi="Arial" w:cs="Arial"/>
          </w:rPr>
          <w:t>https://www.cipd.org.uk</w:t>
        </w:r>
      </w:hyperlink>
      <w:r w:rsidRPr="00391EA5">
        <w:rPr>
          <w:rFonts w:ascii="Segoe UI Symbol" w:hAnsi="Segoe UI Symbol" w:cs="Segoe UI Symbol"/>
        </w:rPr>
        <w:t>⁠</w:t>
      </w:r>
      <w:r w:rsidRPr="00391EA5">
        <w:rPr>
          <w:rFonts w:ascii="Arial" w:hAnsi="Arial" w:cs="Arial"/>
        </w:rPr>
        <w:t xml:space="preserve"> (Accessed: 13 July 2026).</w:t>
      </w:r>
    </w:p>
    <w:p w14:paraId="712288E3" w14:textId="77777777" w:rsidR="00391EA5" w:rsidRPr="00391EA5" w:rsidRDefault="00391EA5" w:rsidP="00E90202">
      <w:pPr>
        <w:spacing w:after="0" w:line="360" w:lineRule="auto"/>
        <w:ind w:left="1077" w:hanging="720"/>
        <w:jc w:val="both"/>
        <w:rPr>
          <w:rFonts w:ascii="Arial" w:hAnsi="Arial" w:cs="Arial"/>
        </w:rPr>
      </w:pPr>
      <w:r w:rsidRPr="00391EA5">
        <w:rPr>
          <w:rFonts w:ascii="Arial" w:hAnsi="Arial" w:cs="Arial"/>
        </w:rPr>
        <w:t xml:space="preserve">GXO Logistics (2025) </w:t>
      </w:r>
      <w:r w:rsidRPr="00E90202">
        <w:rPr>
          <w:rFonts w:ascii="Arial" w:hAnsi="Arial" w:cs="Arial"/>
          <w:i/>
          <w:iCs/>
        </w:rPr>
        <w:t>Careers and Company Information</w:t>
      </w:r>
      <w:r w:rsidRPr="00391EA5">
        <w:rPr>
          <w:rFonts w:ascii="Arial" w:hAnsi="Arial" w:cs="Arial"/>
        </w:rPr>
        <w:t xml:space="preserve">. Available at: </w:t>
      </w:r>
      <w:hyperlink r:id="rId28" w:history="1">
        <w:r w:rsidRPr="00391EA5">
          <w:rPr>
            <w:rStyle w:val="Hyperlink"/>
            <w:rFonts w:ascii="Arial" w:hAnsi="Arial" w:cs="Arial"/>
          </w:rPr>
          <w:t>https://gxo.com</w:t>
        </w:r>
      </w:hyperlink>
      <w:r w:rsidRPr="00391EA5">
        <w:rPr>
          <w:rFonts w:ascii="Segoe UI Symbol" w:hAnsi="Segoe UI Symbol" w:cs="Segoe UI Symbol"/>
        </w:rPr>
        <w:t>⁠</w:t>
      </w:r>
      <w:r w:rsidRPr="00391EA5">
        <w:rPr>
          <w:rFonts w:ascii="Arial" w:hAnsi="Arial" w:cs="Arial"/>
        </w:rPr>
        <w:t xml:space="preserve"> (Accessed: 13 July 2026).</w:t>
      </w:r>
    </w:p>
    <w:p w14:paraId="54EA4E9F" w14:textId="77777777" w:rsidR="00391EA5" w:rsidRPr="00391EA5" w:rsidRDefault="00391EA5" w:rsidP="00E90202">
      <w:pPr>
        <w:spacing w:after="0" w:line="360" w:lineRule="auto"/>
        <w:ind w:left="1077" w:hanging="720"/>
        <w:jc w:val="both"/>
        <w:rPr>
          <w:rFonts w:ascii="Arial" w:hAnsi="Arial" w:cs="Arial"/>
        </w:rPr>
      </w:pPr>
      <w:r w:rsidRPr="00391EA5">
        <w:rPr>
          <w:rFonts w:ascii="Arial" w:hAnsi="Arial" w:cs="Arial"/>
        </w:rPr>
        <w:t xml:space="preserve">Kotter, J.P. (2012) </w:t>
      </w:r>
      <w:r w:rsidRPr="00E90202">
        <w:rPr>
          <w:rFonts w:ascii="Arial" w:hAnsi="Arial" w:cs="Arial"/>
          <w:i/>
          <w:iCs/>
        </w:rPr>
        <w:t>Leading Change</w:t>
      </w:r>
      <w:r w:rsidRPr="00391EA5">
        <w:rPr>
          <w:rFonts w:ascii="Arial" w:hAnsi="Arial" w:cs="Arial"/>
        </w:rPr>
        <w:t>. Boston: Harvard Business Review Press.</w:t>
      </w:r>
    </w:p>
    <w:p w14:paraId="3BD701CE" w14:textId="77777777" w:rsidR="00391EA5" w:rsidRPr="00391EA5" w:rsidRDefault="00391EA5" w:rsidP="00E90202">
      <w:pPr>
        <w:spacing w:after="0" w:line="360" w:lineRule="auto"/>
        <w:ind w:left="1077" w:hanging="720"/>
        <w:jc w:val="both"/>
        <w:rPr>
          <w:rFonts w:ascii="Arial" w:hAnsi="Arial" w:cs="Arial"/>
        </w:rPr>
      </w:pPr>
      <w:r w:rsidRPr="00391EA5">
        <w:rPr>
          <w:rFonts w:ascii="Arial" w:hAnsi="Arial" w:cs="Arial"/>
        </w:rPr>
        <w:t xml:space="preserve">Marchington, M. et al. (2021) </w:t>
      </w:r>
      <w:r w:rsidRPr="00E90202">
        <w:rPr>
          <w:rFonts w:ascii="Arial" w:hAnsi="Arial" w:cs="Arial"/>
          <w:i/>
          <w:iCs/>
        </w:rPr>
        <w:t>Human Resource Management at Work</w:t>
      </w:r>
      <w:r w:rsidRPr="00391EA5">
        <w:rPr>
          <w:rFonts w:ascii="Arial" w:hAnsi="Arial" w:cs="Arial"/>
        </w:rPr>
        <w:t xml:space="preserve">. 7th </w:t>
      </w:r>
      <w:proofErr w:type="spellStart"/>
      <w:r w:rsidRPr="00391EA5">
        <w:rPr>
          <w:rFonts w:ascii="Arial" w:hAnsi="Arial" w:cs="Arial"/>
        </w:rPr>
        <w:t>edn</w:t>
      </w:r>
      <w:proofErr w:type="spellEnd"/>
      <w:r w:rsidRPr="00391EA5">
        <w:rPr>
          <w:rFonts w:ascii="Arial" w:hAnsi="Arial" w:cs="Arial"/>
        </w:rPr>
        <w:t>. London: CIPD.</w:t>
      </w:r>
    </w:p>
    <w:p w14:paraId="426CFFB9" w14:textId="77777777" w:rsidR="00391EA5" w:rsidRPr="00391EA5" w:rsidRDefault="00391EA5" w:rsidP="00E90202">
      <w:pPr>
        <w:spacing w:after="0" w:line="360" w:lineRule="auto"/>
        <w:ind w:left="1077" w:hanging="720"/>
        <w:jc w:val="both"/>
        <w:rPr>
          <w:rFonts w:ascii="Arial" w:hAnsi="Arial" w:cs="Arial"/>
        </w:rPr>
      </w:pPr>
      <w:r w:rsidRPr="00391EA5">
        <w:rPr>
          <w:rFonts w:ascii="Arial" w:hAnsi="Arial" w:cs="Arial"/>
        </w:rPr>
        <w:t xml:space="preserve">Mullins, L.J. (2023) </w:t>
      </w:r>
      <w:r w:rsidRPr="00E90202">
        <w:rPr>
          <w:rFonts w:ascii="Arial" w:hAnsi="Arial" w:cs="Arial"/>
          <w:i/>
          <w:iCs/>
        </w:rPr>
        <w:t>Management and Organisational Behaviour.</w:t>
      </w:r>
      <w:r w:rsidRPr="00391EA5">
        <w:rPr>
          <w:rFonts w:ascii="Arial" w:hAnsi="Arial" w:cs="Arial"/>
        </w:rPr>
        <w:t xml:space="preserve"> 13th </w:t>
      </w:r>
      <w:proofErr w:type="spellStart"/>
      <w:r w:rsidRPr="00391EA5">
        <w:rPr>
          <w:rFonts w:ascii="Arial" w:hAnsi="Arial" w:cs="Arial"/>
        </w:rPr>
        <w:t>edn</w:t>
      </w:r>
      <w:proofErr w:type="spellEnd"/>
      <w:r w:rsidRPr="00391EA5">
        <w:rPr>
          <w:rFonts w:ascii="Arial" w:hAnsi="Arial" w:cs="Arial"/>
        </w:rPr>
        <w:t>. Harlow: Pearson.</w:t>
      </w:r>
    </w:p>
    <w:p w14:paraId="6A9B2569" w14:textId="77777777" w:rsidR="00391EA5" w:rsidRPr="00391EA5" w:rsidRDefault="00391EA5" w:rsidP="00E90202">
      <w:pPr>
        <w:spacing w:after="0" w:line="360" w:lineRule="auto"/>
        <w:ind w:left="1077" w:hanging="720"/>
        <w:jc w:val="both"/>
        <w:rPr>
          <w:rFonts w:ascii="Arial" w:hAnsi="Arial" w:cs="Arial"/>
        </w:rPr>
      </w:pPr>
      <w:r w:rsidRPr="00391EA5">
        <w:rPr>
          <w:rFonts w:ascii="Arial" w:hAnsi="Arial" w:cs="Arial"/>
        </w:rPr>
        <w:t xml:space="preserve">Schein, E.H. and Schein, P. (2021) </w:t>
      </w:r>
      <w:r w:rsidRPr="00E90202">
        <w:rPr>
          <w:rFonts w:ascii="Arial" w:hAnsi="Arial" w:cs="Arial"/>
          <w:i/>
          <w:iCs/>
        </w:rPr>
        <w:t>Organizational Culture and Leadership</w:t>
      </w:r>
      <w:r w:rsidRPr="00391EA5">
        <w:rPr>
          <w:rFonts w:ascii="Arial" w:hAnsi="Arial" w:cs="Arial"/>
        </w:rPr>
        <w:t xml:space="preserve">. 5th </w:t>
      </w:r>
      <w:proofErr w:type="spellStart"/>
      <w:r w:rsidRPr="00391EA5">
        <w:rPr>
          <w:rFonts w:ascii="Arial" w:hAnsi="Arial" w:cs="Arial"/>
        </w:rPr>
        <w:t>edn</w:t>
      </w:r>
      <w:proofErr w:type="spellEnd"/>
      <w:r w:rsidRPr="00391EA5">
        <w:rPr>
          <w:rFonts w:ascii="Arial" w:hAnsi="Arial" w:cs="Arial"/>
        </w:rPr>
        <w:t>. Hoboken: Wiley.</w:t>
      </w:r>
    </w:p>
    <w:p w14:paraId="5CF718BD" w14:textId="77777777" w:rsidR="00391EA5" w:rsidRPr="00391EA5" w:rsidRDefault="00391EA5" w:rsidP="00E90202">
      <w:pPr>
        <w:spacing w:after="0" w:line="360" w:lineRule="auto"/>
        <w:ind w:left="1077" w:hanging="720"/>
        <w:jc w:val="both"/>
        <w:rPr>
          <w:rFonts w:ascii="Arial" w:hAnsi="Arial" w:cs="Arial"/>
        </w:rPr>
      </w:pPr>
      <w:r w:rsidRPr="00391EA5">
        <w:rPr>
          <w:rFonts w:ascii="Arial" w:hAnsi="Arial" w:cs="Arial"/>
        </w:rPr>
        <w:t xml:space="preserve">Taylor, S. (2022) </w:t>
      </w:r>
      <w:r w:rsidRPr="00E90202">
        <w:rPr>
          <w:rFonts w:ascii="Arial" w:hAnsi="Arial" w:cs="Arial"/>
          <w:i/>
          <w:iCs/>
        </w:rPr>
        <w:t>Resourcing and Talent Management</w:t>
      </w:r>
      <w:r w:rsidRPr="00391EA5">
        <w:rPr>
          <w:rFonts w:ascii="Arial" w:hAnsi="Arial" w:cs="Arial"/>
        </w:rPr>
        <w:t xml:space="preserve">. 9th </w:t>
      </w:r>
      <w:proofErr w:type="spellStart"/>
      <w:r w:rsidRPr="00391EA5">
        <w:rPr>
          <w:rFonts w:ascii="Arial" w:hAnsi="Arial" w:cs="Arial"/>
        </w:rPr>
        <w:t>edn</w:t>
      </w:r>
      <w:proofErr w:type="spellEnd"/>
      <w:r w:rsidRPr="00391EA5">
        <w:rPr>
          <w:rFonts w:ascii="Arial" w:hAnsi="Arial" w:cs="Arial"/>
        </w:rPr>
        <w:t>. London: CIPD.</w:t>
      </w:r>
    </w:p>
    <w:p w14:paraId="0E7D0492" w14:textId="77777777" w:rsidR="00391EA5" w:rsidRPr="00391EA5" w:rsidRDefault="00391EA5" w:rsidP="00E90202">
      <w:pPr>
        <w:spacing w:after="0" w:line="360" w:lineRule="auto"/>
        <w:ind w:left="1077" w:hanging="720"/>
        <w:jc w:val="both"/>
        <w:rPr>
          <w:rFonts w:ascii="Arial" w:hAnsi="Arial" w:cs="Arial"/>
        </w:rPr>
      </w:pPr>
      <w:r w:rsidRPr="00391EA5">
        <w:rPr>
          <w:rFonts w:ascii="Arial" w:hAnsi="Arial" w:cs="Arial"/>
        </w:rPr>
        <w:t xml:space="preserve">Torrington, D. et al. (2020) </w:t>
      </w:r>
      <w:r w:rsidRPr="00E90202">
        <w:rPr>
          <w:rFonts w:ascii="Arial" w:hAnsi="Arial" w:cs="Arial"/>
          <w:i/>
          <w:iCs/>
        </w:rPr>
        <w:t>Human Resource Management</w:t>
      </w:r>
      <w:r w:rsidRPr="00391EA5">
        <w:rPr>
          <w:rFonts w:ascii="Arial" w:hAnsi="Arial" w:cs="Arial"/>
        </w:rPr>
        <w:t xml:space="preserve">. 11th </w:t>
      </w:r>
      <w:proofErr w:type="spellStart"/>
      <w:r w:rsidRPr="00391EA5">
        <w:rPr>
          <w:rFonts w:ascii="Arial" w:hAnsi="Arial" w:cs="Arial"/>
        </w:rPr>
        <w:t>edn</w:t>
      </w:r>
      <w:proofErr w:type="spellEnd"/>
      <w:r w:rsidRPr="00391EA5">
        <w:rPr>
          <w:rFonts w:ascii="Arial" w:hAnsi="Arial" w:cs="Arial"/>
        </w:rPr>
        <w:t>. Harlow: Pearson.</w:t>
      </w:r>
    </w:p>
    <w:p w14:paraId="6D251CD1" w14:textId="77777777" w:rsidR="00391EA5" w:rsidRPr="00391EA5" w:rsidRDefault="00391EA5" w:rsidP="00E90202">
      <w:pPr>
        <w:spacing w:after="0" w:line="360" w:lineRule="auto"/>
        <w:ind w:left="1077" w:hanging="720"/>
        <w:jc w:val="both"/>
        <w:rPr>
          <w:rFonts w:ascii="Arial" w:hAnsi="Arial" w:cs="Arial"/>
        </w:rPr>
      </w:pPr>
      <w:r w:rsidRPr="00391EA5">
        <w:rPr>
          <w:rFonts w:ascii="Arial" w:hAnsi="Arial" w:cs="Arial"/>
        </w:rPr>
        <w:t xml:space="preserve">Wilton, N. (2022) </w:t>
      </w:r>
      <w:r w:rsidRPr="00E90202">
        <w:rPr>
          <w:rFonts w:ascii="Arial" w:hAnsi="Arial" w:cs="Arial"/>
          <w:i/>
          <w:iCs/>
        </w:rPr>
        <w:t>An Introduction to Human Resource Management</w:t>
      </w:r>
      <w:r w:rsidRPr="00391EA5">
        <w:rPr>
          <w:rFonts w:ascii="Arial" w:hAnsi="Arial" w:cs="Arial"/>
        </w:rPr>
        <w:t xml:space="preserve">. 5th </w:t>
      </w:r>
      <w:proofErr w:type="spellStart"/>
      <w:r w:rsidRPr="00391EA5">
        <w:rPr>
          <w:rFonts w:ascii="Arial" w:hAnsi="Arial" w:cs="Arial"/>
        </w:rPr>
        <w:t>edn</w:t>
      </w:r>
      <w:proofErr w:type="spellEnd"/>
      <w:r w:rsidRPr="00391EA5">
        <w:rPr>
          <w:rFonts w:ascii="Arial" w:hAnsi="Arial" w:cs="Arial"/>
        </w:rPr>
        <w:t>. London: Sage.</w:t>
      </w:r>
    </w:p>
    <w:p w14:paraId="43CF7E94" w14:textId="77777777" w:rsidR="00391EA5" w:rsidRPr="00391EA5" w:rsidRDefault="00391EA5" w:rsidP="00E90202">
      <w:pPr>
        <w:spacing w:after="0" w:line="360" w:lineRule="auto"/>
        <w:ind w:left="1077" w:hanging="720"/>
        <w:jc w:val="both"/>
        <w:rPr>
          <w:rFonts w:ascii="Arial" w:hAnsi="Arial" w:cs="Arial"/>
        </w:rPr>
      </w:pPr>
      <w:r w:rsidRPr="00391EA5">
        <w:rPr>
          <w:rFonts w:ascii="Arial" w:hAnsi="Arial" w:cs="Arial"/>
        </w:rPr>
        <w:t xml:space="preserve">Wood, S. and Bischoff, C. (2020) 'Strategic recruitment during organisational change', </w:t>
      </w:r>
      <w:r w:rsidRPr="00E90202">
        <w:rPr>
          <w:rFonts w:ascii="Arial" w:hAnsi="Arial" w:cs="Arial"/>
          <w:i/>
          <w:iCs/>
        </w:rPr>
        <w:t>Human Resource Management Journal</w:t>
      </w:r>
      <w:r w:rsidRPr="00391EA5">
        <w:rPr>
          <w:rFonts w:ascii="Arial" w:hAnsi="Arial" w:cs="Arial"/>
        </w:rPr>
        <w:t>, 30(4), pp. 455-470.</w:t>
      </w:r>
    </w:p>
    <w:sectPr w:rsidR="00391EA5" w:rsidRPr="00391EA5">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1DCE12" w14:textId="77777777" w:rsidR="00531AFD" w:rsidRDefault="00531AFD" w:rsidP="006E5EC7">
      <w:pPr>
        <w:spacing w:after="0" w:line="240" w:lineRule="auto"/>
      </w:pPr>
      <w:r>
        <w:separator/>
      </w:r>
    </w:p>
  </w:endnote>
  <w:endnote w:type="continuationSeparator" w:id="0">
    <w:p w14:paraId="000826BF" w14:textId="77777777" w:rsidR="00531AFD" w:rsidRDefault="00531AFD" w:rsidP="006E5E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31281"/>
      <w:docPartObj>
        <w:docPartGallery w:val="Page Numbers (Bottom of Page)"/>
        <w:docPartUnique/>
      </w:docPartObj>
    </w:sdtPr>
    <w:sdtEndPr>
      <w:rPr>
        <w:noProof/>
      </w:rPr>
    </w:sdtEndPr>
    <w:sdtContent>
      <w:p w14:paraId="53E2636B" w14:textId="1AD52F1F" w:rsidR="006E5EC7" w:rsidRDefault="006E5E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760220" w14:textId="77777777" w:rsidR="006E5EC7" w:rsidRDefault="006E5E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0DF322" w14:textId="77777777" w:rsidR="00531AFD" w:rsidRDefault="00531AFD" w:rsidP="006E5EC7">
      <w:pPr>
        <w:spacing w:after="0" w:line="240" w:lineRule="auto"/>
      </w:pPr>
      <w:r>
        <w:separator/>
      </w:r>
    </w:p>
  </w:footnote>
  <w:footnote w:type="continuationSeparator" w:id="0">
    <w:p w14:paraId="4BE8D51B" w14:textId="77777777" w:rsidR="00531AFD" w:rsidRDefault="00531AFD" w:rsidP="006E5E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87AEB"/>
    <w:multiLevelType w:val="hybridMultilevel"/>
    <w:tmpl w:val="630AF5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3D3C74"/>
    <w:multiLevelType w:val="hybridMultilevel"/>
    <w:tmpl w:val="60D429D0"/>
    <w:lvl w:ilvl="0" w:tplc="B6A09A64">
      <w:start w:val="1"/>
      <w:numFmt w:val="decimal"/>
      <w:lvlText w:val="%1."/>
      <w:lvlJc w:val="left"/>
      <w:pPr>
        <w:ind w:left="743" w:hanging="383"/>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5B2C6D"/>
    <w:multiLevelType w:val="hybridMultilevel"/>
    <w:tmpl w:val="33383A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1A7745"/>
    <w:multiLevelType w:val="hybridMultilevel"/>
    <w:tmpl w:val="7646C3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EC09AE"/>
    <w:multiLevelType w:val="hybridMultilevel"/>
    <w:tmpl w:val="17BC0D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29459297">
    <w:abstractNumId w:val="2"/>
  </w:num>
  <w:num w:numId="2" w16cid:durableId="899710502">
    <w:abstractNumId w:val="1"/>
  </w:num>
  <w:num w:numId="3" w16cid:durableId="1395079309">
    <w:abstractNumId w:val="0"/>
  </w:num>
  <w:num w:numId="4" w16cid:durableId="1108769918">
    <w:abstractNumId w:val="3"/>
  </w:num>
  <w:num w:numId="5" w16cid:durableId="7685009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343"/>
    <w:rsid w:val="00040442"/>
    <w:rsid w:val="00056E99"/>
    <w:rsid w:val="000818BA"/>
    <w:rsid w:val="000B7556"/>
    <w:rsid w:val="00115EF6"/>
    <w:rsid w:val="00122AB5"/>
    <w:rsid w:val="00124CEE"/>
    <w:rsid w:val="00151FD3"/>
    <w:rsid w:val="0018628B"/>
    <w:rsid w:val="00191E0F"/>
    <w:rsid w:val="00193F0F"/>
    <w:rsid w:val="001A340A"/>
    <w:rsid w:val="001B158F"/>
    <w:rsid w:val="001C0D9B"/>
    <w:rsid w:val="001E7E20"/>
    <w:rsid w:val="001F37C7"/>
    <w:rsid w:val="001F403B"/>
    <w:rsid w:val="00212435"/>
    <w:rsid w:val="00212F8E"/>
    <w:rsid w:val="002205CB"/>
    <w:rsid w:val="00226410"/>
    <w:rsid w:val="00226666"/>
    <w:rsid w:val="00234D6E"/>
    <w:rsid w:val="002428FD"/>
    <w:rsid w:val="002704C4"/>
    <w:rsid w:val="00296AC8"/>
    <w:rsid w:val="002B45E4"/>
    <w:rsid w:val="002B7B89"/>
    <w:rsid w:val="002C1703"/>
    <w:rsid w:val="002D1E93"/>
    <w:rsid w:val="002E3069"/>
    <w:rsid w:val="00355BC1"/>
    <w:rsid w:val="00362652"/>
    <w:rsid w:val="00370258"/>
    <w:rsid w:val="00391EA5"/>
    <w:rsid w:val="003C05B9"/>
    <w:rsid w:val="00406523"/>
    <w:rsid w:val="004166C1"/>
    <w:rsid w:val="00416944"/>
    <w:rsid w:val="004307FB"/>
    <w:rsid w:val="0044045C"/>
    <w:rsid w:val="0046041A"/>
    <w:rsid w:val="004B41A2"/>
    <w:rsid w:val="004D455E"/>
    <w:rsid w:val="004F41F9"/>
    <w:rsid w:val="004F722D"/>
    <w:rsid w:val="005078F8"/>
    <w:rsid w:val="00531AFD"/>
    <w:rsid w:val="00587F52"/>
    <w:rsid w:val="005A4A54"/>
    <w:rsid w:val="005B7610"/>
    <w:rsid w:val="005D2505"/>
    <w:rsid w:val="005D7C33"/>
    <w:rsid w:val="006044E5"/>
    <w:rsid w:val="00641327"/>
    <w:rsid w:val="006428AD"/>
    <w:rsid w:val="00656102"/>
    <w:rsid w:val="00693237"/>
    <w:rsid w:val="006E5EC7"/>
    <w:rsid w:val="00710160"/>
    <w:rsid w:val="00750879"/>
    <w:rsid w:val="007665B4"/>
    <w:rsid w:val="00795D4D"/>
    <w:rsid w:val="007A7343"/>
    <w:rsid w:val="007A7AE1"/>
    <w:rsid w:val="007B1E15"/>
    <w:rsid w:val="007E7F16"/>
    <w:rsid w:val="007F5DC4"/>
    <w:rsid w:val="007F7568"/>
    <w:rsid w:val="00843656"/>
    <w:rsid w:val="00852945"/>
    <w:rsid w:val="00877EA4"/>
    <w:rsid w:val="008926C6"/>
    <w:rsid w:val="00892C04"/>
    <w:rsid w:val="008B6CF9"/>
    <w:rsid w:val="008C0169"/>
    <w:rsid w:val="008D705C"/>
    <w:rsid w:val="009052A3"/>
    <w:rsid w:val="009076FD"/>
    <w:rsid w:val="00962498"/>
    <w:rsid w:val="009B7809"/>
    <w:rsid w:val="009C2474"/>
    <w:rsid w:val="009E2B79"/>
    <w:rsid w:val="00A050C1"/>
    <w:rsid w:val="00A100D8"/>
    <w:rsid w:val="00A178D1"/>
    <w:rsid w:val="00A21990"/>
    <w:rsid w:val="00A2402F"/>
    <w:rsid w:val="00A41A1F"/>
    <w:rsid w:val="00A531E1"/>
    <w:rsid w:val="00A65256"/>
    <w:rsid w:val="00AB5B57"/>
    <w:rsid w:val="00AF3665"/>
    <w:rsid w:val="00B11E5B"/>
    <w:rsid w:val="00B17FE5"/>
    <w:rsid w:val="00B4497E"/>
    <w:rsid w:val="00BD14AF"/>
    <w:rsid w:val="00BE1842"/>
    <w:rsid w:val="00C128DB"/>
    <w:rsid w:val="00C23116"/>
    <w:rsid w:val="00C50D45"/>
    <w:rsid w:val="00C50D49"/>
    <w:rsid w:val="00C76F1B"/>
    <w:rsid w:val="00C931B1"/>
    <w:rsid w:val="00CB77B8"/>
    <w:rsid w:val="00CD792D"/>
    <w:rsid w:val="00CE35AB"/>
    <w:rsid w:val="00CF369F"/>
    <w:rsid w:val="00D00E05"/>
    <w:rsid w:val="00D23943"/>
    <w:rsid w:val="00D32484"/>
    <w:rsid w:val="00D37903"/>
    <w:rsid w:val="00D625B7"/>
    <w:rsid w:val="00D74185"/>
    <w:rsid w:val="00D9456B"/>
    <w:rsid w:val="00DD73C0"/>
    <w:rsid w:val="00DF0AAE"/>
    <w:rsid w:val="00E00D6D"/>
    <w:rsid w:val="00E13F38"/>
    <w:rsid w:val="00E174CD"/>
    <w:rsid w:val="00E334BA"/>
    <w:rsid w:val="00E35E55"/>
    <w:rsid w:val="00E739FA"/>
    <w:rsid w:val="00E90202"/>
    <w:rsid w:val="00EA00C1"/>
    <w:rsid w:val="00EA3F4C"/>
    <w:rsid w:val="00EB3BCA"/>
    <w:rsid w:val="00EC4463"/>
    <w:rsid w:val="00EC498B"/>
    <w:rsid w:val="00EC4D1E"/>
    <w:rsid w:val="00EE25E9"/>
    <w:rsid w:val="00EE75EB"/>
    <w:rsid w:val="00EF58C3"/>
    <w:rsid w:val="00F134D8"/>
    <w:rsid w:val="00F447EA"/>
    <w:rsid w:val="00F93115"/>
    <w:rsid w:val="00F93B10"/>
    <w:rsid w:val="00FB079C"/>
    <w:rsid w:val="00FB5199"/>
    <w:rsid w:val="00FB6C77"/>
    <w:rsid w:val="00FC7BC5"/>
    <w:rsid w:val="00FE01AD"/>
    <w:rsid w:val="00FE31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43FD0"/>
  <w15:chartTrackingRefBased/>
  <w15:docId w15:val="{F9D1D1D3-2500-48E8-B0E6-727F005AB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73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A73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73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73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73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73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73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73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73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73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A73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73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73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73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73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73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73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7343"/>
    <w:rPr>
      <w:rFonts w:eastAsiaTheme="majorEastAsia" w:cstheme="majorBidi"/>
      <w:color w:val="272727" w:themeColor="text1" w:themeTint="D8"/>
    </w:rPr>
  </w:style>
  <w:style w:type="paragraph" w:styleId="Title">
    <w:name w:val="Title"/>
    <w:basedOn w:val="Normal"/>
    <w:next w:val="Normal"/>
    <w:link w:val="TitleChar"/>
    <w:uiPriority w:val="10"/>
    <w:qFormat/>
    <w:rsid w:val="007A73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73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73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73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7343"/>
    <w:pPr>
      <w:spacing w:before="160"/>
      <w:jc w:val="center"/>
    </w:pPr>
    <w:rPr>
      <w:i/>
      <w:iCs/>
      <w:color w:val="404040" w:themeColor="text1" w:themeTint="BF"/>
    </w:rPr>
  </w:style>
  <w:style w:type="character" w:customStyle="1" w:styleId="QuoteChar">
    <w:name w:val="Quote Char"/>
    <w:basedOn w:val="DefaultParagraphFont"/>
    <w:link w:val="Quote"/>
    <w:uiPriority w:val="29"/>
    <w:rsid w:val="007A7343"/>
    <w:rPr>
      <w:i/>
      <w:iCs/>
      <w:color w:val="404040" w:themeColor="text1" w:themeTint="BF"/>
    </w:rPr>
  </w:style>
  <w:style w:type="paragraph" w:styleId="ListParagraph">
    <w:name w:val="List Paragraph"/>
    <w:basedOn w:val="Normal"/>
    <w:uiPriority w:val="34"/>
    <w:qFormat/>
    <w:rsid w:val="007A7343"/>
    <w:pPr>
      <w:ind w:left="720"/>
      <w:contextualSpacing/>
    </w:pPr>
  </w:style>
  <w:style w:type="character" w:styleId="IntenseEmphasis">
    <w:name w:val="Intense Emphasis"/>
    <w:basedOn w:val="DefaultParagraphFont"/>
    <w:uiPriority w:val="21"/>
    <w:qFormat/>
    <w:rsid w:val="007A7343"/>
    <w:rPr>
      <w:i/>
      <w:iCs/>
      <w:color w:val="0F4761" w:themeColor="accent1" w:themeShade="BF"/>
    </w:rPr>
  </w:style>
  <w:style w:type="paragraph" w:styleId="IntenseQuote">
    <w:name w:val="Intense Quote"/>
    <w:basedOn w:val="Normal"/>
    <w:next w:val="Normal"/>
    <w:link w:val="IntenseQuoteChar"/>
    <w:uiPriority w:val="30"/>
    <w:qFormat/>
    <w:rsid w:val="007A73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7343"/>
    <w:rPr>
      <w:i/>
      <w:iCs/>
      <w:color w:val="0F4761" w:themeColor="accent1" w:themeShade="BF"/>
    </w:rPr>
  </w:style>
  <w:style w:type="character" w:styleId="IntenseReference">
    <w:name w:val="Intense Reference"/>
    <w:basedOn w:val="DefaultParagraphFont"/>
    <w:uiPriority w:val="32"/>
    <w:qFormat/>
    <w:rsid w:val="007A7343"/>
    <w:rPr>
      <w:b/>
      <w:bCs/>
      <w:smallCaps/>
      <w:color w:val="0F4761" w:themeColor="accent1" w:themeShade="BF"/>
      <w:spacing w:val="5"/>
    </w:rPr>
  </w:style>
  <w:style w:type="character" w:styleId="Hyperlink">
    <w:name w:val="Hyperlink"/>
    <w:basedOn w:val="DefaultParagraphFont"/>
    <w:uiPriority w:val="99"/>
    <w:unhideWhenUsed/>
    <w:rsid w:val="008C0169"/>
    <w:rPr>
      <w:color w:val="467886" w:themeColor="hyperlink"/>
      <w:u w:val="single"/>
    </w:rPr>
  </w:style>
  <w:style w:type="character" w:styleId="UnresolvedMention">
    <w:name w:val="Unresolved Mention"/>
    <w:basedOn w:val="DefaultParagraphFont"/>
    <w:uiPriority w:val="99"/>
    <w:semiHidden/>
    <w:unhideWhenUsed/>
    <w:rsid w:val="008C0169"/>
    <w:rPr>
      <w:color w:val="605E5C"/>
      <w:shd w:val="clear" w:color="auto" w:fill="E1DFDD"/>
    </w:rPr>
  </w:style>
  <w:style w:type="table" w:styleId="TableGrid">
    <w:name w:val="Table Grid"/>
    <w:basedOn w:val="TableNormal"/>
    <w:uiPriority w:val="39"/>
    <w:rsid w:val="00A240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178D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178D1"/>
    <w:pPr>
      <w:spacing w:after="100"/>
    </w:pPr>
  </w:style>
  <w:style w:type="paragraph" w:styleId="TOC2">
    <w:name w:val="toc 2"/>
    <w:basedOn w:val="Normal"/>
    <w:next w:val="Normal"/>
    <w:autoRedefine/>
    <w:uiPriority w:val="39"/>
    <w:unhideWhenUsed/>
    <w:rsid w:val="00A178D1"/>
    <w:pPr>
      <w:spacing w:after="100"/>
      <w:ind w:left="220"/>
    </w:pPr>
  </w:style>
  <w:style w:type="paragraph" w:styleId="Header">
    <w:name w:val="header"/>
    <w:basedOn w:val="Normal"/>
    <w:link w:val="HeaderChar"/>
    <w:uiPriority w:val="99"/>
    <w:unhideWhenUsed/>
    <w:rsid w:val="006E5E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5EC7"/>
  </w:style>
  <w:style w:type="paragraph" w:styleId="Footer">
    <w:name w:val="footer"/>
    <w:basedOn w:val="Normal"/>
    <w:link w:val="FooterChar"/>
    <w:uiPriority w:val="99"/>
    <w:unhideWhenUsed/>
    <w:rsid w:val="006E5E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5EC7"/>
  </w:style>
  <w:style w:type="table" w:styleId="ListTable3-Accent1">
    <w:name w:val="List Table 3 Accent 1"/>
    <w:basedOn w:val="TableNormal"/>
    <w:uiPriority w:val="48"/>
    <w:rsid w:val="00EC4463"/>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396553">
      <w:bodyDiv w:val="1"/>
      <w:marLeft w:val="0"/>
      <w:marRight w:val="0"/>
      <w:marTop w:val="0"/>
      <w:marBottom w:val="0"/>
      <w:divBdr>
        <w:top w:val="none" w:sz="0" w:space="0" w:color="auto"/>
        <w:left w:val="none" w:sz="0" w:space="0" w:color="auto"/>
        <w:bottom w:val="none" w:sz="0" w:space="0" w:color="auto"/>
        <w:right w:val="none" w:sz="0" w:space="0" w:color="auto"/>
      </w:divBdr>
    </w:div>
    <w:div w:id="103040483">
      <w:bodyDiv w:val="1"/>
      <w:marLeft w:val="0"/>
      <w:marRight w:val="0"/>
      <w:marTop w:val="0"/>
      <w:marBottom w:val="0"/>
      <w:divBdr>
        <w:top w:val="none" w:sz="0" w:space="0" w:color="auto"/>
        <w:left w:val="none" w:sz="0" w:space="0" w:color="auto"/>
        <w:bottom w:val="none" w:sz="0" w:space="0" w:color="auto"/>
        <w:right w:val="none" w:sz="0" w:space="0" w:color="auto"/>
      </w:divBdr>
    </w:div>
    <w:div w:id="109131223">
      <w:bodyDiv w:val="1"/>
      <w:marLeft w:val="0"/>
      <w:marRight w:val="0"/>
      <w:marTop w:val="0"/>
      <w:marBottom w:val="0"/>
      <w:divBdr>
        <w:top w:val="none" w:sz="0" w:space="0" w:color="auto"/>
        <w:left w:val="none" w:sz="0" w:space="0" w:color="auto"/>
        <w:bottom w:val="none" w:sz="0" w:space="0" w:color="auto"/>
        <w:right w:val="none" w:sz="0" w:space="0" w:color="auto"/>
      </w:divBdr>
    </w:div>
    <w:div w:id="125389777">
      <w:bodyDiv w:val="1"/>
      <w:marLeft w:val="0"/>
      <w:marRight w:val="0"/>
      <w:marTop w:val="0"/>
      <w:marBottom w:val="0"/>
      <w:divBdr>
        <w:top w:val="none" w:sz="0" w:space="0" w:color="auto"/>
        <w:left w:val="none" w:sz="0" w:space="0" w:color="auto"/>
        <w:bottom w:val="none" w:sz="0" w:space="0" w:color="auto"/>
        <w:right w:val="none" w:sz="0" w:space="0" w:color="auto"/>
      </w:divBdr>
    </w:div>
    <w:div w:id="178278720">
      <w:bodyDiv w:val="1"/>
      <w:marLeft w:val="0"/>
      <w:marRight w:val="0"/>
      <w:marTop w:val="0"/>
      <w:marBottom w:val="0"/>
      <w:divBdr>
        <w:top w:val="none" w:sz="0" w:space="0" w:color="auto"/>
        <w:left w:val="none" w:sz="0" w:space="0" w:color="auto"/>
        <w:bottom w:val="none" w:sz="0" w:space="0" w:color="auto"/>
        <w:right w:val="none" w:sz="0" w:space="0" w:color="auto"/>
      </w:divBdr>
    </w:div>
    <w:div w:id="184447752">
      <w:bodyDiv w:val="1"/>
      <w:marLeft w:val="0"/>
      <w:marRight w:val="0"/>
      <w:marTop w:val="0"/>
      <w:marBottom w:val="0"/>
      <w:divBdr>
        <w:top w:val="none" w:sz="0" w:space="0" w:color="auto"/>
        <w:left w:val="none" w:sz="0" w:space="0" w:color="auto"/>
        <w:bottom w:val="none" w:sz="0" w:space="0" w:color="auto"/>
        <w:right w:val="none" w:sz="0" w:space="0" w:color="auto"/>
      </w:divBdr>
    </w:div>
    <w:div w:id="218053466">
      <w:bodyDiv w:val="1"/>
      <w:marLeft w:val="0"/>
      <w:marRight w:val="0"/>
      <w:marTop w:val="0"/>
      <w:marBottom w:val="0"/>
      <w:divBdr>
        <w:top w:val="none" w:sz="0" w:space="0" w:color="auto"/>
        <w:left w:val="none" w:sz="0" w:space="0" w:color="auto"/>
        <w:bottom w:val="none" w:sz="0" w:space="0" w:color="auto"/>
        <w:right w:val="none" w:sz="0" w:space="0" w:color="auto"/>
      </w:divBdr>
    </w:div>
    <w:div w:id="222720986">
      <w:bodyDiv w:val="1"/>
      <w:marLeft w:val="0"/>
      <w:marRight w:val="0"/>
      <w:marTop w:val="0"/>
      <w:marBottom w:val="0"/>
      <w:divBdr>
        <w:top w:val="none" w:sz="0" w:space="0" w:color="auto"/>
        <w:left w:val="none" w:sz="0" w:space="0" w:color="auto"/>
        <w:bottom w:val="none" w:sz="0" w:space="0" w:color="auto"/>
        <w:right w:val="none" w:sz="0" w:space="0" w:color="auto"/>
      </w:divBdr>
    </w:div>
    <w:div w:id="252976580">
      <w:bodyDiv w:val="1"/>
      <w:marLeft w:val="0"/>
      <w:marRight w:val="0"/>
      <w:marTop w:val="0"/>
      <w:marBottom w:val="0"/>
      <w:divBdr>
        <w:top w:val="none" w:sz="0" w:space="0" w:color="auto"/>
        <w:left w:val="none" w:sz="0" w:space="0" w:color="auto"/>
        <w:bottom w:val="none" w:sz="0" w:space="0" w:color="auto"/>
        <w:right w:val="none" w:sz="0" w:space="0" w:color="auto"/>
      </w:divBdr>
    </w:div>
    <w:div w:id="297491261">
      <w:bodyDiv w:val="1"/>
      <w:marLeft w:val="0"/>
      <w:marRight w:val="0"/>
      <w:marTop w:val="0"/>
      <w:marBottom w:val="0"/>
      <w:divBdr>
        <w:top w:val="none" w:sz="0" w:space="0" w:color="auto"/>
        <w:left w:val="none" w:sz="0" w:space="0" w:color="auto"/>
        <w:bottom w:val="none" w:sz="0" w:space="0" w:color="auto"/>
        <w:right w:val="none" w:sz="0" w:space="0" w:color="auto"/>
      </w:divBdr>
    </w:div>
    <w:div w:id="366025115">
      <w:bodyDiv w:val="1"/>
      <w:marLeft w:val="0"/>
      <w:marRight w:val="0"/>
      <w:marTop w:val="0"/>
      <w:marBottom w:val="0"/>
      <w:divBdr>
        <w:top w:val="none" w:sz="0" w:space="0" w:color="auto"/>
        <w:left w:val="none" w:sz="0" w:space="0" w:color="auto"/>
        <w:bottom w:val="none" w:sz="0" w:space="0" w:color="auto"/>
        <w:right w:val="none" w:sz="0" w:space="0" w:color="auto"/>
      </w:divBdr>
    </w:div>
    <w:div w:id="379593165">
      <w:bodyDiv w:val="1"/>
      <w:marLeft w:val="0"/>
      <w:marRight w:val="0"/>
      <w:marTop w:val="0"/>
      <w:marBottom w:val="0"/>
      <w:divBdr>
        <w:top w:val="none" w:sz="0" w:space="0" w:color="auto"/>
        <w:left w:val="none" w:sz="0" w:space="0" w:color="auto"/>
        <w:bottom w:val="none" w:sz="0" w:space="0" w:color="auto"/>
        <w:right w:val="none" w:sz="0" w:space="0" w:color="auto"/>
      </w:divBdr>
    </w:div>
    <w:div w:id="467864354">
      <w:bodyDiv w:val="1"/>
      <w:marLeft w:val="0"/>
      <w:marRight w:val="0"/>
      <w:marTop w:val="0"/>
      <w:marBottom w:val="0"/>
      <w:divBdr>
        <w:top w:val="none" w:sz="0" w:space="0" w:color="auto"/>
        <w:left w:val="none" w:sz="0" w:space="0" w:color="auto"/>
        <w:bottom w:val="none" w:sz="0" w:space="0" w:color="auto"/>
        <w:right w:val="none" w:sz="0" w:space="0" w:color="auto"/>
      </w:divBdr>
    </w:div>
    <w:div w:id="631179098">
      <w:bodyDiv w:val="1"/>
      <w:marLeft w:val="0"/>
      <w:marRight w:val="0"/>
      <w:marTop w:val="0"/>
      <w:marBottom w:val="0"/>
      <w:divBdr>
        <w:top w:val="none" w:sz="0" w:space="0" w:color="auto"/>
        <w:left w:val="none" w:sz="0" w:space="0" w:color="auto"/>
        <w:bottom w:val="none" w:sz="0" w:space="0" w:color="auto"/>
        <w:right w:val="none" w:sz="0" w:space="0" w:color="auto"/>
      </w:divBdr>
    </w:div>
    <w:div w:id="676928128">
      <w:bodyDiv w:val="1"/>
      <w:marLeft w:val="0"/>
      <w:marRight w:val="0"/>
      <w:marTop w:val="0"/>
      <w:marBottom w:val="0"/>
      <w:divBdr>
        <w:top w:val="none" w:sz="0" w:space="0" w:color="auto"/>
        <w:left w:val="none" w:sz="0" w:space="0" w:color="auto"/>
        <w:bottom w:val="none" w:sz="0" w:space="0" w:color="auto"/>
        <w:right w:val="none" w:sz="0" w:space="0" w:color="auto"/>
      </w:divBdr>
    </w:div>
    <w:div w:id="727611276">
      <w:bodyDiv w:val="1"/>
      <w:marLeft w:val="0"/>
      <w:marRight w:val="0"/>
      <w:marTop w:val="0"/>
      <w:marBottom w:val="0"/>
      <w:divBdr>
        <w:top w:val="none" w:sz="0" w:space="0" w:color="auto"/>
        <w:left w:val="none" w:sz="0" w:space="0" w:color="auto"/>
        <w:bottom w:val="none" w:sz="0" w:space="0" w:color="auto"/>
        <w:right w:val="none" w:sz="0" w:space="0" w:color="auto"/>
      </w:divBdr>
    </w:div>
    <w:div w:id="977877322">
      <w:bodyDiv w:val="1"/>
      <w:marLeft w:val="0"/>
      <w:marRight w:val="0"/>
      <w:marTop w:val="0"/>
      <w:marBottom w:val="0"/>
      <w:divBdr>
        <w:top w:val="none" w:sz="0" w:space="0" w:color="auto"/>
        <w:left w:val="none" w:sz="0" w:space="0" w:color="auto"/>
        <w:bottom w:val="none" w:sz="0" w:space="0" w:color="auto"/>
        <w:right w:val="none" w:sz="0" w:space="0" w:color="auto"/>
      </w:divBdr>
    </w:div>
    <w:div w:id="1006978998">
      <w:bodyDiv w:val="1"/>
      <w:marLeft w:val="0"/>
      <w:marRight w:val="0"/>
      <w:marTop w:val="0"/>
      <w:marBottom w:val="0"/>
      <w:divBdr>
        <w:top w:val="none" w:sz="0" w:space="0" w:color="auto"/>
        <w:left w:val="none" w:sz="0" w:space="0" w:color="auto"/>
        <w:bottom w:val="none" w:sz="0" w:space="0" w:color="auto"/>
        <w:right w:val="none" w:sz="0" w:space="0" w:color="auto"/>
      </w:divBdr>
    </w:div>
    <w:div w:id="1054696974">
      <w:bodyDiv w:val="1"/>
      <w:marLeft w:val="0"/>
      <w:marRight w:val="0"/>
      <w:marTop w:val="0"/>
      <w:marBottom w:val="0"/>
      <w:divBdr>
        <w:top w:val="none" w:sz="0" w:space="0" w:color="auto"/>
        <w:left w:val="none" w:sz="0" w:space="0" w:color="auto"/>
        <w:bottom w:val="none" w:sz="0" w:space="0" w:color="auto"/>
        <w:right w:val="none" w:sz="0" w:space="0" w:color="auto"/>
      </w:divBdr>
    </w:div>
    <w:div w:id="1123230381">
      <w:bodyDiv w:val="1"/>
      <w:marLeft w:val="0"/>
      <w:marRight w:val="0"/>
      <w:marTop w:val="0"/>
      <w:marBottom w:val="0"/>
      <w:divBdr>
        <w:top w:val="none" w:sz="0" w:space="0" w:color="auto"/>
        <w:left w:val="none" w:sz="0" w:space="0" w:color="auto"/>
        <w:bottom w:val="none" w:sz="0" w:space="0" w:color="auto"/>
        <w:right w:val="none" w:sz="0" w:space="0" w:color="auto"/>
      </w:divBdr>
    </w:div>
    <w:div w:id="1126195694">
      <w:bodyDiv w:val="1"/>
      <w:marLeft w:val="0"/>
      <w:marRight w:val="0"/>
      <w:marTop w:val="0"/>
      <w:marBottom w:val="0"/>
      <w:divBdr>
        <w:top w:val="none" w:sz="0" w:space="0" w:color="auto"/>
        <w:left w:val="none" w:sz="0" w:space="0" w:color="auto"/>
        <w:bottom w:val="none" w:sz="0" w:space="0" w:color="auto"/>
        <w:right w:val="none" w:sz="0" w:space="0" w:color="auto"/>
      </w:divBdr>
    </w:div>
    <w:div w:id="1143079475">
      <w:bodyDiv w:val="1"/>
      <w:marLeft w:val="0"/>
      <w:marRight w:val="0"/>
      <w:marTop w:val="0"/>
      <w:marBottom w:val="0"/>
      <w:divBdr>
        <w:top w:val="none" w:sz="0" w:space="0" w:color="auto"/>
        <w:left w:val="none" w:sz="0" w:space="0" w:color="auto"/>
        <w:bottom w:val="none" w:sz="0" w:space="0" w:color="auto"/>
        <w:right w:val="none" w:sz="0" w:space="0" w:color="auto"/>
      </w:divBdr>
    </w:div>
    <w:div w:id="1165897858">
      <w:bodyDiv w:val="1"/>
      <w:marLeft w:val="0"/>
      <w:marRight w:val="0"/>
      <w:marTop w:val="0"/>
      <w:marBottom w:val="0"/>
      <w:divBdr>
        <w:top w:val="none" w:sz="0" w:space="0" w:color="auto"/>
        <w:left w:val="none" w:sz="0" w:space="0" w:color="auto"/>
        <w:bottom w:val="none" w:sz="0" w:space="0" w:color="auto"/>
        <w:right w:val="none" w:sz="0" w:space="0" w:color="auto"/>
      </w:divBdr>
    </w:div>
    <w:div w:id="1322582861">
      <w:bodyDiv w:val="1"/>
      <w:marLeft w:val="0"/>
      <w:marRight w:val="0"/>
      <w:marTop w:val="0"/>
      <w:marBottom w:val="0"/>
      <w:divBdr>
        <w:top w:val="none" w:sz="0" w:space="0" w:color="auto"/>
        <w:left w:val="none" w:sz="0" w:space="0" w:color="auto"/>
        <w:bottom w:val="none" w:sz="0" w:space="0" w:color="auto"/>
        <w:right w:val="none" w:sz="0" w:space="0" w:color="auto"/>
      </w:divBdr>
    </w:div>
    <w:div w:id="1364984268">
      <w:bodyDiv w:val="1"/>
      <w:marLeft w:val="0"/>
      <w:marRight w:val="0"/>
      <w:marTop w:val="0"/>
      <w:marBottom w:val="0"/>
      <w:divBdr>
        <w:top w:val="none" w:sz="0" w:space="0" w:color="auto"/>
        <w:left w:val="none" w:sz="0" w:space="0" w:color="auto"/>
        <w:bottom w:val="none" w:sz="0" w:space="0" w:color="auto"/>
        <w:right w:val="none" w:sz="0" w:space="0" w:color="auto"/>
      </w:divBdr>
    </w:div>
    <w:div w:id="1410687683">
      <w:bodyDiv w:val="1"/>
      <w:marLeft w:val="0"/>
      <w:marRight w:val="0"/>
      <w:marTop w:val="0"/>
      <w:marBottom w:val="0"/>
      <w:divBdr>
        <w:top w:val="none" w:sz="0" w:space="0" w:color="auto"/>
        <w:left w:val="none" w:sz="0" w:space="0" w:color="auto"/>
        <w:bottom w:val="none" w:sz="0" w:space="0" w:color="auto"/>
        <w:right w:val="none" w:sz="0" w:space="0" w:color="auto"/>
      </w:divBdr>
    </w:div>
    <w:div w:id="1483503301">
      <w:bodyDiv w:val="1"/>
      <w:marLeft w:val="0"/>
      <w:marRight w:val="0"/>
      <w:marTop w:val="0"/>
      <w:marBottom w:val="0"/>
      <w:divBdr>
        <w:top w:val="none" w:sz="0" w:space="0" w:color="auto"/>
        <w:left w:val="none" w:sz="0" w:space="0" w:color="auto"/>
        <w:bottom w:val="none" w:sz="0" w:space="0" w:color="auto"/>
        <w:right w:val="none" w:sz="0" w:space="0" w:color="auto"/>
      </w:divBdr>
    </w:div>
    <w:div w:id="1540321550">
      <w:bodyDiv w:val="1"/>
      <w:marLeft w:val="0"/>
      <w:marRight w:val="0"/>
      <w:marTop w:val="0"/>
      <w:marBottom w:val="0"/>
      <w:divBdr>
        <w:top w:val="none" w:sz="0" w:space="0" w:color="auto"/>
        <w:left w:val="none" w:sz="0" w:space="0" w:color="auto"/>
        <w:bottom w:val="none" w:sz="0" w:space="0" w:color="auto"/>
        <w:right w:val="none" w:sz="0" w:space="0" w:color="auto"/>
      </w:divBdr>
    </w:div>
    <w:div w:id="1597403724">
      <w:bodyDiv w:val="1"/>
      <w:marLeft w:val="0"/>
      <w:marRight w:val="0"/>
      <w:marTop w:val="0"/>
      <w:marBottom w:val="0"/>
      <w:divBdr>
        <w:top w:val="none" w:sz="0" w:space="0" w:color="auto"/>
        <w:left w:val="none" w:sz="0" w:space="0" w:color="auto"/>
        <w:bottom w:val="none" w:sz="0" w:space="0" w:color="auto"/>
        <w:right w:val="none" w:sz="0" w:space="0" w:color="auto"/>
      </w:divBdr>
    </w:div>
    <w:div w:id="1599679069">
      <w:bodyDiv w:val="1"/>
      <w:marLeft w:val="0"/>
      <w:marRight w:val="0"/>
      <w:marTop w:val="0"/>
      <w:marBottom w:val="0"/>
      <w:divBdr>
        <w:top w:val="none" w:sz="0" w:space="0" w:color="auto"/>
        <w:left w:val="none" w:sz="0" w:space="0" w:color="auto"/>
        <w:bottom w:val="none" w:sz="0" w:space="0" w:color="auto"/>
        <w:right w:val="none" w:sz="0" w:space="0" w:color="auto"/>
      </w:divBdr>
    </w:div>
    <w:div w:id="1687440298">
      <w:bodyDiv w:val="1"/>
      <w:marLeft w:val="0"/>
      <w:marRight w:val="0"/>
      <w:marTop w:val="0"/>
      <w:marBottom w:val="0"/>
      <w:divBdr>
        <w:top w:val="none" w:sz="0" w:space="0" w:color="auto"/>
        <w:left w:val="none" w:sz="0" w:space="0" w:color="auto"/>
        <w:bottom w:val="none" w:sz="0" w:space="0" w:color="auto"/>
        <w:right w:val="none" w:sz="0" w:space="0" w:color="auto"/>
      </w:divBdr>
    </w:div>
    <w:div w:id="1763918511">
      <w:bodyDiv w:val="1"/>
      <w:marLeft w:val="0"/>
      <w:marRight w:val="0"/>
      <w:marTop w:val="0"/>
      <w:marBottom w:val="0"/>
      <w:divBdr>
        <w:top w:val="none" w:sz="0" w:space="0" w:color="auto"/>
        <w:left w:val="none" w:sz="0" w:space="0" w:color="auto"/>
        <w:bottom w:val="none" w:sz="0" w:space="0" w:color="auto"/>
        <w:right w:val="none" w:sz="0" w:space="0" w:color="auto"/>
      </w:divBdr>
    </w:div>
    <w:div w:id="1874148525">
      <w:bodyDiv w:val="1"/>
      <w:marLeft w:val="0"/>
      <w:marRight w:val="0"/>
      <w:marTop w:val="0"/>
      <w:marBottom w:val="0"/>
      <w:divBdr>
        <w:top w:val="none" w:sz="0" w:space="0" w:color="auto"/>
        <w:left w:val="none" w:sz="0" w:space="0" w:color="auto"/>
        <w:bottom w:val="none" w:sz="0" w:space="0" w:color="auto"/>
        <w:right w:val="none" w:sz="0" w:space="0" w:color="auto"/>
      </w:divBdr>
    </w:div>
    <w:div w:id="1897932344">
      <w:bodyDiv w:val="1"/>
      <w:marLeft w:val="0"/>
      <w:marRight w:val="0"/>
      <w:marTop w:val="0"/>
      <w:marBottom w:val="0"/>
      <w:divBdr>
        <w:top w:val="none" w:sz="0" w:space="0" w:color="auto"/>
        <w:left w:val="none" w:sz="0" w:space="0" w:color="auto"/>
        <w:bottom w:val="none" w:sz="0" w:space="0" w:color="auto"/>
        <w:right w:val="none" w:sz="0" w:space="0" w:color="auto"/>
      </w:divBdr>
    </w:div>
    <w:div w:id="1937591241">
      <w:bodyDiv w:val="1"/>
      <w:marLeft w:val="0"/>
      <w:marRight w:val="0"/>
      <w:marTop w:val="0"/>
      <w:marBottom w:val="0"/>
      <w:divBdr>
        <w:top w:val="none" w:sz="0" w:space="0" w:color="auto"/>
        <w:left w:val="none" w:sz="0" w:space="0" w:color="auto"/>
        <w:bottom w:val="none" w:sz="0" w:space="0" w:color="auto"/>
        <w:right w:val="none" w:sz="0" w:space="0" w:color="auto"/>
      </w:divBdr>
    </w:div>
    <w:div w:id="1991052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hyperlink" Target="https://urldefense.com/v3/__https:/www.cipd.org.uk__;!!BQ_wX6TuWITc6hG5HA!Wo12piMS-_NiK8OFH1QvKgnoSjsUq2PCwayUmvTqS2s73B5PbH-gdQUIBH4q1eClyxlhP42c2DxcxIqIFHAB_wK8quIT$" TargetMode="External"/><Relationship Id="rId3" Type="http://schemas.openxmlformats.org/officeDocument/2006/relationships/styles" Target="styles.xml"/><Relationship Id="rId21" Type="http://schemas.openxmlformats.org/officeDocument/2006/relationships/diagramLayout" Target="diagrams/layout3.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hyperlink" Target="https://urldefense.com/v3/__https:/www.cipd.org.uk__;!!BQ_wX6TuWITc6hG5HA!Wo12piMS-_NiK8OFH1QvKgnoSjsUq2PCwayUmvTqS2s73B5PbH-gdQUIBH4q1eClyxlhP42c2DxcxIqIFHAB_wK8quIT$" TargetMode="Externa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microsoft.com/office/2007/relationships/diagramDrawing" Target="diagrams/drawing3.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hyperlink" Target="https://urldefense.com/v3/__https:/gxo.com__;!!BQ_wX6TuWITc6hG5HA!Wo12piMS-_NiK8OFH1QvKgnoSjsUq2PCwayUmvTqS2s73B5PbH-gdQUIBH4q1eClyxlhP42c2DxcxIqIFHAB_8tI18Ty$" TargetMode="Externa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gxo.com/" TargetMode="External"/><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hyperlink" Target="https://urldefense.com/v3/__https:/www.cipd.org.uk__;!!BQ_wX6TuWITc6hG5HA!Wo12piMS-_NiK8OFH1QvKgnoSjsUq2PCwayUmvTqS2s73B5PbH-gdQUIBH4q1eClyxlhP42c2DxcxIqIFHAB_wK8quIT$" TargetMode="Externa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1EDA9C9-80D0-4FBC-A71E-10E9B3C2C78B}" type="doc">
      <dgm:prSet loTypeId="urn:microsoft.com/office/officeart/2005/8/layout/cycle5" loCatId="cycle" qsTypeId="urn:microsoft.com/office/officeart/2005/8/quickstyle/simple1" qsCatId="simple" csTypeId="urn:microsoft.com/office/officeart/2005/8/colors/accent1_3" csCatId="accent1" phldr="1"/>
      <dgm:spPr/>
      <dgm:t>
        <a:bodyPr/>
        <a:lstStyle/>
        <a:p>
          <a:endParaRPr lang="en-GB"/>
        </a:p>
      </dgm:t>
    </dgm:pt>
    <dgm:pt modelId="{DA935CC9-C0FE-4C96-BC9A-E1E74530E185}">
      <dgm:prSet phldrT="[Text]" custT="1"/>
      <dgm:spPr/>
      <dgm:t>
        <a:bodyPr/>
        <a:lstStyle/>
        <a:p>
          <a:r>
            <a:rPr lang="en-GB" sz="1000">
              <a:latin typeface="Times New Roman" panose="02020603050405020304" pitchFamily="18" charset="0"/>
              <a:cs typeface="Times New Roman" panose="02020603050405020304" pitchFamily="18" charset="0"/>
            </a:rPr>
            <a:t>1. Talent Attraction</a:t>
          </a:r>
        </a:p>
        <a:p>
          <a:r>
            <a:rPr lang="en-GB" sz="1000">
              <a:latin typeface="Times New Roman" panose="02020603050405020304" pitchFamily="18" charset="0"/>
              <a:cs typeface="Times New Roman" panose="02020603050405020304" pitchFamily="18" charset="0"/>
            </a:rPr>
            <a:t>(Employer Branding)</a:t>
          </a:r>
        </a:p>
      </dgm:t>
    </dgm:pt>
    <dgm:pt modelId="{C1C249B6-697A-472F-9105-0C093618ED66}" type="parTrans" cxnId="{B5A1F122-FF68-4E1B-8CF0-F6E80711C544}">
      <dgm:prSet/>
      <dgm:spPr/>
      <dgm:t>
        <a:bodyPr/>
        <a:lstStyle/>
        <a:p>
          <a:endParaRPr lang="en-GB"/>
        </a:p>
      </dgm:t>
    </dgm:pt>
    <dgm:pt modelId="{A82F290C-4ECE-41F8-9944-F7777770C98D}" type="sibTrans" cxnId="{B5A1F122-FF68-4E1B-8CF0-F6E80711C544}">
      <dgm:prSet/>
      <dgm:spPr/>
      <dgm:t>
        <a:bodyPr/>
        <a:lstStyle/>
        <a:p>
          <a:endParaRPr lang="en-GB"/>
        </a:p>
      </dgm:t>
    </dgm:pt>
    <dgm:pt modelId="{1658BA0A-9C6B-4825-BC09-CA3C6AEFFB10}">
      <dgm:prSet phldrT="[Text]" custT="1"/>
      <dgm:spPr/>
      <dgm:t>
        <a:bodyPr/>
        <a:lstStyle/>
        <a:p>
          <a:r>
            <a:rPr lang="en-GB" sz="1000">
              <a:latin typeface="Times New Roman" panose="02020603050405020304" pitchFamily="18" charset="0"/>
              <a:cs typeface="Times New Roman" panose="02020603050405020304" pitchFamily="18" charset="0"/>
            </a:rPr>
            <a:t>2. Recruitment and Selection</a:t>
          </a:r>
        </a:p>
      </dgm:t>
    </dgm:pt>
    <dgm:pt modelId="{A637A85A-9189-4F54-B2DD-95C41EAEC719}" type="parTrans" cxnId="{443148F2-E1D0-46EB-9D32-036B0DF5E170}">
      <dgm:prSet/>
      <dgm:spPr/>
      <dgm:t>
        <a:bodyPr/>
        <a:lstStyle/>
        <a:p>
          <a:endParaRPr lang="en-GB"/>
        </a:p>
      </dgm:t>
    </dgm:pt>
    <dgm:pt modelId="{1D5F0068-39B3-4416-8551-7CB6C041F36A}" type="sibTrans" cxnId="{443148F2-E1D0-46EB-9D32-036B0DF5E170}">
      <dgm:prSet/>
      <dgm:spPr/>
      <dgm:t>
        <a:bodyPr/>
        <a:lstStyle/>
        <a:p>
          <a:endParaRPr lang="en-GB"/>
        </a:p>
      </dgm:t>
    </dgm:pt>
    <dgm:pt modelId="{A7FD4040-4E7E-496B-AD12-9467920D39B3}">
      <dgm:prSet phldrT="[Text]" custT="1"/>
      <dgm:spPr/>
      <dgm:t>
        <a:bodyPr/>
        <a:lstStyle/>
        <a:p>
          <a:r>
            <a:rPr lang="en-GB" sz="1000">
              <a:latin typeface="Times New Roman" panose="02020603050405020304" pitchFamily="18" charset="0"/>
              <a:cs typeface="Times New Roman" panose="02020603050405020304" pitchFamily="18" charset="0"/>
            </a:rPr>
            <a:t>3. Learning and Development (GXO University)</a:t>
          </a:r>
        </a:p>
      </dgm:t>
    </dgm:pt>
    <dgm:pt modelId="{65CC11C7-EEB8-415E-B93F-3667B8B11056}" type="parTrans" cxnId="{17682558-5028-4718-B245-69E7CED4072A}">
      <dgm:prSet/>
      <dgm:spPr/>
      <dgm:t>
        <a:bodyPr/>
        <a:lstStyle/>
        <a:p>
          <a:endParaRPr lang="en-GB"/>
        </a:p>
      </dgm:t>
    </dgm:pt>
    <dgm:pt modelId="{43F43B86-06F8-4F22-9501-1CFA8E03C09D}" type="sibTrans" cxnId="{17682558-5028-4718-B245-69E7CED4072A}">
      <dgm:prSet/>
      <dgm:spPr/>
      <dgm:t>
        <a:bodyPr/>
        <a:lstStyle/>
        <a:p>
          <a:endParaRPr lang="en-GB"/>
        </a:p>
      </dgm:t>
    </dgm:pt>
    <dgm:pt modelId="{B8013334-6C0E-4C72-82AD-D222F88DA225}">
      <dgm:prSet phldrT="[Text]" custT="1"/>
      <dgm:spPr/>
      <dgm:t>
        <a:bodyPr/>
        <a:lstStyle/>
        <a:p>
          <a:r>
            <a:rPr lang="en-GB" sz="900">
              <a:latin typeface="Times New Roman" panose="02020603050405020304" pitchFamily="18" charset="0"/>
              <a:cs typeface="Times New Roman" panose="02020603050405020304" pitchFamily="18" charset="0"/>
            </a:rPr>
            <a:t> </a:t>
          </a:r>
          <a:r>
            <a:rPr lang="en-GB" sz="1000">
              <a:latin typeface="Times New Roman" panose="02020603050405020304" pitchFamily="18" charset="0"/>
              <a:cs typeface="Times New Roman" panose="02020603050405020304" pitchFamily="18" charset="0"/>
            </a:rPr>
            <a:t>4. Performance Management.</a:t>
          </a:r>
        </a:p>
        <a:p>
          <a:r>
            <a:rPr lang="en-GB" sz="1000">
              <a:latin typeface="Times New Roman" panose="02020603050405020304" pitchFamily="18" charset="0"/>
              <a:cs typeface="Times New Roman" panose="02020603050405020304" pitchFamily="18" charset="0"/>
            </a:rPr>
            <a:t>(KPI, 1:1 Meetings) </a:t>
          </a:r>
        </a:p>
      </dgm:t>
    </dgm:pt>
    <dgm:pt modelId="{EB16F2F4-36CA-489B-A4BF-A0DC009E21D5}" type="parTrans" cxnId="{64CEAF98-99F8-498B-9AAA-2471951ACC10}">
      <dgm:prSet/>
      <dgm:spPr/>
      <dgm:t>
        <a:bodyPr/>
        <a:lstStyle/>
        <a:p>
          <a:endParaRPr lang="en-GB"/>
        </a:p>
      </dgm:t>
    </dgm:pt>
    <dgm:pt modelId="{9985DF33-DC90-4385-BE21-D4394184D3FA}" type="sibTrans" cxnId="{64CEAF98-99F8-498B-9AAA-2471951ACC10}">
      <dgm:prSet/>
      <dgm:spPr/>
      <dgm:t>
        <a:bodyPr/>
        <a:lstStyle/>
        <a:p>
          <a:endParaRPr lang="en-GB"/>
        </a:p>
      </dgm:t>
    </dgm:pt>
    <dgm:pt modelId="{F912F509-251C-43DB-9B38-098079F7B149}">
      <dgm:prSet phldrT="[Text]" custT="1"/>
      <dgm:spPr/>
      <dgm:t>
        <a:bodyPr/>
        <a:lstStyle/>
        <a:p>
          <a:r>
            <a:rPr lang="en-GB" sz="1000">
              <a:latin typeface="Times New Roman" panose="02020603050405020304" pitchFamily="18" charset="0"/>
              <a:cs typeface="Times New Roman" panose="02020603050405020304" pitchFamily="18" charset="0"/>
            </a:rPr>
            <a:t> 5. Career Progression (Internal Recruitment and Promotion)</a:t>
          </a:r>
        </a:p>
      </dgm:t>
    </dgm:pt>
    <dgm:pt modelId="{E1202955-8880-4453-9DD2-17A1BFBD7BE5}" type="parTrans" cxnId="{4BC6BC53-0A09-4E5D-B028-D0A483B6602A}">
      <dgm:prSet/>
      <dgm:spPr/>
      <dgm:t>
        <a:bodyPr/>
        <a:lstStyle/>
        <a:p>
          <a:endParaRPr lang="en-GB"/>
        </a:p>
      </dgm:t>
    </dgm:pt>
    <dgm:pt modelId="{3764116A-17F6-4AEC-BDFD-3F5D7D730953}" type="sibTrans" cxnId="{4BC6BC53-0A09-4E5D-B028-D0A483B6602A}">
      <dgm:prSet/>
      <dgm:spPr/>
      <dgm:t>
        <a:bodyPr/>
        <a:lstStyle/>
        <a:p>
          <a:endParaRPr lang="en-GB"/>
        </a:p>
      </dgm:t>
    </dgm:pt>
    <dgm:pt modelId="{387C6987-3967-4A18-BA0F-B611D8AD65FB}">
      <dgm:prSet phldrT="[Text]" custT="1"/>
      <dgm:spPr/>
      <dgm:t>
        <a:bodyPr/>
        <a:lstStyle/>
        <a:p>
          <a:r>
            <a:rPr lang="en-GB" sz="1000">
              <a:latin typeface="Times New Roman" panose="02020603050405020304" pitchFamily="18" charset="0"/>
              <a:cs typeface="Times New Roman" panose="02020603050405020304" pitchFamily="18" charset="0"/>
            </a:rPr>
            <a:t> 6. Employee Retention (Engagement and Wellbeing) </a:t>
          </a:r>
        </a:p>
      </dgm:t>
    </dgm:pt>
    <dgm:pt modelId="{C614A156-B864-4B89-A209-E7777FAF3E10}" type="parTrans" cxnId="{82B44D37-6017-4D39-A846-FC2DB433F4C5}">
      <dgm:prSet/>
      <dgm:spPr/>
      <dgm:t>
        <a:bodyPr/>
        <a:lstStyle/>
        <a:p>
          <a:endParaRPr lang="en-GB"/>
        </a:p>
      </dgm:t>
    </dgm:pt>
    <dgm:pt modelId="{1EE1889A-9705-4937-B261-FCC3D10F4226}" type="sibTrans" cxnId="{82B44D37-6017-4D39-A846-FC2DB433F4C5}">
      <dgm:prSet/>
      <dgm:spPr/>
      <dgm:t>
        <a:bodyPr/>
        <a:lstStyle/>
        <a:p>
          <a:endParaRPr lang="en-GB"/>
        </a:p>
      </dgm:t>
    </dgm:pt>
    <dgm:pt modelId="{8FFF135F-7AFF-4098-A421-1E7438B16FEE}" type="pres">
      <dgm:prSet presAssocID="{21EDA9C9-80D0-4FBC-A71E-10E9B3C2C78B}" presName="cycle" presStyleCnt="0">
        <dgm:presLayoutVars>
          <dgm:dir/>
          <dgm:resizeHandles val="exact"/>
        </dgm:presLayoutVars>
      </dgm:prSet>
      <dgm:spPr/>
    </dgm:pt>
    <dgm:pt modelId="{039304BF-889D-4395-9DB2-DC3C77D83301}" type="pres">
      <dgm:prSet presAssocID="{DA935CC9-C0FE-4C96-BC9A-E1E74530E185}" presName="node" presStyleLbl="node1" presStyleIdx="0" presStyleCnt="6" custScaleX="141797">
        <dgm:presLayoutVars>
          <dgm:bulletEnabled val="1"/>
        </dgm:presLayoutVars>
      </dgm:prSet>
      <dgm:spPr/>
    </dgm:pt>
    <dgm:pt modelId="{E94F527C-2B12-40EC-A7E9-A032AA90B6A2}" type="pres">
      <dgm:prSet presAssocID="{DA935CC9-C0FE-4C96-BC9A-E1E74530E185}" presName="spNode" presStyleCnt="0"/>
      <dgm:spPr/>
    </dgm:pt>
    <dgm:pt modelId="{1579FEAC-BF8C-4D54-BB9D-5335AE38AC6D}" type="pres">
      <dgm:prSet presAssocID="{A82F290C-4ECE-41F8-9944-F7777770C98D}" presName="sibTrans" presStyleLbl="sibTrans1D1" presStyleIdx="0" presStyleCnt="6"/>
      <dgm:spPr/>
    </dgm:pt>
    <dgm:pt modelId="{C8B4DEDF-CC53-4B97-9A23-1106810F371D}" type="pres">
      <dgm:prSet presAssocID="{1658BA0A-9C6B-4825-BC09-CA3C6AEFFB10}" presName="node" presStyleLbl="node1" presStyleIdx="1" presStyleCnt="6" custScaleX="136398" custScaleY="98642">
        <dgm:presLayoutVars>
          <dgm:bulletEnabled val="1"/>
        </dgm:presLayoutVars>
      </dgm:prSet>
      <dgm:spPr/>
    </dgm:pt>
    <dgm:pt modelId="{13746A2C-59D2-4917-8D64-2B6D19BD2874}" type="pres">
      <dgm:prSet presAssocID="{1658BA0A-9C6B-4825-BC09-CA3C6AEFFB10}" presName="spNode" presStyleCnt="0"/>
      <dgm:spPr/>
    </dgm:pt>
    <dgm:pt modelId="{F1273E29-EF5F-491E-AB53-3989F2386985}" type="pres">
      <dgm:prSet presAssocID="{1D5F0068-39B3-4416-8551-7CB6C041F36A}" presName="sibTrans" presStyleLbl="sibTrans1D1" presStyleIdx="1" presStyleCnt="6"/>
      <dgm:spPr/>
    </dgm:pt>
    <dgm:pt modelId="{C52B9601-1B8F-4027-84DD-E78D24F4D308}" type="pres">
      <dgm:prSet presAssocID="{A7FD4040-4E7E-496B-AD12-9467920D39B3}" presName="node" presStyleLbl="node1" presStyleIdx="2" presStyleCnt="6" custScaleX="134604">
        <dgm:presLayoutVars>
          <dgm:bulletEnabled val="1"/>
        </dgm:presLayoutVars>
      </dgm:prSet>
      <dgm:spPr/>
    </dgm:pt>
    <dgm:pt modelId="{74D4E5BC-EFCE-48BD-B0C5-433F3F31A8F1}" type="pres">
      <dgm:prSet presAssocID="{A7FD4040-4E7E-496B-AD12-9467920D39B3}" presName="spNode" presStyleCnt="0"/>
      <dgm:spPr/>
    </dgm:pt>
    <dgm:pt modelId="{0AA97196-1078-4C9C-8E68-38F318808325}" type="pres">
      <dgm:prSet presAssocID="{43F43B86-06F8-4F22-9501-1CFA8E03C09D}" presName="sibTrans" presStyleLbl="sibTrans1D1" presStyleIdx="2" presStyleCnt="6"/>
      <dgm:spPr/>
    </dgm:pt>
    <dgm:pt modelId="{D39A4342-FA83-46AF-87FB-4ABBA99DE5E3}" type="pres">
      <dgm:prSet presAssocID="{B8013334-6C0E-4C72-82AD-D222F88DA225}" presName="node" presStyleLbl="node1" presStyleIdx="3" presStyleCnt="6" custScaleX="137386">
        <dgm:presLayoutVars>
          <dgm:bulletEnabled val="1"/>
        </dgm:presLayoutVars>
      </dgm:prSet>
      <dgm:spPr/>
    </dgm:pt>
    <dgm:pt modelId="{A91B863B-0629-42E0-843C-107C7402E2BE}" type="pres">
      <dgm:prSet presAssocID="{B8013334-6C0E-4C72-82AD-D222F88DA225}" presName="spNode" presStyleCnt="0"/>
      <dgm:spPr/>
    </dgm:pt>
    <dgm:pt modelId="{D1E00609-0992-4933-B7AE-1699449E1712}" type="pres">
      <dgm:prSet presAssocID="{9985DF33-DC90-4385-BE21-D4394184D3FA}" presName="sibTrans" presStyleLbl="sibTrans1D1" presStyleIdx="3" presStyleCnt="6"/>
      <dgm:spPr/>
    </dgm:pt>
    <dgm:pt modelId="{D53F3C82-D65E-4DD9-9423-ACF3E3750B78}" type="pres">
      <dgm:prSet presAssocID="{F912F509-251C-43DB-9B38-098079F7B149}" presName="node" presStyleLbl="node1" presStyleIdx="4" presStyleCnt="6" custScaleX="144579">
        <dgm:presLayoutVars>
          <dgm:bulletEnabled val="1"/>
        </dgm:presLayoutVars>
      </dgm:prSet>
      <dgm:spPr/>
    </dgm:pt>
    <dgm:pt modelId="{13E904C2-5027-422B-A673-31820AB23F7C}" type="pres">
      <dgm:prSet presAssocID="{F912F509-251C-43DB-9B38-098079F7B149}" presName="spNode" presStyleCnt="0"/>
      <dgm:spPr/>
    </dgm:pt>
    <dgm:pt modelId="{F1FD4632-D575-47E5-B0AF-51F739E1D011}" type="pres">
      <dgm:prSet presAssocID="{3764116A-17F6-4AEC-BDFD-3F5D7D730953}" presName="sibTrans" presStyleLbl="sibTrans1D1" presStyleIdx="4" presStyleCnt="6"/>
      <dgm:spPr/>
    </dgm:pt>
    <dgm:pt modelId="{0F87C5D6-3982-49E6-AB64-11ADAD1690C9}" type="pres">
      <dgm:prSet presAssocID="{387C6987-3967-4A18-BA0F-B611D8AD65FB}" presName="node" presStyleLbl="node1" presStyleIdx="5" presStyleCnt="6" custScaleX="150592" custRadScaleRad="101781" custRadScaleInc="-21353">
        <dgm:presLayoutVars>
          <dgm:bulletEnabled val="1"/>
        </dgm:presLayoutVars>
      </dgm:prSet>
      <dgm:spPr/>
    </dgm:pt>
    <dgm:pt modelId="{27B506C9-BD34-4E4E-8D13-0721AE277B52}" type="pres">
      <dgm:prSet presAssocID="{387C6987-3967-4A18-BA0F-B611D8AD65FB}" presName="spNode" presStyleCnt="0"/>
      <dgm:spPr/>
    </dgm:pt>
    <dgm:pt modelId="{2848DCE3-2F29-4893-B54E-9624846EBC4C}" type="pres">
      <dgm:prSet presAssocID="{1EE1889A-9705-4937-B261-FCC3D10F4226}" presName="sibTrans" presStyleLbl="sibTrans1D1" presStyleIdx="5" presStyleCnt="6"/>
      <dgm:spPr/>
    </dgm:pt>
  </dgm:ptLst>
  <dgm:cxnLst>
    <dgm:cxn modelId="{11504203-F20F-4AE4-A7CA-B8E36BA02024}" type="presOf" srcId="{3764116A-17F6-4AEC-BDFD-3F5D7D730953}" destId="{F1FD4632-D575-47E5-B0AF-51F739E1D011}" srcOrd="0" destOrd="0" presId="urn:microsoft.com/office/officeart/2005/8/layout/cycle5"/>
    <dgm:cxn modelId="{6D6EDB0B-0BE3-4544-A2DB-3D1909FC988F}" type="presOf" srcId="{B8013334-6C0E-4C72-82AD-D222F88DA225}" destId="{D39A4342-FA83-46AF-87FB-4ABBA99DE5E3}" srcOrd="0" destOrd="0" presId="urn:microsoft.com/office/officeart/2005/8/layout/cycle5"/>
    <dgm:cxn modelId="{E374D11A-6613-4032-AA8C-0712DFBCB555}" type="presOf" srcId="{1658BA0A-9C6B-4825-BC09-CA3C6AEFFB10}" destId="{C8B4DEDF-CC53-4B97-9A23-1106810F371D}" srcOrd="0" destOrd="0" presId="urn:microsoft.com/office/officeart/2005/8/layout/cycle5"/>
    <dgm:cxn modelId="{B5A1F122-FF68-4E1B-8CF0-F6E80711C544}" srcId="{21EDA9C9-80D0-4FBC-A71E-10E9B3C2C78B}" destId="{DA935CC9-C0FE-4C96-BC9A-E1E74530E185}" srcOrd="0" destOrd="0" parTransId="{C1C249B6-697A-472F-9105-0C093618ED66}" sibTransId="{A82F290C-4ECE-41F8-9944-F7777770C98D}"/>
    <dgm:cxn modelId="{2E2F0F37-3080-437E-B405-680842EFBFCC}" type="presOf" srcId="{1D5F0068-39B3-4416-8551-7CB6C041F36A}" destId="{F1273E29-EF5F-491E-AB53-3989F2386985}" srcOrd="0" destOrd="0" presId="urn:microsoft.com/office/officeart/2005/8/layout/cycle5"/>
    <dgm:cxn modelId="{82B44D37-6017-4D39-A846-FC2DB433F4C5}" srcId="{21EDA9C9-80D0-4FBC-A71E-10E9B3C2C78B}" destId="{387C6987-3967-4A18-BA0F-B611D8AD65FB}" srcOrd="5" destOrd="0" parTransId="{C614A156-B864-4B89-A209-E7777FAF3E10}" sibTransId="{1EE1889A-9705-4937-B261-FCC3D10F4226}"/>
    <dgm:cxn modelId="{FE979560-AD93-4E8E-BAC6-CE65A813B972}" type="presOf" srcId="{A82F290C-4ECE-41F8-9944-F7777770C98D}" destId="{1579FEAC-BF8C-4D54-BB9D-5335AE38AC6D}" srcOrd="0" destOrd="0" presId="urn:microsoft.com/office/officeart/2005/8/layout/cycle5"/>
    <dgm:cxn modelId="{E37FAD72-F311-4ACE-848D-76A79E9EE5F8}" type="presOf" srcId="{1EE1889A-9705-4937-B261-FCC3D10F4226}" destId="{2848DCE3-2F29-4893-B54E-9624846EBC4C}" srcOrd="0" destOrd="0" presId="urn:microsoft.com/office/officeart/2005/8/layout/cycle5"/>
    <dgm:cxn modelId="{4BC6BC53-0A09-4E5D-B028-D0A483B6602A}" srcId="{21EDA9C9-80D0-4FBC-A71E-10E9B3C2C78B}" destId="{F912F509-251C-43DB-9B38-098079F7B149}" srcOrd="4" destOrd="0" parTransId="{E1202955-8880-4453-9DD2-17A1BFBD7BE5}" sibTransId="{3764116A-17F6-4AEC-BDFD-3F5D7D730953}"/>
    <dgm:cxn modelId="{17682558-5028-4718-B245-69E7CED4072A}" srcId="{21EDA9C9-80D0-4FBC-A71E-10E9B3C2C78B}" destId="{A7FD4040-4E7E-496B-AD12-9467920D39B3}" srcOrd="2" destOrd="0" parTransId="{65CC11C7-EEB8-415E-B93F-3667B8B11056}" sibTransId="{43F43B86-06F8-4F22-9501-1CFA8E03C09D}"/>
    <dgm:cxn modelId="{6CE75B82-D6B0-4122-959A-82F1F35101AD}" type="presOf" srcId="{43F43B86-06F8-4F22-9501-1CFA8E03C09D}" destId="{0AA97196-1078-4C9C-8E68-38F318808325}" srcOrd="0" destOrd="0" presId="urn:microsoft.com/office/officeart/2005/8/layout/cycle5"/>
    <dgm:cxn modelId="{C0C6AC94-0C13-49D3-A6ED-112AAB08BA25}" type="presOf" srcId="{9985DF33-DC90-4385-BE21-D4394184D3FA}" destId="{D1E00609-0992-4933-B7AE-1699449E1712}" srcOrd="0" destOrd="0" presId="urn:microsoft.com/office/officeart/2005/8/layout/cycle5"/>
    <dgm:cxn modelId="{64CEAF98-99F8-498B-9AAA-2471951ACC10}" srcId="{21EDA9C9-80D0-4FBC-A71E-10E9B3C2C78B}" destId="{B8013334-6C0E-4C72-82AD-D222F88DA225}" srcOrd="3" destOrd="0" parTransId="{EB16F2F4-36CA-489B-A4BF-A0DC009E21D5}" sibTransId="{9985DF33-DC90-4385-BE21-D4394184D3FA}"/>
    <dgm:cxn modelId="{AA497D9F-F8E8-4750-B123-8CB2C9ABF920}" type="presOf" srcId="{387C6987-3967-4A18-BA0F-B611D8AD65FB}" destId="{0F87C5D6-3982-49E6-AB64-11ADAD1690C9}" srcOrd="0" destOrd="0" presId="urn:microsoft.com/office/officeart/2005/8/layout/cycle5"/>
    <dgm:cxn modelId="{B85B11A1-D931-4412-9F54-88F036EAF700}" type="presOf" srcId="{DA935CC9-C0FE-4C96-BC9A-E1E74530E185}" destId="{039304BF-889D-4395-9DB2-DC3C77D83301}" srcOrd="0" destOrd="0" presId="urn:microsoft.com/office/officeart/2005/8/layout/cycle5"/>
    <dgm:cxn modelId="{BC3E4EE3-9E3A-4D83-B736-C634CCFFDCA3}" type="presOf" srcId="{21EDA9C9-80D0-4FBC-A71E-10E9B3C2C78B}" destId="{8FFF135F-7AFF-4098-A421-1E7438B16FEE}" srcOrd="0" destOrd="0" presId="urn:microsoft.com/office/officeart/2005/8/layout/cycle5"/>
    <dgm:cxn modelId="{BDAC1CE4-2EE1-4BA5-9164-88FA3B5F48B5}" type="presOf" srcId="{F912F509-251C-43DB-9B38-098079F7B149}" destId="{D53F3C82-D65E-4DD9-9423-ACF3E3750B78}" srcOrd="0" destOrd="0" presId="urn:microsoft.com/office/officeart/2005/8/layout/cycle5"/>
    <dgm:cxn modelId="{443148F2-E1D0-46EB-9D32-036B0DF5E170}" srcId="{21EDA9C9-80D0-4FBC-A71E-10E9B3C2C78B}" destId="{1658BA0A-9C6B-4825-BC09-CA3C6AEFFB10}" srcOrd="1" destOrd="0" parTransId="{A637A85A-9189-4F54-B2DD-95C41EAEC719}" sibTransId="{1D5F0068-39B3-4416-8551-7CB6C041F36A}"/>
    <dgm:cxn modelId="{61F393F2-5B67-4DCC-9C02-8762EF51B91D}" type="presOf" srcId="{A7FD4040-4E7E-496B-AD12-9467920D39B3}" destId="{C52B9601-1B8F-4027-84DD-E78D24F4D308}" srcOrd="0" destOrd="0" presId="urn:microsoft.com/office/officeart/2005/8/layout/cycle5"/>
    <dgm:cxn modelId="{0D1A36AE-9C50-4791-BA3B-BB33EB973B80}" type="presParOf" srcId="{8FFF135F-7AFF-4098-A421-1E7438B16FEE}" destId="{039304BF-889D-4395-9DB2-DC3C77D83301}" srcOrd="0" destOrd="0" presId="urn:microsoft.com/office/officeart/2005/8/layout/cycle5"/>
    <dgm:cxn modelId="{A0EADC7A-75D3-46D3-8F59-0406D5EA9812}" type="presParOf" srcId="{8FFF135F-7AFF-4098-A421-1E7438B16FEE}" destId="{E94F527C-2B12-40EC-A7E9-A032AA90B6A2}" srcOrd="1" destOrd="0" presId="urn:microsoft.com/office/officeart/2005/8/layout/cycle5"/>
    <dgm:cxn modelId="{85B8CEBC-D821-41D8-9FB5-E7844D2144F0}" type="presParOf" srcId="{8FFF135F-7AFF-4098-A421-1E7438B16FEE}" destId="{1579FEAC-BF8C-4D54-BB9D-5335AE38AC6D}" srcOrd="2" destOrd="0" presId="urn:microsoft.com/office/officeart/2005/8/layout/cycle5"/>
    <dgm:cxn modelId="{00EFE474-1035-4E7D-B623-994FC30D9BC2}" type="presParOf" srcId="{8FFF135F-7AFF-4098-A421-1E7438B16FEE}" destId="{C8B4DEDF-CC53-4B97-9A23-1106810F371D}" srcOrd="3" destOrd="0" presId="urn:microsoft.com/office/officeart/2005/8/layout/cycle5"/>
    <dgm:cxn modelId="{7D72EB00-82A4-4AB0-A3BF-DEF8641BBCC2}" type="presParOf" srcId="{8FFF135F-7AFF-4098-A421-1E7438B16FEE}" destId="{13746A2C-59D2-4917-8D64-2B6D19BD2874}" srcOrd="4" destOrd="0" presId="urn:microsoft.com/office/officeart/2005/8/layout/cycle5"/>
    <dgm:cxn modelId="{1A4B014D-48F6-4DEF-807F-F8B9098617D3}" type="presParOf" srcId="{8FFF135F-7AFF-4098-A421-1E7438B16FEE}" destId="{F1273E29-EF5F-491E-AB53-3989F2386985}" srcOrd="5" destOrd="0" presId="urn:microsoft.com/office/officeart/2005/8/layout/cycle5"/>
    <dgm:cxn modelId="{17AC9246-F3F5-4066-A37B-12ED25599B17}" type="presParOf" srcId="{8FFF135F-7AFF-4098-A421-1E7438B16FEE}" destId="{C52B9601-1B8F-4027-84DD-E78D24F4D308}" srcOrd="6" destOrd="0" presId="urn:microsoft.com/office/officeart/2005/8/layout/cycle5"/>
    <dgm:cxn modelId="{A56E2BD6-7DA7-48BF-9ECD-1C00E8E33BAB}" type="presParOf" srcId="{8FFF135F-7AFF-4098-A421-1E7438B16FEE}" destId="{74D4E5BC-EFCE-48BD-B0C5-433F3F31A8F1}" srcOrd="7" destOrd="0" presId="urn:microsoft.com/office/officeart/2005/8/layout/cycle5"/>
    <dgm:cxn modelId="{5F3F9FD6-392C-4643-A9E2-DEEBA82FAAC5}" type="presParOf" srcId="{8FFF135F-7AFF-4098-A421-1E7438B16FEE}" destId="{0AA97196-1078-4C9C-8E68-38F318808325}" srcOrd="8" destOrd="0" presId="urn:microsoft.com/office/officeart/2005/8/layout/cycle5"/>
    <dgm:cxn modelId="{12FAF56D-2085-4934-AA93-94304584B4A0}" type="presParOf" srcId="{8FFF135F-7AFF-4098-A421-1E7438B16FEE}" destId="{D39A4342-FA83-46AF-87FB-4ABBA99DE5E3}" srcOrd="9" destOrd="0" presId="urn:microsoft.com/office/officeart/2005/8/layout/cycle5"/>
    <dgm:cxn modelId="{B440FCFE-CCB7-4679-86F2-EB185E96AE0B}" type="presParOf" srcId="{8FFF135F-7AFF-4098-A421-1E7438B16FEE}" destId="{A91B863B-0629-42E0-843C-107C7402E2BE}" srcOrd="10" destOrd="0" presId="urn:microsoft.com/office/officeart/2005/8/layout/cycle5"/>
    <dgm:cxn modelId="{FA741433-B5F8-420D-9CF5-959DDA7BBF78}" type="presParOf" srcId="{8FFF135F-7AFF-4098-A421-1E7438B16FEE}" destId="{D1E00609-0992-4933-B7AE-1699449E1712}" srcOrd="11" destOrd="0" presId="urn:microsoft.com/office/officeart/2005/8/layout/cycle5"/>
    <dgm:cxn modelId="{3B3B6ADE-D6D6-4246-A961-04CFDFF0A7BC}" type="presParOf" srcId="{8FFF135F-7AFF-4098-A421-1E7438B16FEE}" destId="{D53F3C82-D65E-4DD9-9423-ACF3E3750B78}" srcOrd="12" destOrd="0" presId="urn:microsoft.com/office/officeart/2005/8/layout/cycle5"/>
    <dgm:cxn modelId="{9F3D83B4-A5E8-47DA-91B7-E307CC276551}" type="presParOf" srcId="{8FFF135F-7AFF-4098-A421-1E7438B16FEE}" destId="{13E904C2-5027-422B-A673-31820AB23F7C}" srcOrd="13" destOrd="0" presId="urn:microsoft.com/office/officeart/2005/8/layout/cycle5"/>
    <dgm:cxn modelId="{92E38D94-C4C2-4D3D-B8CA-AE05D9317509}" type="presParOf" srcId="{8FFF135F-7AFF-4098-A421-1E7438B16FEE}" destId="{F1FD4632-D575-47E5-B0AF-51F739E1D011}" srcOrd="14" destOrd="0" presId="urn:microsoft.com/office/officeart/2005/8/layout/cycle5"/>
    <dgm:cxn modelId="{40D530E1-E6D2-425E-AB36-DB742F00EB0A}" type="presParOf" srcId="{8FFF135F-7AFF-4098-A421-1E7438B16FEE}" destId="{0F87C5D6-3982-49E6-AB64-11ADAD1690C9}" srcOrd="15" destOrd="0" presId="urn:microsoft.com/office/officeart/2005/8/layout/cycle5"/>
    <dgm:cxn modelId="{B7E4E43C-3ACD-4E22-ACA9-0CAC6FA5150D}" type="presParOf" srcId="{8FFF135F-7AFF-4098-A421-1E7438B16FEE}" destId="{27B506C9-BD34-4E4E-8D13-0721AE277B52}" srcOrd="16" destOrd="0" presId="urn:microsoft.com/office/officeart/2005/8/layout/cycle5"/>
    <dgm:cxn modelId="{54966D4D-5D15-4CB0-BF8C-6A682F84BB49}" type="presParOf" srcId="{8FFF135F-7AFF-4098-A421-1E7438B16FEE}" destId="{2848DCE3-2F29-4893-B54E-9624846EBC4C}" srcOrd="17" destOrd="0" presId="urn:microsoft.com/office/officeart/2005/8/layout/cycle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75677AD-045B-4836-8F3E-1518B5288BEA}" type="doc">
      <dgm:prSet loTypeId="urn:microsoft.com/office/officeart/2024/layout/VerticalActionList" loCatId="list" qsTypeId="urn:microsoft.com/office/officeart/2005/8/quickstyle/simple1" qsCatId="simple" csTypeId="urn:microsoft.com/office/officeart/2005/8/colors/accent1_3" csCatId="accent1" phldr="1"/>
      <dgm:spPr/>
      <dgm:t>
        <a:bodyPr/>
        <a:lstStyle/>
        <a:p>
          <a:endParaRPr lang="en-GB"/>
        </a:p>
      </dgm:t>
    </dgm:pt>
    <dgm:pt modelId="{1FF5A221-A407-4B24-852D-A479ED196D58}">
      <dgm:prSet phldrT="[Text]" custT="1"/>
      <dgm:spPr/>
      <dgm:t>
        <a:bodyPr/>
        <a:lstStyle/>
        <a:p>
          <a:pPr algn="ctr"/>
          <a:r>
            <a:rPr lang="en-GB" sz="1100" b="1">
              <a:latin typeface="Arial" panose="020B0604020202020204" pitchFamily="34" charset="0"/>
              <a:cs typeface="Arial" panose="020B0604020202020204" pitchFamily="34" charset="0"/>
            </a:rPr>
            <a:t>Warehouse Operative</a:t>
          </a:r>
        </a:p>
      </dgm:t>
    </dgm:pt>
    <dgm:pt modelId="{DB7C8ED7-A196-4FD5-B4F2-38B22E599A87}" type="parTrans" cxnId="{5B189CA0-51CF-4BE2-852F-5775EA1FF171}">
      <dgm:prSet/>
      <dgm:spPr/>
      <dgm:t>
        <a:bodyPr/>
        <a:lstStyle/>
        <a:p>
          <a:endParaRPr lang="en-GB"/>
        </a:p>
      </dgm:t>
    </dgm:pt>
    <dgm:pt modelId="{96A07FBB-E34C-403E-9622-D00A5C8F6662}" type="sibTrans" cxnId="{5B189CA0-51CF-4BE2-852F-5775EA1FF171}">
      <dgm:prSet/>
      <dgm:spPr/>
      <dgm:t>
        <a:bodyPr/>
        <a:lstStyle/>
        <a:p>
          <a:endParaRPr lang="en-GB"/>
        </a:p>
      </dgm:t>
    </dgm:pt>
    <dgm:pt modelId="{77CC9077-A65B-4BB6-B62E-ECC047D2B3C9}">
      <dgm:prSet phldrT="[Text]" custT="1"/>
      <dgm:spPr/>
      <dgm:t>
        <a:bodyPr/>
        <a:lstStyle/>
        <a:p>
          <a:r>
            <a:rPr lang="en-GB" sz="1100">
              <a:latin typeface="Arial" panose="020B0604020202020204" pitchFamily="34" charset="0"/>
              <a:cs typeface="Arial" panose="020B0604020202020204" pitchFamily="34" charset="0"/>
            </a:rPr>
            <a:t>Entry Level role-gaining knowledge of operations and safety</a:t>
          </a:r>
          <a:r>
            <a:rPr lang="en-GB" sz="700"/>
            <a:t>.</a:t>
          </a:r>
        </a:p>
      </dgm:t>
    </dgm:pt>
    <dgm:pt modelId="{8BFE521B-0A0B-4145-917F-7AA35184015B}" type="parTrans" cxnId="{D3D9D2F9-59E1-4209-A6B5-54740C37F7A7}">
      <dgm:prSet/>
      <dgm:spPr/>
      <dgm:t>
        <a:bodyPr/>
        <a:lstStyle/>
        <a:p>
          <a:endParaRPr lang="en-GB"/>
        </a:p>
      </dgm:t>
    </dgm:pt>
    <dgm:pt modelId="{2BFB8759-D8AE-4329-91CA-7CD8C0839433}" type="sibTrans" cxnId="{D3D9D2F9-59E1-4209-A6B5-54740C37F7A7}">
      <dgm:prSet/>
      <dgm:spPr/>
      <dgm:t>
        <a:bodyPr/>
        <a:lstStyle/>
        <a:p>
          <a:endParaRPr lang="en-GB"/>
        </a:p>
      </dgm:t>
    </dgm:pt>
    <dgm:pt modelId="{A53BF41F-79DA-4F3C-BA9E-054ABBBE97CF}">
      <dgm:prSet phldrT="[Text]" custT="1"/>
      <dgm:spPr/>
      <dgm:t>
        <a:bodyPr/>
        <a:lstStyle/>
        <a:p>
          <a:pPr algn="ctr"/>
          <a:r>
            <a:rPr lang="en-GB" sz="1100" b="1">
              <a:latin typeface="Arial" panose="020B0604020202020204" pitchFamily="34" charset="0"/>
              <a:cs typeface="Arial" panose="020B0604020202020204" pitchFamily="34" charset="0"/>
            </a:rPr>
            <a:t>Picker</a:t>
          </a:r>
          <a:r>
            <a:rPr lang="en-GB" sz="1100">
              <a:latin typeface="Arial" panose="020B0604020202020204" pitchFamily="34" charset="0"/>
              <a:cs typeface="Arial" panose="020B0604020202020204" pitchFamily="34" charset="0"/>
            </a:rPr>
            <a:t> </a:t>
          </a:r>
        </a:p>
      </dgm:t>
    </dgm:pt>
    <dgm:pt modelId="{D2542E14-7DFD-4DF1-BF4F-0EAA847A2F32}" type="parTrans" cxnId="{88B9318E-4B2B-4DDD-9832-B815941D2356}">
      <dgm:prSet/>
      <dgm:spPr/>
      <dgm:t>
        <a:bodyPr/>
        <a:lstStyle/>
        <a:p>
          <a:endParaRPr lang="en-GB"/>
        </a:p>
      </dgm:t>
    </dgm:pt>
    <dgm:pt modelId="{B780A16A-FE0E-400B-9115-1D896FBE69B3}" type="sibTrans" cxnId="{88B9318E-4B2B-4DDD-9832-B815941D2356}">
      <dgm:prSet/>
      <dgm:spPr/>
      <dgm:t>
        <a:bodyPr/>
        <a:lstStyle/>
        <a:p>
          <a:endParaRPr lang="en-GB"/>
        </a:p>
      </dgm:t>
    </dgm:pt>
    <dgm:pt modelId="{18D73E1D-47D2-4427-BAF0-AA9D45DF0913}">
      <dgm:prSet phldrT="[Text]" custT="1"/>
      <dgm:spPr/>
      <dgm:t>
        <a:bodyPr/>
        <a:lstStyle/>
        <a:p>
          <a:r>
            <a:rPr lang="en-GB" sz="1100">
              <a:latin typeface="Arial" panose="020B0604020202020204" pitchFamily="34" charset="0"/>
              <a:cs typeface="Arial" panose="020B0604020202020204" pitchFamily="34" charset="0"/>
            </a:rPr>
            <a:t>Developing accuracy, productivity and understanding of processes</a:t>
          </a:r>
          <a:r>
            <a:rPr lang="en-GB" sz="700"/>
            <a:t>.</a:t>
          </a:r>
        </a:p>
      </dgm:t>
    </dgm:pt>
    <dgm:pt modelId="{6EC3C631-5E5A-4ABF-8110-06DD5BE73E4E}" type="parTrans" cxnId="{4488472F-375C-436C-900F-B99A77EED813}">
      <dgm:prSet/>
      <dgm:spPr/>
      <dgm:t>
        <a:bodyPr/>
        <a:lstStyle/>
        <a:p>
          <a:endParaRPr lang="en-GB"/>
        </a:p>
      </dgm:t>
    </dgm:pt>
    <dgm:pt modelId="{B08298A0-09DF-4DA6-B339-4AA8DB250240}" type="sibTrans" cxnId="{4488472F-375C-436C-900F-B99A77EED813}">
      <dgm:prSet/>
      <dgm:spPr/>
      <dgm:t>
        <a:bodyPr/>
        <a:lstStyle/>
        <a:p>
          <a:endParaRPr lang="en-GB"/>
        </a:p>
      </dgm:t>
    </dgm:pt>
    <dgm:pt modelId="{D4304B8C-2FD3-4A75-BDB3-8A63C5A58602}">
      <dgm:prSet phldrT="[Text]" custT="1"/>
      <dgm:spPr/>
      <dgm:t>
        <a:bodyPr/>
        <a:lstStyle/>
        <a:p>
          <a:pPr algn="ctr"/>
          <a:r>
            <a:rPr lang="en-GB" sz="1100" b="1"/>
            <a:t>Loader</a:t>
          </a:r>
        </a:p>
      </dgm:t>
    </dgm:pt>
    <dgm:pt modelId="{8272027A-215B-40C0-A5D2-994F1F5B6743}" type="parTrans" cxnId="{271937AE-D3A2-44D3-ADE1-3B402B442BC8}">
      <dgm:prSet/>
      <dgm:spPr/>
      <dgm:t>
        <a:bodyPr/>
        <a:lstStyle/>
        <a:p>
          <a:endParaRPr lang="en-GB"/>
        </a:p>
      </dgm:t>
    </dgm:pt>
    <dgm:pt modelId="{3CFE4FE7-75BF-4B21-9E18-FC23B13A7D28}" type="sibTrans" cxnId="{271937AE-D3A2-44D3-ADE1-3B402B442BC8}">
      <dgm:prSet/>
      <dgm:spPr/>
      <dgm:t>
        <a:bodyPr/>
        <a:lstStyle/>
        <a:p>
          <a:endParaRPr lang="en-GB"/>
        </a:p>
      </dgm:t>
    </dgm:pt>
    <dgm:pt modelId="{D6603D30-491A-4876-9DD4-0200EDC17386}">
      <dgm:prSet phldrT="[Text]" custT="1"/>
      <dgm:spPr/>
      <dgm:t>
        <a:bodyPr/>
        <a:lstStyle/>
        <a:p>
          <a:r>
            <a:rPr lang="en-GB" sz="1100">
              <a:latin typeface="Arial" panose="020B0604020202020204" pitchFamily="34" charset="0"/>
              <a:cs typeface="Arial" panose="020B0604020202020204" pitchFamily="34" charset="0"/>
            </a:rPr>
            <a:t>Building experience, responsibility and teamwork skills.</a:t>
          </a:r>
        </a:p>
      </dgm:t>
    </dgm:pt>
    <dgm:pt modelId="{2C8293F3-18EA-4116-ADC6-113FEF965595}" type="parTrans" cxnId="{0610C1EB-E54F-4576-B5F7-11CF3A5B597B}">
      <dgm:prSet/>
      <dgm:spPr/>
      <dgm:t>
        <a:bodyPr/>
        <a:lstStyle/>
        <a:p>
          <a:endParaRPr lang="en-GB"/>
        </a:p>
      </dgm:t>
    </dgm:pt>
    <dgm:pt modelId="{18EEDF2F-3E66-4B4C-9DF5-879A30454E3B}" type="sibTrans" cxnId="{0610C1EB-E54F-4576-B5F7-11CF3A5B597B}">
      <dgm:prSet/>
      <dgm:spPr/>
      <dgm:t>
        <a:bodyPr/>
        <a:lstStyle/>
        <a:p>
          <a:endParaRPr lang="en-GB"/>
        </a:p>
      </dgm:t>
    </dgm:pt>
    <dgm:pt modelId="{50CF328E-365B-4872-9E80-EA596C20485F}">
      <dgm:prSet phldrT="[Text]" custT="1"/>
      <dgm:spPr/>
      <dgm:t>
        <a:bodyPr/>
        <a:lstStyle/>
        <a:p>
          <a:pPr algn="ctr"/>
          <a:r>
            <a:rPr lang="en-GB" sz="1100" b="1">
              <a:latin typeface="Arial" panose="020B0604020202020204" pitchFamily="34" charset="0"/>
              <a:cs typeface="Arial" panose="020B0604020202020204" pitchFamily="34" charset="0"/>
            </a:rPr>
            <a:t>Trainer</a:t>
          </a:r>
          <a:r>
            <a:rPr lang="en-GB" sz="1100">
              <a:latin typeface="Arial" panose="020B0604020202020204" pitchFamily="34" charset="0"/>
              <a:cs typeface="Arial" panose="020B0604020202020204" pitchFamily="34" charset="0"/>
            </a:rPr>
            <a:t> </a:t>
          </a:r>
        </a:p>
      </dgm:t>
    </dgm:pt>
    <dgm:pt modelId="{014AF8BA-D287-4E52-9ECB-3600B3493366}" type="parTrans" cxnId="{D7C96CA8-7875-449E-88D9-310FE4298BD6}">
      <dgm:prSet/>
      <dgm:spPr/>
      <dgm:t>
        <a:bodyPr/>
        <a:lstStyle/>
        <a:p>
          <a:endParaRPr lang="en-GB"/>
        </a:p>
      </dgm:t>
    </dgm:pt>
    <dgm:pt modelId="{A30D5FC6-0386-48CC-802B-15D338B0EC76}" type="sibTrans" cxnId="{D7C96CA8-7875-449E-88D9-310FE4298BD6}">
      <dgm:prSet/>
      <dgm:spPr/>
      <dgm:t>
        <a:bodyPr/>
        <a:lstStyle/>
        <a:p>
          <a:endParaRPr lang="en-GB"/>
        </a:p>
      </dgm:t>
    </dgm:pt>
    <dgm:pt modelId="{28919AB1-DEE9-491A-8DB3-AE319E0AAA1C}">
      <dgm:prSet phldrT="[Text]" custT="1"/>
      <dgm:spPr/>
      <dgm:t>
        <a:bodyPr/>
        <a:lstStyle/>
        <a:p>
          <a:r>
            <a:rPr lang="en-GB" sz="1100">
              <a:latin typeface="Arial" panose="020B0604020202020204" pitchFamily="34" charset="0"/>
              <a:cs typeface="Arial" panose="020B0604020202020204" pitchFamily="34" charset="0"/>
            </a:rPr>
            <a:t>Supporting and training  new starters sharing knowledge.</a:t>
          </a:r>
        </a:p>
      </dgm:t>
    </dgm:pt>
    <dgm:pt modelId="{AA777366-C5DA-40C8-8D6A-B842712338EC}" type="sibTrans" cxnId="{3A1C6A5C-3419-4266-807A-0DB234D4FD20}">
      <dgm:prSet/>
      <dgm:spPr/>
      <dgm:t>
        <a:bodyPr/>
        <a:lstStyle/>
        <a:p>
          <a:endParaRPr lang="en-GB"/>
        </a:p>
      </dgm:t>
    </dgm:pt>
    <dgm:pt modelId="{A6C91F0E-7E6F-4F2B-9B9B-1E4C15B04E75}" type="parTrans" cxnId="{3A1C6A5C-3419-4266-807A-0DB234D4FD20}">
      <dgm:prSet/>
      <dgm:spPr/>
      <dgm:t>
        <a:bodyPr/>
        <a:lstStyle/>
        <a:p>
          <a:endParaRPr lang="en-GB"/>
        </a:p>
      </dgm:t>
    </dgm:pt>
    <dgm:pt modelId="{FB80FCC0-4617-4D50-8B7D-E793409677B1}">
      <dgm:prSet phldrT="[Text]" custT="1"/>
      <dgm:spPr/>
      <dgm:t>
        <a:bodyPr/>
        <a:lstStyle/>
        <a:p>
          <a:pPr algn="ctr"/>
          <a:r>
            <a:rPr lang="en-GB" sz="1100" b="1">
              <a:latin typeface="Arial" panose="020B0604020202020204" pitchFamily="34" charset="0"/>
              <a:cs typeface="Arial" panose="020B0604020202020204" pitchFamily="34" charset="0"/>
            </a:rPr>
            <a:t>Office Administrator</a:t>
          </a:r>
        </a:p>
      </dgm:t>
    </dgm:pt>
    <dgm:pt modelId="{FC0509CA-29DE-4B64-8CEF-E506C4A62B38}" type="parTrans" cxnId="{00D36723-F419-4906-AEBD-173EEAC575E3}">
      <dgm:prSet/>
      <dgm:spPr/>
      <dgm:t>
        <a:bodyPr/>
        <a:lstStyle/>
        <a:p>
          <a:endParaRPr lang="en-GB"/>
        </a:p>
      </dgm:t>
    </dgm:pt>
    <dgm:pt modelId="{B978C46C-1970-4EBB-8FF8-5E234722127B}" type="sibTrans" cxnId="{00D36723-F419-4906-AEBD-173EEAC575E3}">
      <dgm:prSet/>
      <dgm:spPr/>
      <dgm:t>
        <a:bodyPr/>
        <a:lstStyle/>
        <a:p>
          <a:endParaRPr lang="en-GB"/>
        </a:p>
      </dgm:t>
    </dgm:pt>
    <dgm:pt modelId="{F82D7B1A-A1EA-4E59-B7BA-30BF82F91C99}">
      <dgm:prSet phldrT="[Text]" custT="1"/>
      <dgm:spPr/>
      <dgm:t>
        <a:bodyPr/>
        <a:lstStyle/>
        <a:p>
          <a:r>
            <a:rPr lang="en-GB" sz="1100">
              <a:latin typeface="Arial" panose="020B0604020202020204" pitchFamily="34" charset="0"/>
              <a:cs typeface="Arial" panose="020B0604020202020204" pitchFamily="34" charset="0"/>
            </a:rPr>
            <a:t>Moving into administration tasks, systems and documentation.</a:t>
          </a:r>
        </a:p>
      </dgm:t>
    </dgm:pt>
    <dgm:pt modelId="{0915868C-3E35-4A8D-8D35-1079781F30BE}" type="parTrans" cxnId="{EBA3906D-C804-4FE5-AA7F-8CF2BBAA2B0E}">
      <dgm:prSet/>
      <dgm:spPr/>
      <dgm:t>
        <a:bodyPr/>
        <a:lstStyle/>
        <a:p>
          <a:endParaRPr lang="en-GB"/>
        </a:p>
      </dgm:t>
    </dgm:pt>
    <dgm:pt modelId="{97662ECE-4598-4032-B04E-9AE42EF0C580}" type="sibTrans" cxnId="{EBA3906D-C804-4FE5-AA7F-8CF2BBAA2B0E}">
      <dgm:prSet/>
      <dgm:spPr/>
      <dgm:t>
        <a:bodyPr/>
        <a:lstStyle/>
        <a:p>
          <a:endParaRPr lang="en-GB"/>
        </a:p>
      </dgm:t>
    </dgm:pt>
    <dgm:pt modelId="{EEFDAE5E-D564-4013-AE10-B9FAC3A4CF6D}">
      <dgm:prSet phldrT="[Text]" custT="1"/>
      <dgm:spPr/>
      <dgm:t>
        <a:bodyPr/>
        <a:lstStyle/>
        <a:p>
          <a:pPr algn="ctr"/>
          <a:r>
            <a:rPr lang="en-GB" sz="1100" b="1">
              <a:latin typeface="Arial" panose="020B0604020202020204" pitchFamily="34" charset="0"/>
              <a:cs typeface="Arial" panose="020B0604020202020204" pitchFamily="34" charset="0"/>
            </a:rPr>
            <a:t>Internal Recruitment</a:t>
          </a:r>
        </a:p>
      </dgm:t>
    </dgm:pt>
    <dgm:pt modelId="{DC04A933-5D54-4E31-89C2-E5AE30EB458D}" type="parTrans" cxnId="{3EDC55FD-6CFD-42F9-8335-A1C59497443D}">
      <dgm:prSet/>
      <dgm:spPr/>
      <dgm:t>
        <a:bodyPr/>
        <a:lstStyle/>
        <a:p>
          <a:endParaRPr lang="en-GB"/>
        </a:p>
      </dgm:t>
    </dgm:pt>
    <dgm:pt modelId="{45FC5216-ECF1-4305-9AD6-D31D68151883}" type="sibTrans" cxnId="{3EDC55FD-6CFD-42F9-8335-A1C59497443D}">
      <dgm:prSet/>
      <dgm:spPr/>
      <dgm:t>
        <a:bodyPr/>
        <a:lstStyle/>
        <a:p>
          <a:endParaRPr lang="en-GB"/>
        </a:p>
      </dgm:t>
    </dgm:pt>
    <dgm:pt modelId="{E40C463F-C091-4A43-AF3D-BDFF89004478}">
      <dgm:prSet phldrT="[Text]" custT="1"/>
      <dgm:spPr/>
      <dgm:t>
        <a:bodyPr/>
        <a:lstStyle/>
        <a:p>
          <a:r>
            <a:rPr lang="en-GB" sz="1100">
              <a:latin typeface="Arial" panose="020B0604020202020204" pitchFamily="34" charset="0"/>
              <a:cs typeface="Arial" panose="020B0604020202020204" pitchFamily="34" charset="0"/>
            </a:rPr>
            <a:t>Applying for internal vacancies and progressing within the business.</a:t>
          </a:r>
        </a:p>
      </dgm:t>
    </dgm:pt>
    <dgm:pt modelId="{08235752-807B-4C4D-A28E-4BA9934D2B18}" type="parTrans" cxnId="{F4B2AC80-061D-418E-AE72-6B123BEC597F}">
      <dgm:prSet/>
      <dgm:spPr/>
      <dgm:t>
        <a:bodyPr/>
        <a:lstStyle/>
        <a:p>
          <a:endParaRPr lang="en-GB"/>
        </a:p>
      </dgm:t>
    </dgm:pt>
    <dgm:pt modelId="{A5F830E9-AE70-4997-B3B8-1D95AEB269A1}" type="sibTrans" cxnId="{F4B2AC80-061D-418E-AE72-6B123BEC597F}">
      <dgm:prSet/>
      <dgm:spPr/>
      <dgm:t>
        <a:bodyPr/>
        <a:lstStyle/>
        <a:p>
          <a:endParaRPr lang="en-GB"/>
        </a:p>
      </dgm:t>
    </dgm:pt>
    <dgm:pt modelId="{B9508741-51D8-4431-8EC1-B4C97C791B70}">
      <dgm:prSet phldrT="[Text]" custT="1"/>
      <dgm:spPr/>
      <dgm:t>
        <a:bodyPr/>
        <a:lstStyle/>
        <a:p>
          <a:pPr algn="ctr"/>
          <a:r>
            <a:rPr lang="en-GB" sz="1100" b="1">
              <a:latin typeface="Arial" panose="020B0604020202020204" pitchFamily="34" charset="0"/>
              <a:cs typeface="Arial" panose="020B0604020202020204" pitchFamily="34" charset="0"/>
            </a:rPr>
            <a:t>Dispatch/Health and Safety</a:t>
          </a:r>
        </a:p>
      </dgm:t>
    </dgm:pt>
    <dgm:pt modelId="{A670EA9B-56CC-4790-B850-34A9484ED18C}" type="parTrans" cxnId="{10F622A7-606D-4D9A-B4E3-989731B68AC1}">
      <dgm:prSet/>
      <dgm:spPr/>
      <dgm:t>
        <a:bodyPr/>
        <a:lstStyle/>
        <a:p>
          <a:endParaRPr lang="en-GB"/>
        </a:p>
      </dgm:t>
    </dgm:pt>
    <dgm:pt modelId="{71F5BDD9-BE31-40EA-B56C-D9770898645F}" type="sibTrans" cxnId="{10F622A7-606D-4D9A-B4E3-989731B68AC1}">
      <dgm:prSet/>
      <dgm:spPr/>
      <dgm:t>
        <a:bodyPr/>
        <a:lstStyle/>
        <a:p>
          <a:endParaRPr lang="en-GB"/>
        </a:p>
      </dgm:t>
    </dgm:pt>
    <dgm:pt modelId="{976C7CE5-612B-4314-AD5D-27632F02C626}">
      <dgm:prSet phldrT="[Text]" custT="1"/>
      <dgm:spPr/>
      <dgm:t>
        <a:bodyPr/>
        <a:lstStyle/>
        <a:p>
          <a:r>
            <a:rPr lang="en-GB" sz="1100">
              <a:latin typeface="Arial" panose="020B0604020202020204" pitchFamily="34" charset="0"/>
              <a:cs typeface="Arial" panose="020B0604020202020204" pitchFamily="34" charset="0"/>
            </a:rPr>
            <a:t>Specialist roles with greater responsibility and decision making.</a:t>
          </a:r>
        </a:p>
      </dgm:t>
    </dgm:pt>
    <dgm:pt modelId="{9B8E1C4C-6AA5-4188-919C-9902952A3802}" type="parTrans" cxnId="{8BDD723A-7BD8-4AA3-9EDE-F09DEB40B9CC}">
      <dgm:prSet/>
      <dgm:spPr/>
      <dgm:t>
        <a:bodyPr/>
        <a:lstStyle/>
        <a:p>
          <a:endParaRPr lang="en-GB"/>
        </a:p>
      </dgm:t>
    </dgm:pt>
    <dgm:pt modelId="{44E04204-235C-466B-B8E9-94BCEC6F2D77}" type="sibTrans" cxnId="{8BDD723A-7BD8-4AA3-9EDE-F09DEB40B9CC}">
      <dgm:prSet/>
      <dgm:spPr/>
      <dgm:t>
        <a:bodyPr/>
        <a:lstStyle/>
        <a:p>
          <a:endParaRPr lang="en-GB"/>
        </a:p>
      </dgm:t>
    </dgm:pt>
    <dgm:pt modelId="{1F3B2719-3889-4E90-A98B-3AA1B7CD5A9E}">
      <dgm:prSet phldrT="[Text]" custT="1"/>
      <dgm:spPr/>
      <dgm:t>
        <a:bodyPr/>
        <a:lstStyle/>
        <a:p>
          <a:pPr algn="ctr"/>
          <a:r>
            <a:rPr lang="en-GB" sz="950" b="1">
              <a:latin typeface="Arial" panose="020B0604020202020204" pitchFamily="34" charset="0"/>
              <a:cs typeface="Arial" panose="020B0604020202020204" pitchFamily="34" charset="0"/>
            </a:rPr>
            <a:t>Future Leadership Opportunities </a:t>
          </a:r>
          <a:r>
            <a:rPr lang="en-GB" sz="1000">
              <a:latin typeface="Arial" panose="020B0604020202020204" pitchFamily="34" charset="0"/>
              <a:cs typeface="Arial" panose="020B0604020202020204" pitchFamily="34" charset="0"/>
            </a:rPr>
            <a:t>(GXO University</a:t>
          </a:r>
          <a:r>
            <a:rPr lang="en-GB" sz="1100">
              <a:latin typeface="Arial" panose="020B0604020202020204" pitchFamily="34" charset="0"/>
              <a:cs typeface="Arial" panose="020B0604020202020204" pitchFamily="34" charset="0"/>
            </a:rPr>
            <a:t>)</a:t>
          </a:r>
        </a:p>
      </dgm:t>
    </dgm:pt>
    <dgm:pt modelId="{D3C24231-3A87-4E83-A380-714EDE09807E}" type="parTrans" cxnId="{9D9063CF-2D59-4A41-97F7-FD5C273291DF}">
      <dgm:prSet/>
      <dgm:spPr/>
      <dgm:t>
        <a:bodyPr/>
        <a:lstStyle/>
        <a:p>
          <a:endParaRPr lang="en-GB"/>
        </a:p>
      </dgm:t>
    </dgm:pt>
    <dgm:pt modelId="{AFF944EC-2A7E-4AF0-B431-7906239B923F}" type="sibTrans" cxnId="{9D9063CF-2D59-4A41-97F7-FD5C273291DF}">
      <dgm:prSet/>
      <dgm:spPr/>
      <dgm:t>
        <a:bodyPr/>
        <a:lstStyle/>
        <a:p>
          <a:endParaRPr lang="en-GB"/>
        </a:p>
      </dgm:t>
    </dgm:pt>
    <dgm:pt modelId="{E5917F0A-1F8A-44E0-9F7F-09DB52A4BF4F}">
      <dgm:prSet phldrT="[Text]" custT="1"/>
      <dgm:spPr/>
      <dgm:t>
        <a:bodyPr/>
        <a:lstStyle/>
        <a:p>
          <a:r>
            <a:rPr lang="en-GB" sz="1100">
              <a:latin typeface="Arial" panose="020B0604020202020204" pitchFamily="34" charset="0"/>
              <a:cs typeface="Arial" panose="020B0604020202020204" pitchFamily="34" charset="0"/>
            </a:rPr>
            <a:t>Leadership programmes and career development for future managers.</a:t>
          </a:r>
        </a:p>
      </dgm:t>
    </dgm:pt>
    <dgm:pt modelId="{701C9991-E6B4-4BB5-94EB-CC842346D9BD}" type="sibTrans" cxnId="{078DFFDA-5990-4D80-AC3F-5E5D33A94AF7}">
      <dgm:prSet/>
      <dgm:spPr/>
      <dgm:t>
        <a:bodyPr/>
        <a:lstStyle/>
        <a:p>
          <a:endParaRPr lang="en-GB"/>
        </a:p>
      </dgm:t>
    </dgm:pt>
    <dgm:pt modelId="{AE84C188-7DFA-488A-BE6C-B2FB07E50914}" type="parTrans" cxnId="{078DFFDA-5990-4D80-AC3F-5E5D33A94AF7}">
      <dgm:prSet/>
      <dgm:spPr/>
      <dgm:t>
        <a:bodyPr/>
        <a:lstStyle/>
        <a:p>
          <a:endParaRPr lang="en-GB"/>
        </a:p>
      </dgm:t>
    </dgm:pt>
    <dgm:pt modelId="{D43D669C-397A-4087-9BE5-D7F48D499F60}" type="pres">
      <dgm:prSet presAssocID="{F75677AD-045B-4836-8F3E-1518B5288BEA}" presName="Name0" presStyleCnt="0">
        <dgm:presLayoutVars>
          <dgm:dir/>
          <dgm:animLvl val="lvl"/>
          <dgm:resizeHandles val="exact"/>
        </dgm:presLayoutVars>
      </dgm:prSet>
      <dgm:spPr/>
    </dgm:pt>
    <dgm:pt modelId="{33CE2C78-FD04-492B-840B-0F5D21B5FFCD}" type="pres">
      <dgm:prSet presAssocID="{1FF5A221-A407-4B24-852D-A479ED196D58}" presName="linNode" presStyleCnt="0"/>
      <dgm:spPr/>
    </dgm:pt>
    <dgm:pt modelId="{64EA132F-6515-453E-A85E-49AA94D2DB7B}" type="pres">
      <dgm:prSet presAssocID="{1FF5A221-A407-4B24-852D-A479ED196D58}" presName="bgOutline" presStyleLbl="fgAcc1" presStyleIdx="0" presStyleCnt="8" custLinFactNeighborX="0" custLinFactNeighborY="3762"/>
      <dgm:spPr/>
    </dgm:pt>
    <dgm:pt modelId="{AE2D808B-E6BA-4A02-B78C-1CB9DDE14886}" type="pres">
      <dgm:prSet presAssocID="{1FF5A221-A407-4B24-852D-A479ED196D58}" presName="parentText" presStyleLbl="alignNode1" presStyleIdx="0" presStyleCnt="8" custLinFactNeighborX="0" custLinFactNeighborY="3762">
        <dgm:presLayoutVars>
          <dgm:chMax val="1"/>
          <dgm:bulletEnabled/>
        </dgm:presLayoutVars>
      </dgm:prSet>
      <dgm:spPr/>
    </dgm:pt>
    <dgm:pt modelId="{BB4F11EA-035A-49D5-8FB5-B49409E87464}" type="pres">
      <dgm:prSet presAssocID="{1FF5A221-A407-4B24-852D-A479ED196D58}" presName="descendantText" presStyleLbl="revTx" presStyleIdx="0" presStyleCnt="0">
        <dgm:presLayoutVars>
          <dgm:bulletEnabled/>
        </dgm:presLayoutVars>
      </dgm:prSet>
      <dgm:spPr/>
    </dgm:pt>
    <dgm:pt modelId="{F93A776F-E4E3-4715-8813-F9A201CEFED8}" type="pres">
      <dgm:prSet presAssocID="{96A07FBB-E34C-403E-9622-D00A5C8F6662}" presName="sp" presStyleCnt="0"/>
      <dgm:spPr/>
    </dgm:pt>
    <dgm:pt modelId="{C4CA832C-B4A3-4250-866D-235508159DDE}" type="pres">
      <dgm:prSet presAssocID="{A53BF41F-79DA-4F3C-BA9E-054ABBBE97CF}" presName="linNode" presStyleCnt="0"/>
      <dgm:spPr/>
    </dgm:pt>
    <dgm:pt modelId="{EAB6078C-4A39-4928-880F-FB1B4E550490}" type="pres">
      <dgm:prSet presAssocID="{A53BF41F-79DA-4F3C-BA9E-054ABBBE97CF}" presName="bgOutline" presStyleLbl="fgAcc1" presStyleIdx="1" presStyleCnt="8"/>
      <dgm:spPr/>
    </dgm:pt>
    <dgm:pt modelId="{3825D14D-6892-4DC7-A56F-76046160E004}" type="pres">
      <dgm:prSet presAssocID="{A53BF41F-79DA-4F3C-BA9E-054ABBBE97CF}" presName="parentText" presStyleLbl="alignNode1" presStyleIdx="1" presStyleCnt="8" custLinFactNeighborX="0" custLinFactNeighborY="0">
        <dgm:presLayoutVars>
          <dgm:chMax val="1"/>
          <dgm:bulletEnabled/>
        </dgm:presLayoutVars>
      </dgm:prSet>
      <dgm:spPr/>
    </dgm:pt>
    <dgm:pt modelId="{E9758F9E-A455-4BD3-A872-4B69FF712E88}" type="pres">
      <dgm:prSet presAssocID="{A53BF41F-79DA-4F3C-BA9E-054ABBBE97CF}" presName="descendantText" presStyleLbl="revTx" presStyleIdx="0" presStyleCnt="0">
        <dgm:presLayoutVars>
          <dgm:bulletEnabled/>
        </dgm:presLayoutVars>
      </dgm:prSet>
      <dgm:spPr/>
    </dgm:pt>
    <dgm:pt modelId="{79F33C89-7486-4EA7-AF98-0C8CA9EEB566}" type="pres">
      <dgm:prSet presAssocID="{B780A16A-FE0E-400B-9115-1D896FBE69B3}" presName="sp" presStyleCnt="0"/>
      <dgm:spPr/>
    </dgm:pt>
    <dgm:pt modelId="{95B88C00-679B-4E84-8377-47824B3F3E66}" type="pres">
      <dgm:prSet presAssocID="{D4304B8C-2FD3-4A75-BDB3-8A63C5A58602}" presName="linNode" presStyleCnt="0"/>
      <dgm:spPr/>
    </dgm:pt>
    <dgm:pt modelId="{3F30C196-3C78-4BF1-8FF0-C6116236A5F1}" type="pres">
      <dgm:prSet presAssocID="{D4304B8C-2FD3-4A75-BDB3-8A63C5A58602}" presName="bgOutline" presStyleLbl="fgAcc1" presStyleIdx="2" presStyleCnt="8"/>
      <dgm:spPr/>
    </dgm:pt>
    <dgm:pt modelId="{9AD5A067-58DB-491A-8F47-3140D4EFB665}" type="pres">
      <dgm:prSet presAssocID="{D4304B8C-2FD3-4A75-BDB3-8A63C5A58602}" presName="parentText" presStyleLbl="alignNode1" presStyleIdx="2" presStyleCnt="8" custLinFactNeighborX="-2106" custLinFactNeighborY="0">
        <dgm:presLayoutVars>
          <dgm:chMax val="1"/>
          <dgm:bulletEnabled/>
        </dgm:presLayoutVars>
      </dgm:prSet>
      <dgm:spPr/>
    </dgm:pt>
    <dgm:pt modelId="{8332D8EB-7B5D-4246-BBF7-6DACD356434E}" type="pres">
      <dgm:prSet presAssocID="{D4304B8C-2FD3-4A75-BDB3-8A63C5A58602}" presName="descendantText" presStyleLbl="revTx" presStyleIdx="0" presStyleCnt="0">
        <dgm:presLayoutVars>
          <dgm:bulletEnabled/>
        </dgm:presLayoutVars>
      </dgm:prSet>
      <dgm:spPr/>
    </dgm:pt>
    <dgm:pt modelId="{6A6E4A02-2C8A-4D5F-B3C0-32DE2F3F2CC7}" type="pres">
      <dgm:prSet presAssocID="{3CFE4FE7-75BF-4B21-9E18-FC23B13A7D28}" presName="sp" presStyleCnt="0"/>
      <dgm:spPr/>
    </dgm:pt>
    <dgm:pt modelId="{6C5489F5-979F-412B-AAC9-97EDA55CB893}" type="pres">
      <dgm:prSet presAssocID="{50CF328E-365B-4872-9E80-EA596C20485F}" presName="linNode" presStyleCnt="0"/>
      <dgm:spPr/>
    </dgm:pt>
    <dgm:pt modelId="{DA6525B4-A2EA-4287-B3DE-F28F3553F3D8}" type="pres">
      <dgm:prSet presAssocID="{50CF328E-365B-4872-9E80-EA596C20485F}" presName="bgOutline" presStyleLbl="fgAcc1" presStyleIdx="3" presStyleCnt="8"/>
      <dgm:spPr/>
    </dgm:pt>
    <dgm:pt modelId="{03E81288-76D5-4A52-A83F-A03A896D58E3}" type="pres">
      <dgm:prSet presAssocID="{50CF328E-365B-4872-9E80-EA596C20485F}" presName="parentText" presStyleLbl="alignNode1" presStyleIdx="3" presStyleCnt="8" custLinFactNeighborX="-3791" custLinFactNeighborY="-4502">
        <dgm:presLayoutVars>
          <dgm:chMax val="1"/>
          <dgm:bulletEnabled/>
        </dgm:presLayoutVars>
      </dgm:prSet>
      <dgm:spPr/>
    </dgm:pt>
    <dgm:pt modelId="{297BD573-C96B-4D63-AAE4-803F519EB1A1}" type="pres">
      <dgm:prSet presAssocID="{50CF328E-365B-4872-9E80-EA596C20485F}" presName="descendantText" presStyleLbl="revTx" presStyleIdx="0" presStyleCnt="0">
        <dgm:presLayoutVars>
          <dgm:bulletEnabled/>
        </dgm:presLayoutVars>
      </dgm:prSet>
      <dgm:spPr/>
    </dgm:pt>
    <dgm:pt modelId="{B4E47675-A061-4B96-BCD4-DBA4ED64F3AE}" type="pres">
      <dgm:prSet presAssocID="{A30D5FC6-0386-48CC-802B-15D338B0EC76}" presName="sp" presStyleCnt="0"/>
      <dgm:spPr/>
    </dgm:pt>
    <dgm:pt modelId="{BE6DF779-C1B1-4952-B1AC-EC4133883B8D}" type="pres">
      <dgm:prSet presAssocID="{FB80FCC0-4617-4D50-8B7D-E793409677B1}" presName="linNode" presStyleCnt="0"/>
      <dgm:spPr/>
    </dgm:pt>
    <dgm:pt modelId="{A3DEEE67-0437-42E4-8541-866DA4681F3B}" type="pres">
      <dgm:prSet presAssocID="{FB80FCC0-4617-4D50-8B7D-E793409677B1}" presName="bgOutline" presStyleLbl="fgAcc1" presStyleIdx="4" presStyleCnt="8"/>
      <dgm:spPr/>
    </dgm:pt>
    <dgm:pt modelId="{17D85F14-ABC6-4B59-BDA2-D6676180B385}" type="pres">
      <dgm:prSet presAssocID="{FB80FCC0-4617-4D50-8B7D-E793409677B1}" presName="parentText" presStyleLbl="alignNode1" presStyleIdx="4" presStyleCnt="8">
        <dgm:presLayoutVars>
          <dgm:chMax val="1"/>
          <dgm:bulletEnabled/>
        </dgm:presLayoutVars>
      </dgm:prSet>
      <dgm:spPr/>
    </dgm:pt>
    <dgm:pt modelId="{1095BA4A-ADD9-46EA-9911-2B33A1FF2E5A}" type="pres">
      <dgm:prSet presAssocID="{FB80FCC0-4617-4D50-8B7D-E793409677B1}" presName="descendantText" presStyleLbl="revTx" presStyleIdx="0" presStyleCnt="0">
        <dgm:presLayoutVars>
          <dgm:bulletEnabled/>
        </dgm:presLayoutVars>
      </dgm:prSet>
      <dgm:spPr/>
    </dgm:pt>
    <dgm:pt modelId="{ABE7E8D7-05F8-443D-A43D-992D2F384653}" type="pres">
      <dgm:prSet presAssocID="{B978C46C-1970-4EBB-8FF8-5E234722127B}" presName="sp" presStyleCnt="0"/>
      <dgm:spPr/>
    </dgm:pt>
    <dgm:pt modelId="{8102F44F-1F3C-4F34-8082-82120B282456}" type="pres">
      <dgm:prSet presAssocID="{EEFDAE5E-D564-4013-AE10-B9FAC3A4CF6D}" presName="linNode" presStyleCnt="0"/>
      <dgm:spPr/>
    </dgm:pt>
    <dgm:pt modelId="{06E83025-3D80-451C-BA28-96AFDA5DE67A}" type="pres">
      <dgm:prSet presAssocID="{EEFDAE5E-D564-4013-AE10-B9FAC3A4CF6D}" presName="bgOutline" presStyleLbl="fgAcc1" presStyleIdx="5" presStyleCnt="8"/>
      <dgm:spPr/>
    </dgm:pt>
    <dgm:pt modelId="{C2192BA5-FCA7-4B05-B2BD-8EC49BAEBD9A}" type="pres">
      <dgm:prSet presAssocID="{EEFDAE5E-D564-4013-AE10-B9FAC3A4CF6D}" presName="parentText" presStyleLbl="alignNode1" presStyleIdx="5" presStyleCnt="8">
        <dgm:presLayoutVars>
          <dgm:chMax val="1"/>
          <dgm:bulletEnabled/>
        </dgm:presLayoutVars>
      </dgm:prSet>
      <dgm:spPr/>
    </dgm:pt>
    <dgm:pt modelId="{F912EBF6-4762-47AC-8133-7D67DD8D1254}" type="pres">
      <dgm:prSet presAssocID="{EEFDAE5E-D564-4013-AE10-B9FAC3A4CF6D}" presName="descendantText" presStyleLbl="revTx" presStyleIdx="0" presStyleCnt="0">
        <dgm:presLayoutVars>
          <dgm:bulletEnabled/>
        </dgm:presLayoutVars>
      </dgm:prSet>
      <dgm:spPr/>
    </dgm:pt>
    <dgm:pt modelId="{017611A9-85CC-4505-BF50-60D01E96AF82}" type="pres">
      <dgm:prSet presAssocID="{45FC5216-ECF1-4305-9AD6-D31D68151883}" presName="sp" presStyleCnt="0"/>
      <dgm:spPr/>
    </dgm:pt>
    <dgm:pt modelId="{82DB8642-30F7-4A5E-8363-08015E6F7B40}" type="pres">
      <dgm:prSet presAssocID="{B9508741-51D8-4431-8EC1-B4C97C791B70}" presName="linNode" presStyleCnt="0"/>
      <dgm:spPr/>
    </dgm:pt>
    <dgm:pt modelId="{4E87370E-000C-411B-BB7B-DEAF1B696818}" type="pres">
      <dgm:prSet presAssocID="{B9508741-51D8-4431-8EC1-B4C97C791B70}" presName="bgOutline" presStyleLbl="fgAcc1" presStyleIdx="6" presStyleCnt="8"/>
      <dgm:spPr/>
    </dgm:pt>
    <dgm:pt modelId="{9417FC08-8DE4-4BA0-A71C-AF5FFA19CA4B}" type="pres">
      <dgm:prSet presAssocID="{B9508741-51D8-4431-8EC1-B4C97C791B70}" presName="parentText" presStyleLbl="alignNode1" presStyleIdx="6" presStyleCnt="8">
        <dgm:presLayoutVars>
          <dgm:chMax val="1"/>
          <dgm:bulletEnabled/>
        </dgm:presLayoutVars>
      </dgm:prSet>
      <dgm:spPr/>
    </dgm:pt>
    <dgm:pt modelId="{8EF3C70E-1C0F-4507-8217-86333D2AEDFE}" type="pres">
      <dgm:prSet presAssocID="{B9508741-51D8-4431-8EC1-B4C97C791B70}" presName="descendantText" presStyleLbl="revTx" presStyleIdx="0" presStyleCnt="0">
        <dgm:presLayoutVars>
          <dgm:bulletEnabled/>
        </dgm:presLayoutVars>
      </dgm:prSet>
      <dgm:spPr/>
    </dgm:pt>
    <dgm:pt modelId="{B1E51661-D98F-4412-B4C5-F1FE4D4CF26F}" type="pres">
      <dgm:prSet presAssocID="{71F5BDD9-BE31-40EA-B56C-D9770898645F}" presName="sp" presStyleCnt="0"/>
      <dgm:spPr/>
    </dgm:pt>
    <dgm:pt modelId="{3F103A2F-8876-4FE9-97A3-F67BEE199F1C}" type="pres">
      <dgm:prSet presAssocID="{1F3B2719-3889-4E90-A98B-3AA1B7CD5A9E}" presName="linNode" presStyleCnt="0"/>
      <dgm:spPr/>
    </dgm:pt>
    <dgm:pt modelId="{9D5DF07D-DE7C-42AF-90AF-97A7EB0260F9}" type="pres">
      <dgm:prSet presAssocID="{1F3B2719-3889-4E90-A98B-3AA1B7CD5A9E}" presName="bgOutline" presStyleLbl="fgAcc1" presStyleIdx="7" presStyleCnt="8"/>
      <dgm:spPr/>
    </dgm:pt>
    <dgm:pt modelId="{E922AEF8-AF97-4D24-9E08-26A23AF5C4DB}" type="pres">
      <dgm:prSet presAssocID="{1F3B2719-3889-4E90-A98B-3AA1B7CD5A9E}" presName="parentText" presStyleLbl="alignNode1" presStyleIdx="7" presStyleCnt="8">
        <dgm:presLayoutVars>
          <dgm:chMax val="1"/>
          <dgm:bulletEnabled/>
        </dgm:presLayoutVars>
      </dgm:prSet>
      <dgm:spPr/>
    </dgm:pt>
    <dgm:pt modelId="{70ED118B-7CB6-4A36-8FD1-6723FF0314E0}" type="pres">
      <dgm:prSet presAssocID="{1F3B2719-3889-4E90-A98B-3AA1B7CD5A9E}" presName="descendantText" presStyleLbl="revTx" presStyleIdx="0" presStyleCnt="0">
        <dgm:presLayoutVars>
          <dgm:bulletEnabled/>
        </dgm:presLayoutVars>
      </dgm:prSet>
      <dgm:spPr/>
    </dgm:pt>
  </dgm:ptLst>
  <dgm:cxnLst>
    <dgm:cxn modelId="{D907CC04-C974-4898-95B8-4A08C7056082}" type="presOf" srcId="{77CC9077-A65B-4BB6-B62E-ECC047D2B3C9}" destId="{BB4F11EA-035A-49D5-8FB5-B49409E87464}" srcOrd="0" destOrd="0" presId="urn:microsoft.com/office/officeart/2024/layout/VerticalActionList"/>
    <dgm:cxn modelId="{FE45420F-F44A-4DB4-9339-70235093EE43}" type="presOf" srcId="{50CF328E-365B-4872-9E80-EA596C20485F}" destId="{DA6525B4-A2EA-4287-B3DE-F28F3553F3D8}" srcOrd="0" destOrd="0" presId="urn:microsoft.com/office/officeart/2024/layout/VerticalActionList"/>
    <dgm:cxn modelId="{CC99E812-F0B3-46EC-BBBB-CCFD4BDBF18A}" type="presOf" srcId="{EEFDAE5E-D564-4013-AE10-B9FAC3A4CF6D}" destId="{C2192BA5-FCA7-4B05-B2BD-8EC49BAEBD9A}" srcOrd="1" destOrd="0" presId="urn:microsoft.com/office/officeart/2024/layout/VerticalActionList"/>
    <dgm:cxn modelId="{81C59818-C3A5-4A10-BF0E-6D8339F4942F}" type="presOf" srcId="{FB80FCC0-4617-4D50-8B7D-E793409677B1}" destId="{17D85F14-ABC6-4B59-BDA2-D6676180B385}" srcOrd="1" destOrd="0" presId="urn:microsoft.com/office/officeart/2024/layout/VerticalActionList"/>
    <dgm:cxn modelId="{8AC0FA18-363B-4E37-97D6-F849E9644F9C}" type="presOf" srcId="{976C7CE5-612B-4314-AD5D-27632F02C626}" destId="{8EF3C70E-1C0F-4507-8217-86333D2AEDFE}" srcOrd="0" destOrd="0" presId="urn:microsoft.com/office/officeart/2024/layout/VerticalActionList"/>
    <dgm:cxn modelId="{1051F019-7757-4626-B4D6-ACC39608F438}" type="presOf" srcId="{28919AB1-DEE9-491A-8DB3-AE319E0AAA1C}" destId="{297BD573-C96B-4D63-AAE4-803F519EB1A1}" srcOrd="0" destOrd="0" presId="urn:microsoft.com/office/officeart/2024/layout/VerticalActionList"/>
    <dgm:cxn modelId="{8996A41A-1937-450E-AD55-40AA2DDC632D}" type="presOf" srcId="{1F3B2719-3889-4E90-A98B-3AA1B7CD5A9E}" destId="{9D5DF07D-DE7C-42AF-90AF-97A7EB0260F9}" srcOrd="0" destOrd="0" presId="urn:microsoft.com/office/officeart/2024/layout/VerticalActionList"/>
    <dgm:cxn modelId="{58E32B21-B112-4085-B9D1-31369F100078}" type="presOf" srcId="{B9508741-51D8-4431-8EC1-B4C97C791B70}" destId="{4E87370E-000C-411B-BB7B-DEAF1B696818}" srcOrd="0" destOrd="0" presId="urn:microsoft.com/office/officeart/2024/layout/VerticalActionList"/>
    <dgm:cxn modelId="{84290722-2CBE-4757-8E66-49E501A7BE14}" type="presOf" srcId="{A53BF41F-79DA-4F3C-BA9E-054ABBBE97CF}" destId="{3825D14D-6892-4DC7-A56F-76046160E004}" srcOrd="1" destOrd="0" presId="urn:microsoft.com/office/officeart/2024/layout/VerticalActionList"/>
    <dgm:cxn modelId="{45665022-D2CB-40B1-A383-38ED058EBFB8}" type="presOf" srcId="{1F3B2719-3889-4E90-A98B-3AA1B7CD5A9E}" destId="{E922AEF8-AF97-4D24-9E08-26A23AF5C4DB}" srcOrd="1" destOrd="0" presId="urn:microsoft.com/office/officeart/2024/layout/VerticalActionList"/>
    <dgm:cxn modelId="{00D36723-F419-4906-AEBD-173EEAC575E3}" srcId="{F75677AD-045B-4836-8F3E-1518B5288BEA}" destId="{FB80FCC0-4617-4D50-8B7D-E793409677B1}" srcOrd="4" destOrd="0" parTransId="{FC0509CA-29DE-4B64-8CEF-E506C4A62B38}" sibTransId="{B978C46C-1970-4EBB-8FF8-5E234722127B}"/>
    <dgm:cxn modelId="{4B73DC2A-DCA4-46EC-9A96-C460E901AB7E}" type="presOf" srcId="{B9508741-51D8-4431-8EC1-B4C97C791B70}" destId="{9417FC08-8DE4-4BA0-A71C-AF5FFA19CA4B}" srcOrd="1" destOrd="0" presId="urn:microsoft.com/office/officeart/2024/layout/VerticalActionList"/>
    <dgm:cxn modelId="{4488472F-375C-436C-900F-B99A77EED813}" srcId="{A53BF41F-79DA-4F3C-BA9E-054ABBBE97CF}" destId="{18D73E1D-47D2-4427-BAF0-AA9D45DF0913}" srcOrd="0" destOrd="0" parTransId="{6EC3C631-5E5A-4ABF-8110-06DD5BE73E4E}" sibTransId="{B08298A0-09DF-4DA6-B339-4AA8DB250240}"/>
    <dgm:cxn modelId="{8BDD723A-7BD8-4AA3-9EDE-F09DEB40B9CC}" srcId="{B9508741-51D8-4431-8EC1-B4C97C791B70}" destId="{976C7CE5-612B-4314-AD5D-27632F02C626}" srcOrd="0" destOrd="0" parTransId="{9B8E1C4C-6AA5-4188-919C-9902952A3802}" sibTransId="{44E04204-235C-466B-B8E9-94BCEC6F2D77}"/>
    <dgm:cxn modelId="{96B0813D-5900-4126-850B-38C776ABBF4F}" type="presOf" srcId="{F75677AD-045B-4836-8F3E-1518B5288BEA}" destId="{D43D669C-397A-4087-9BE5-D7F48D499F60}" srcOrd="0" destOrd="0" presId="urn:microsoft.com/office/officeart/2024/layout/VerticalActionList"/>
    <dgm:cxn modelId="{3A1C6A5C-3419-4266-807A-0DB234D4FD20}" srcId="{50CF328E-365B-4872-9E80-EA596C20485F}" destId="{28919AB1-DEE9-491A-8DB3-AE319E0AAA1C}" srcOrd="0" destOrd="0" parTransId="{A6C91F0E-7E6F-4F2B-9B9B-1E4C15B04E75}" sibTransId="{AA777366-C5DA-40C8-8D6A-B842712338EC}"/>
    <dgm:cxn modelId="{37565263-74A1-40E1-8484-E71935EFB829}" type="presOf" srcId="{EEFDAE5E-D564-4013-AE10-B9FAC3A4CF6D}" destId="{06E83025-3D80-451C-BA28-96AFDA5DE67A}" srcOrd="0" destOrd="0" presId="urn:microsoft.com/office/officeart/2024/layout/VerticalActionList"/>
    <dgm:cxn modelId="{EBA3906D-C804-4FE5-AA7F-8CF2BBAA2B0E}" srcId="{FB80FCC0-4617-4D50-8B7D-E793409677B1}" destId="{F82D7B1A-A1EA-4E59-B7BA-30BF82F91C99}" srcOrd="0" destOrd="0" parTransId="{0915868C-3E35-4A8D-8D35-1079781F30BE}" sibTransId="{97662ECE-4598-4032-B04E-9AE42EF0C580}"/>
    <dgm:cxn modelId="{89513F4E-9667-4A46-8517-E2F763DCCDE1}" type="presOf" srcId="{D4304B8C-2FD3-4A75-BDB3-8A63C5A58602}" destId="{9AD5A067-58DB-491A-8F47-3140D4EFB665}" srcOrd="1" destOrd="0" presId="urn:microsoft.com/office/officeart/2024/layout/VerticalActionList"/>
    <dgm:cxn modelId="{F4B2AC80-061D-418E-AE72-6B123BEC597F}" srcId="{EEFDAE5E-D564-4013-AE10-B9FAC3A4CF6D}" destId="{E40C463F-C091-4A43-AF3D-BDFF89004478}" srcOrd="0" destOrd="0" parTransId="{08235752-807B-4C4D-A28E-4BA9934D2B18}" sibTransId="{A5F830E9-AE70-4997-B3B8-1D95AEB269A1}"/>
    <dgm:cxn modelId="{4E35B08A-FD64-4D1D-9E7D-44C835CE82D9}" type="presOf" srcId="{F82D7B1A-A1EA-4E59-B7BA-30BF82F91C99}" destId="{1095BA4A-ADD9-46EA-9911-2B33A1FF2E5A}" srcOrd="0" destOrd="0" presId="urn:microsoft.com/office/officeart/2024/layout/VerticalActionList"/>
    <dgm:cxn modelId="{88B9318E-4B2B-4DDD-9832-B815941D2356}" srcId="{F75677AD-045B-4836-8F3E-1518B5288BEA}" destId="{A53BF41F-79DA-4F3C-BA9E-054ABBBE97CF}" srcOrd="1" destOrd="0" parTransId="{D2542E14-7DFD-4DF1-BF4F-0EAA847A2F32}" sibTransId="{B780A16A-FE0E-400B-9115-1D896FBE69B3}"/>
    <dgm:cxn modelId="{A6BEB896-2EA0-4463-8914-690EBADE9B1C}" type="presOf" srcId="{E40C463F-C091-4A43-AF3D-BDFF89004478}" destId="{F912EBF6-4762-47AC-8133-7D67DD8D1254}" srcOrd="0" destOrd="0" presId="urn:microsoft.com/office/officeart/2024/layout/VerticalActionList"/>
    <dgm:cxn modelId="{5B189CA0-51CF-4BE2-852F-5775EA1FF171}" srcId="{F75677AD-045B-4836-8F3E-1518B5288BEA}" destId="{1FF5A221-A407-4B24-852D-A479ED196D58}" srcOrd="0" destOrd="0" parTransId="{DB7C8ED7-A196-4FD5-B4F2-38B22E599A87}" sibTransId="{96A07FBB-E34C-403E-9622-D00A5C8F6662}"/>
    <dgm:cxn modelId="{10F622A7-606D-4D9A-B4E3-989731B68AC1}" srcId="{F75677AD-045B-4836-8F3E-1518B5288BEA}" destId="{B9508741-51D8-4431-8EC1-B4C97C791B70}" srcOrd="6" destOrd="0" parTransId="{A670EA9B-56CC-4790-B850-34A9484ED18C}" sibTransId="{71F5BDD9-BE31-40EA-B56C-D9770898645F}"/>
    <dgm:cxn modelId="{D7C96CA8-7875-449E-88D9-310FE4298BD6}" srcId="{F75677AD-045B-4836-8F3E-1518B5288BEA}" destId="{50CF328E-365B-4872-9E80-EA596C20485F}" srcOrd="3" destOrd="0" parTransId="{014AF8BA-D287-4E52-9ECB-3600B3493366}" sibTransId="{A30D5FC6-0386-48CC-802B-15D338B0EC76}"/>
    <dgm:cxn modelId="{DFD8C4AD-4672-404E-901D-2C6C9457BE8A}" type="presOf" srcId="{18D73E1D-47D2-4427-BAF0-AA9D45DF0913}" destId="{E9758F9E-A455-4BD3-A872-4B69FF712E88}" srcOrd="0" destOrd="0" presId="urn:microsoft.com/office/officeart/2024/layout/VerticalActionList"/>
    <dgm:cxn modelId="{271937AE-D3A2-44D3-ADE1-3B402B442BC8}" srcId="{F75677AD-045B-4836-8F3E-1518B5288BEA}" destId="{D4304B8C-2FD3-4A75-BDB3-8A63C5A58602}" srcOrd="2" destOrd="0" parTransId="{8272027A-215B-40C0-A5D2-994F1F5B6743}" sibTransId="{3CFE4FE7-75BF-4B21-9E18-FC23B13A7D28}"/>
    <dgm:cxn modelId="{9DA2FBB6-51D3-4F0F-AA92-B12183885224}" type="presOf" srcId="{D4304B8C-2FD3-4A75-BDB3-8A63C5A58602}" destId="{3F30C196-3C78-4BF1-8FF0-C6116236A5F1}" srcOrd="0" destOrd="0" presId="urn:microsoft.com/office/officeart/2024/layout/VerticalActionList"/>
    <dgm:cxn modelId="{EABF58B9-B4E6-4206-85B0-26222C67BD20}" type="presOf" srcId="{A53BF41F-79DA-4F3C-BA9E-054ABBBE97CF}" destId="{EAB6078C-4A39-4928-880F-FB1B4E550490}" srcOrd="0" destOrd="0" presId="urn:microsoft.com/office/officeart/2024/layout/VerticalActionList"/>
    <dgm:cxn modelId="{5B43DDC0-8830-443E-A0B9-5BDC0FF9FEDF}" type="presOf" srcId="{E5917F0A-1F8A-44E0-9F7F-09DB52A4BF4F}" destId="{70ED118B-7CB6-4A36-8FD1-6723FF0314E0}" srcOrd="0" destOrd="0" presId="urn:microsoft.com/office/officeart/2024/layout/VerticalActionList"/>
    <dgm:cxn modelId="{9D9063CF-2D59-4A41-97F7-FD5C273291DF}" srcId="{F75677AD-045B-4836-8F3E-1518B5288BEA}" destId="{1F3B2719-3889-4E90-A98B-3AA1B7CD5A9E}" srcOrd="7" destOrd="0" parTransId="{D3C24231-3A87-4E83-A380-714EDE09807E}" sibTransId="{AFF944EC-2A7E-4AF0-B431-7906239B923F}"/>
    <dgm:cxn modelId="{567559D4-94A0-4C99-A0E9-E598122ECD98}" type="presOf" srcId="{FB80FCC0-4617-4D50-8B7D-E793409677B1}" destId="{A3DEEE67-0437-42E4-8541-866DA4681F3B}" srcOrd="0" destOrd="0" presId="urn:microsoft.com/office/officeart/2024/layout/VerticalActionList"/>
    <dgm:cxn modelId="{078DFFDA-5990-4D80-AC3F-5E5D33A94AF7}" srcId="{1F3B2719-3889-4E90-A98B-3AA1B7CD5A9E}" destId="{E5917F0A-1F8A-44E0-9F7F-09DB52A4BF4F}" srcOrd="0" destOrd="0" parTransId="{AE84C188-7DFA-488A-BE6C-B2FB07E50914}" sibTransId="{701C9991-E6B4-4BB5-94EB-CC842346D9BD}"/>
    <dgm:cxn modelId="{68B1E3E6-00E9-4BFA-9D79-303A560E40BD}" type="presOf" srcId="{1FF5A221-A407-4B24-852D-A479ED196D58}" destId="{AE2D808B-E6BA-4A02-B78C-1CB9DDE14886}" srcOrd="1" destOrd="0" presId="urn:microsoft.com/office/officeart/2024/layout/VerticalActionList"/>
    <dgm:cxn modelId="{0610C1EB-E54F-4576-B5F7-11CF3A5B597B}" srcId="{D4304B8C-2FD3-4A75-BDB3-8A63C5A58602}" destId="{D6603D30-491A-4876-9DD4-0200EDC17386}" srcOrd="0" destOrd="0" parTransId="{2C8293F3-18EA-4116-ADC6-113FEF965595}" sibTransId="{18EEDF2F-3E66-4B4C-9DF5-879A30454E3B}"/>
    <dgm:cxn modelId="{32EDFEEB-1ADC-4847-8542-89F0B3A2BFEC}" type="presOf" srcId="{D6603D30-491A-4876-9DD4-0200EDC17386}" destId="{8332D8EB-7B5D-4246-BBF7-6DACD356434E}" srcOrd="0" destOrd="0" presId="urn:microsoft.com/office/officeart/2024/layout/VerticalActionList"/>
    <dgm:cxn modelId="{D3D9D2F9-59E1-4209-A6B5-54740C37F7A7}" srcId="{1FF5A221-A407-4B24-852D-A479ED196D58}" destId="{77CC9077-A65B-4BB6-B62E-ECC047D2B3C9}" srcOrd="0" destOrd="0" parTransId="{8BFE521B-0A0B-4145-917F-7AA35184015B}" sibTransId="{2BFB8759-D8AE-4329-91CA-7CD8C0839433}"/>
    <dgm:cxn modelId="{B70029FB-36D7-4577-94EA-D7DB26E6483B}" type="presOf" srcId="{1FF5A221-A407-4B24-852D-A479ED196D58}" destId="{64EA132F-6515-453E-A85E-49AA94D2DB7B}" srcOrd="0" destOrd="0" presId="urn:microsoft.com/office/officeart/2024/layout/VerticalActionList"/>
    <dgm:cxn modelId="{D48132FC-3432-4D3C-803F-01289953B7BD}" type="presOf" srcId="{50CF328E-365B-4872-9E80-EA596C20485F}" destId="{03E81288-76D5-4A52-A83F-A03A896D58E3}" srcOrd="1" destOrd="0" presId="urn:microsoft.com/office/officeart/2024/layout/VerticalActionList"/>
    <dgm:cxn modelId="{3EDC55FD-6CFD-42F9-8335-A1C59497443D}" srcId="{F75677AD-045B-4836-8F3E-1518B5288BEA}" destId="{EEFDAE5E-D564-4013-AE10-B9FAC3A4CF6D}" srcOrd="5" destOrd="0" parTransId="{DC04A933-5D54-4E31-89C2-E5AE30EB458D}" sibTransId="{45FC5216-ECF1-4305-9AD6-D31D68151883}"/>
    <dgm:cxn modelId="{9BE6B1CF-C378-4CE9-9F45-5E8F1D79E9B0}" type="presParOf" srcId="{D43D669C-397A-4087-9BE5-D7F48D499F60}" destId="{33CE2C78-FD04-492B-840B-0F5D21B5FFCD}" srcOrd="0" destOrd="0" presId="urn:microsoft.com/office/officeart/2024/layout/VerticalActionList"/>
    <dgm:cxn modelId="{EAC33505-CF82-4365-8664-DB3FCBFB9FB9}" type="presParOf" srcId="{33CE2C78-FD04-492B-840B-0F5D21B5FFCD}" destId="{64EA132F-6515-453E-A85E-49AA94D2DB7B}" srcOrd="0" destOrd="0" presId="urn:microsoft.com/office/officeart/2024/layout/VerticalActionList"/>
    <dgm:cxn modelId="{631C6BBE-DD36-429A-B3ED-F0A7AEF3418E}" type="presParOf" srcId="{33CE2C78-FD04-492B-840B-0F5D21B5FFCD}" destId="{AE2D808B-E6BA-4A02-B78C-1CB9DDE14886}" srcOrd="1" destOrd="0" presId="urn:microsoft.com/office/officeart/2024/layout/VerticalActionList"/>
    <dgm:cxn modelId="{59F07E03-8A87-4FB1-87AF-7335745110C9}" type="presParOf" srcId="{33CE2C78-FD04-492B-840B-0F5D21B5FFCD}" destId="{BB4F11EA-035A-49D5-8FB5-B49409E87464}" srcOrd="2" destOrd="0" presId="urn:microsoft.com/office/officeart/2024/layout/VerticalActionList"/>
    <dgm:cxn modelId="{8EA9799D-3AC2-40BD-B91C-0C9057895F0E}" type="presParOf" srcId="{D43D669C-397A-4087-9BE5-D7F48D499F60}" destId="{F93A776F-E4E3-4715-8813-F9A201CEFED8}" srcOrd="1" destOrd="0" presId="urn:microsoft.com/office/officeart/2024/layout/VerticalActionList"/>
    <dgm:cxn modelId="{FD005FB5-BA16-499E-9572-411099B92657}" type="presParOf" srcId="{D43D669C-397A-4087-9BE5-D7F48D499F60}" destId="{C4CA832C-B4A3-4250-866D-235508159DDE}" srcOrd="2" destOrd="0" presId="urn:microsoft.com/office/officeart/2024/layout/VerticalActionList"/>
    <dgm:cxn modelId="{15A20BBE-0967-4B22-87F4-B347E5F2288A}" type="presParOf" srcId="{C4CA832C-B4A3-4250-866D-235508159DDE}" destId="{EAB6078C-4A39-4928-880F-FB1B4E550490}" srcOrd="0" destOrd="0" presId="urn:microsoft.com/office/officeart/2024/layout/VerticalActionList"/>
    <dgm:cxn modelId="{D71DA979-9854-490D-8E22-45F7267FDF12}" type="presParOf" srcId="{C4CA832C-B4A3-4250-866D-235508159DDE}" destId="{3825D14D-6892-4DC7-A56F-76046160E004}" srcOrd="1" destOrd="0" presId="urn:microsoft.com/office/officeart/2024/layout/VerticalActionList"/>
    <dgm:cxn modelId="{7A333C24-6503-48A5-A2F2-024745B72CF6}" type="presParOf" srcId="{C4CA832C-B4A3-4250-866D-235508159DDE}" destId="{E9758F9E-A455-4BD3-A872-4B69FF712E88}" srcOrd="2" destOrd="0" presId="urn:microsoft.com/office/officeart/2024/layout/VerticalActionList"/>
    <dgm:cxn modelId="{C436A0CD-62FE-4339-A465-8D5993B327C8}" type="presParOf" srcId="{D43D669C-397A-4087-9BE5-D7F48D499F60}" destId="{79F33C89-7486-4EA7-AF98-0C8CA9EEB566}" srcOrd="3" destOrd="0" presId="urn:microsoft.com/office/officeart/2024/layout/VerticalActionList"/>
    <dgm:cxn modelId="{4D3B64F5-75BC-48CF-B93E-7045EB5AD2CC}" type="presParOf" srcId="{D43D669C-397A-4087-9BE5-D7F48D499F60}" destId="{95B88C00-679B-4E84-8377-47824B3F3E66}" srcOrd="4" destOrd="0" presId="urn:microsoft.com/office/officeart/2024/layout/VerticalActionList"/>
    <dgm:cxn modelId="{3B710E63-97B6-4126-8E3B-B170B28F95EC}" type="presParOf" srcId="{95B88C00-679B-4E84-8377-47824B3F3E66}" destId="{3F30C196-3C78-4BF1-8FF0-C6116236A5F1}" srcOrd="0" destOrd="0" presId="urn:microsoft.com/office/officeart/2024/layout/VerticalActionList"/>
    <dgm:cxn modelId="{BBC8BBDE-CE85-4FA7-A7C0-61AF4EA4753A}" type="presParOf" srcId="{95B88C00-679B-4E84-8377-47824B3F3E66}" destId="{9AD5A067-58DB-491A-8F47-3140D4EFB665}" srcOrd="1" destOrd="0" presId="urn:microsoft.com/office/officeart/2024/layout/VerticalActionList"/>
    <dgm:cxn modelId="{06A41E1B-B632-406D-8893-21A57238AC3B}" type="presParOf" srcId="{95B88C00-679B-4E84-8377-47824B3F3E66}" destId="{8332D8EB-7B5D-4246-BBF7-6DACD356434E}" srcOrd="2" destOrd="0" presId="urn:microsoft.com/office/officeart/2024/layout/VerticalActionList"/>
    <dgm:cxn modelId="{7A8F5312-11DA-424B-B277-D8429C08DCE6}" type="presParOf" srcId="{D43D669C-397A-4087-9BE5-D7F48D499F60}" destId="{6A6E4A02-2C8A-4D5F-B3C0-32DE2F3F2CC7}" srcOrd="5" destOrd="0" presId="urn:microsoft.com/office/officeart/2024/layout/VerticalActionList"/>
    <dgm:cxn modelId="{FC5761BA-0087-4C69-B5E4-363327EE9A60}" type="presParOf" srcId="{D43D669C-397A-4087-9BE5-D7F48D499F60}" destId="{6C5489F5-979F-412B-AAC9-97EDA55CB893}" srcOrd="6" destOrd="0" presId="urn:microsoft.com/office/officeart/2024/layout/VerticalActionList"/>
    <dgm:cxn modelId="{BEE8A25F-C9DC-432D-9B81-924310EAE2C1}" type="presParOf" srcId="{6C5489F5-979F-412B-AAC9-97EDA55CB893}" destId="{DA6525B4-A2EA-4287-B3DE-F28F3553F3D8}" srcOrd="0" destOrd="0" presId="urn:microsoft.com/office/officeart/2024/layout/VerticalActionList"/>
    <dgm:cxn modelId="{52F16015-817D-461D-A8E3-4D99293F197F}" type="presParOf" srcId="{6C5489F5-979F-412B-AAC9-97EDA55CB893}" destId="{03E81288-76D5-4A52-A83F-A03A896D58E3}" srcOrd="1" destOrd="0" presId="urn:microsoft.com/office/officeart/2024/layout/VerticalActionList"/>
    <dgm:cxn modelId="{3A90E4C7-40BB-48C3-80E4-6B6D8C7CE0DB}" type="presParOf" srcId="{6C5489F5-979F-412B-AAC9-97EDA55CB893}" destId="{297BD573-C96B-4D63-AAE4-803F519EB1A1}" srcOrd="2" destOrd="0" presId="urn:microsoft.com/office/officeart/2024/layout/VerticalActionList"/>
    <dgm:cxn modelId="{1633036D-1134-484E-BAE5-469C0444004C}" type="presParOf" srcId="{D43D669C-397A-4087-9BE5-D7F48D499F60}" destId="{B4E47675-A061-4B96-BCD4-DBA4ED64F3AE}" srcOrd="7" destOrd="0" presId="urn:microsoft.com/office/officeart/2024/layout/VerticalActionList"/>
    <dgm:cxn modelId="{F3C9E23B-CBD0-4DE2-B091-E42894C51BB4}" type="presParOf" srcId="{D43D669C-397A-4087-9BE5-D7F48D499F60}" destId="{BE6DF779-C1B1-4952-B1AC-EC4133883B8D}" srcOrd="8" destOrd="0" presId="urn:microsoft.com/office/officeart/2024/layout/VerticalActionList"/>
    <dgm:cxn modelId="{CCFB32D9-643A-42D9-8599-0DE473EA8218}" type="presParOf" srcId="{BE6DF779-C1B1-4952-B1AC-EC4133883B8D}" destId="{A3DEEE67-0437-42E4-8541-866DA4681F3B}" srcOrd="0" destOrd="0" presId="urn:microsoft.com/office/officeart/2024/layout/VerticalActionList"/>
    <dgm:cxn modelId="{EFC16EAE-97BA-41B2-B305-8213EDC98E89}" type="presParOf" srcId="{BE6DF779-C1B1-4952-B1AC-EC4133883B8D}" destId="{17D85F14-ABC6-4B59-BDA2-D6676180B385}" srcOrd="1" destOrd="0" presId="urn:microsoft.com/office/officeart/2024/layout/VerticalActionList"/>
    <dgm:cxn modelId="{7F88C1C9-5BE7-41E9-9AC9-85B1565E6D59}" type="presParOf" srcId="{BE6DF779-C1B1-4952-B1AC-EC4133883B8D}" destId="{1095BA4A-ADD9-46EA-9911-2B33A1FF2E5A}" srcOrd="2" destOrd="0" presId="urn:microsoft.com/office/officeart/2024/layout/VerticalActionList"/>
    <dgm:cxn modelId="{DA8CC0CD-53C9-454D-BC92-55B445079702}" type="presParOf" srcId="{D43D669C-397A-4087-9BE5-D7F48D499F60}" destId="{ABE7E8D7-05F8-443D-A43D-992D2F384653}" srcOrd="9" destOrd="0" presId="urn:microsoft.com/office/officeart/2024/layout/VerticalActionList"/>
    <dgm:cxn modelId="{49A751D0-C30C-4B3C-93A5-DD29DF51AFE7}" type="presParOf" srcId="{D43D669C-397A-4087-9BE5-D7F48D499F60}" destId="{8102F44F-1F3C-4F34-8082-82120B282456}" srcOrd="10" destOrd="0" presId="urn:microsoft.com/office/officeart/2024/layout/VerticalActionList"/>
    <dgm:cxn modelId="{4407EB01-B73C-419D-9264-733F20334545}" type="presParOf" srcId="{8102F44F-1F3C-4F34-8082-82120B282456}" destId="{06E83025-3D80-451C-BA28-96AFDA5DE67A}" srcOrd="0" destOrd="0" presId="urn:microsoft.com/office/officeart/2024/layout/VerticalActionList"/>
    <dgm:cxn modelId="{C9B7B6D5-8AB1-4197-9283-04D028CB3DF2}" type="presParOf" srcId="{8102F44F-1F3C-4F34-8082-82120B282456}" destId="{C2192BA5-FCA7-4B05-B2BD-8EC49BAEBD9A}" srcOrd="1" destOrd="0" presId="urn:microsoft.com/office/officeart/2024/layout/VerticalActionList"/>
    <dgm:cxn modelId="{1B51D4D8-E585-4A58-A5DA-7B938640BB6B}" type="presParOf" srcId="{8102F44F-1F3C-4F34-8082-82120B282456}" destId="{F912EBF6-4762-47AC-8133-7D67DD8D1254}" srcOrd="2" destOrd="0" presId="urn:microsoft.com/office/officeart/2024/layout/VerticalActionList"/>
    <dgm:cxn modelId="{B7521627-E78A-459D-B852-72DE39DB35FE}" type="presParOf" srcId="{D43D669C-397A-4087-9BE5-D7F48D499F60}" destId="{017611A9-85CC-4505-BF50-60D01E96AF82}" srcOrd="11" destOrd="0" presId="urn:microsoft.com/office/officeart/2024/layout/VerticalActionList"/>
    <dgm:cxn modelId="{51C9B2DF-5A3A-4F1A-9A4B-9FB7D3D61D68}" type="presParOf" srcId="{D43D669C-397A-4087-9BE5-D7F48D499F60}" destId="{82DB8642-30F7-4A5E-8363-08015E6F7B40}" srcOrd="12" destOrd="0" presId="urn:microsoft.com/office/officeart/2024/layout/VerticalActionList"/>
    <dgm:cxn modelId="{BCC5416B-511F-4F9D-90D2-B2461801CF9C}" type="presParOf" srcId="{82DB8642-30F7-4A5E-8363-08015E6F7B40}" destId="{4E87370E-000C-411B-BB7B-DEAF1B696818}" srcOrd="0" destOrd="0" presId="urn:microsoft.com/office/officeart/2024/layout/VerticalActionList"/>
    <dgm:cxn modelId="{B2E027DE-32FA-4A16-A2A4-68682F89EA65}" type="presParOf" srcId="{82DB8642-30F7-4A5E-8363-08015E6F7B40}" destId="{9417FC08-8DE4-4BA0-A71C-AF5FFA19CA4B}" srcOrd="1" destOrd="0" presId="urn:microsoft.com/office/officeart/2024/layout/VerticalActionList"/>
    <dgm:cxn modelId="{99FF04B4-B694-4920-A8F2-574DF7803229}" type="presParOf" srcId="{82DB8642-30F7-4A5E-8363-08015E6F7B40}" destId="{8EF3C70E-1C0F-4507-8217-86333D2AEDFE}" srcOrd="2" destOrd="0" presId="urn:microsoft.com/office/officeart/2024/layout/VerticalActionList"/>
    <dgm:cxn modelId="{14F29ADF-F443-40CD-A1A7-2A63C50C43F2}" type="presParOf" srcId="{D43D669C-397A-4087-9BE5-D7F48D499F60}" destId="{B1E51661-D98F-4412-B4C5-F1FE4D4CF26F}" srcOrd="13" destOrd="0" presId="urn:microsoft.com/office/officeart/2024/layout/VerticalActionList"/>
    <dgm:cxn modelId="{F71998CE-4DF9-4810-9389-7BE805D9CE42}" type="presParOf" srcId="{D43D669C-397A-4087-9BE5-D7F48D499F60}" destId="{3F103A2F-8876-4FE9-97A3-F67BEE199F1C}" srcOrd="14" destOrd="0" presId="urn:microsoft.com/office/officeart/2024/layout/VerticalActionList"/>
    <dgm:cxn modelId="{119C12F5-B2CD-4997-8805-43C1A3EEDEC1}" type="presParOf" srcId="{3F103A2F-8876-4FE9-97A3-F67BEE199F1C}" destId="{9D5DF07D-DE7C-42AF-90AF-97A7EB0260F9}" srcOrd="0" destOrd="0" presId="urn:microsoft.com/office/officeart/2024/layout/VerticalActionList"/>
    <dgm:cxn modelId="{5641398C-E9C0-4D10-A308-B24AE2DEA55E}" type="presParOf" srcId="{3F103A2F-8876-4FE9-97A3-F67BEE199F1C}" destId="{E922AEF8-AF97-4D24-9E08-26A23AF5C4DB}" srcOrd="1" destOrd="0" presId="urn:microsoft.com/office/officeart/2024/layout/VerticalActionList"/>
    <dgm:cxn modelId="{61B4794A-2417-44E6-B3D7-26FC979B6C69}" type="presParOf" srcId="{3F103A2F-8876-4FE9-97A3-F67BEE199F1C}" destId="{70ED118B-7CB6-4A36-8FD1-6723FF0314E0}" srcOrd="2" destOrd="0" presId="urn:microsoft.com/office/officeart/2024/layout/VerticalActionList"/>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52B84CF-13D7-4DE8-8639-F4E6A9D0A5B4}" type="doc">
      <dgm:prSet loTypeId="urn:microsoft.com/office/officeart/2024/layout/VerticalActionList" loCatId="list" qsTypeId="urn:microsoft.com/office/officeart/2005/8/quickstyle/simple1" qsCatId="simple" csTypeId="urn:microsoft.com/office/officeart/2005/8/colors/accent1_5" csCatId="accent1" phldr="1"/>
      <dgm:spPr/>
      <dgm:t>
        <a:bodyPr/>
        <a:lstStyle/>
        <a:p>
          <a:endParaRPr lang="en-GB"/>
        </a:p>
      </dgm:t>
    </dgm:pt>
    <dgm:pt modelId="{F41172B1-52C3-48F9-A258-7E89365330E9}">
      <dgm:prSet phldrT="[Text]" custT="1"/>
      <dgm:spPr/>
      <dgm:t>
        <a:bodyPr/>
        <a:lstStyle/>
        <a:p>
          <a:r>
            <a:rPr lang="en-GB" sz="1050">
              <a:latin typeface="Arial" panose="020B0604020202020204" pitchFamily="34" charset="0"/>
              <a:cs typeface="Arial" panose="020B0604020202020204" pitchFamily="34" charset="0"/>
            </a:rPr>
            <a:t>Create Urgency</a:t>
          </a:r>
        </a:p>
      </dgm:t>
    </dgm:pt>
    <dgm:pt modelId="{6608FE95-4755-4860-82A4-F37DDE8175C8}" type="parTrans" cxnId="{94DFEF20-C38A-45CB-868E-304E80DDDDF1}">
      <dgm:prSet/>
      <dgm:spPr/>
      <dgm:t>
        <a:bodyPr/>
        <a:lstStyle/>
        <a:p>
          <a:endParaRPr lang="en-GB"/>
        </a:p>
      </dgm:t>
    </dgm:pt>
    <dgm:pt modelId="{6C01FA53-B7C5-4FB2-8B5B-B85660C04500}" type="sibTrans" cxnId="{94DFEF20-C38A-45CB-868E-304E80DDDDF1}">
      <dgm:prSet/>
      <dgm:spPr/>
      <dgm:t>
        <a:bodyPr/>
        <a:lstStyle/>
        <a:p>
          <a:endParaRPr lang="en-GB"/>
        </a:p>
      </dgm:t>
    </dgm:pt>
    <dgm:pt modelId="{ACCAF09C-7FD7-4EAE-B097-700DFEB48A72}">
      <dgm:prSet phldrT="[Text]" custT="1"/>
      <dgm:spPr/>
      <dgm:t>
        <a:bodyPr/>
        <a:lstStyle/>
        <a:p>
          <a:r>
            <a:rPr lang="en-GB" sz="1100">
              <a:latin typeface="Arial" panose="020B0604020202020204" pitchFamily="34" charset="0"/>
              <a:cs typeface="Arial" panose="020B0604020202020204" pitchFamily="34" charset="0"/>
            </a:rPr>
            <a:t>Help employees understand why change is necessary</a:t>
          </a:r>
          <a:r>
            <a:rPr lang="en-GB" sz="1000">
              <a:latin typeface="Arial" panose="020B0604020202020204" pitchFamily="34" charset="0"/>
              <a:cs typeface="Arial" panose="020B0604020202020204" pitchFamily="34" charset="0"/>
            </a:rPr>
            <a:t>.</a:t>
          </a:r>
        </a:p>
      </dgm:t>
    </dgm:pt>
    <dgm:pt modelId="{C94E1EF4-5C2F-4E6D-9211-D503A9EAA486}" type="parTrans" cxnId="{B8AFF5C5-B097-400D-B398-BC54E592C78B}">
      <dgm:prSet/>
      <dgm:spPr/>
      <dgm:t>
        <a:bodyPr/>
        <a:lstStyle/>
        <a:p>
          <a:endParaRPr lang="en-GB"/>
        </a:p>
      </dgm:t>
    </dgm:pt>
    <dgm:pt modelId="{E73F9C14-5A7A-45CF-810B-97A9718AD8E5}" type="sibTrans" cxnId="{B8AFF5C5-B097-400D-B398-BC54E592C78B}">
      <dgm:prSet/>
      <dgm:spPr/>
      <dgm:t>
        <a:bodyPr/>
        <a:lstStyle/>
        <a:p>
          <a:endParaRPr lang="en-GB"/>
        </a:p>
      </dgm:t>
    </dgm:pt>
    <dgm:pt modelId="{5166EE30-9321-4C3F-921E-B71E9A1320AB}">
      <dgm:prSet phldrT="[Text]"/>
      <dgm:spPr/>
      <dgm:t>
        <a:bodyPr/>
        <a:lstStyle/>
        <a:p>
          <a:r>
            <a:rPr lang="en-GB"/>
            <a:t>Build a Guiding Team</a:t>
          </a:r>
        </a:p>
      </dgm:t>
    </dgm:pt>
    <dgm:pt modelId="{F31DA704-1D26-443D-B513-BE7AF31F377D}" type="parTrans" cxnId="{C18B0875-55C1-4F2F-B484-691D97CE1893}">
      <dgm:prSet/>
      <dgm:spPr/>
      <dgm:t>
        <a:bodyPr/>
        <a:lstStyle/>
        <a:p>
          <a:endParaRPr lang="en-GB"/>
        </a:p>
      </dgm:t>
    </dgm:pt>
    <dgm:pt modelId="{5A20038A-F393-4A4F-AFD1-EE1B559C0E24}" type="sibTrans" cxnId="{C18B0875-55C1-4F2F-B484-691D97CE1893}">
      <dgm:prSet/>
      <dgm:spPr/>
      <dgm:t>
        <a:bodyPr/>
        <a:lstStyle/>
        <a:p>
          <a:endParaRPr lang="en-GB"/>
        </a:p>
      </dgm:t>
    </dgm:pt>
    <dgm:pt modelId="{363CA3F2-D03E-4B80-A66A-1DFD2952C30D}">
      <dgm:prSet phldrT="[Text]" custT="1"/>
      <dgm:spPr/>
      <dgm:t>
        <a:bodyPr/>
        <a:lstStyle/>
        <a:p>
          <a:r>
            <a:rPr lang="en-GB" sz="1100">
              <a:latin typeface="Arial" panose="020B0604020202020204" pitchFamily="34" charset="0"/>
              <a:cs typeface="Arial" panose="020B0604020202020204" pitchFamily="34" charset="0"/>
            </a:rPr>
            <a:t>From the team with the right skills and influence to lead the change.</a:t>
          </a:r>
        </a:p>
      </dgm:t>
    </dgm:pt>
    <dgm:pt modelId="{BAA94186-B3FD-4DD5-B3BF-ABF6CB1C51FB}" type="parTrans" cxnId="{370279E6-E416-4B50-8FBD-AAE1EBB95C1B}">
      <dgm:prSet/>
      <dgm:spPr/>
      <dgm:t>
        <a:bodyPr/>
        <a:lstStyle/>
        <a:p>
          <a:endParaRPr lang="en-GB"/>
        </a:p>
      </dgm:t>
    </dgm:pt>
    <dgm:pt modelId="{4B342D67-E3D4-4F0C-AFBF-8F285F84B43A}" type="sibTrans" cxnId="{370279E6-E416-4B50-8FBD-AAE1EBB95C1B}">
      <dgm:prSet/>
      <dgm:spPr/>
      <dgm:t>
        <a:bodyPr/>
        <a:lstStyle/>
        <a:p>
          <a:endParaRPr lang="en-GB"/>
        </a:p>
      </dgm:t>
    </dgm:pt>
    <dgm:pt modelId="{1ED1EAE0-9073-4C8D-8A85-CBA6F04CCECA}">
      <dgm:prSet phldrT="[Text]" custT="1"/>
      <dgm:spPr/>
      <dgm:t>
        <a:bodyPr/>
        <a:lstStyle/>
        <a:p>
          <a:r>
            <a:rPr lang="en-GB" sz="1100">
              <a:latin typeface="Arial" panose="020B0604020202020204" pitchFamily="34" charset="0"/>
              <a:cs typeface="Arial" panose="020B0604020202020204" pitchFamily="34" charset="0"/>
            </a:rPr>
            <a:t>Develop a crear vision to direct the change initiative</a:t>
          </a:r>
          <a:r>
            <a:rPr lang="en-GB" sz="800"/>
            <a:t>.</a:t>
          </a:r>
        </a:p>
      </dgm:t>
    </dgm:pt>
    <dgm:pt modelId="{FBC8A31A-4EB5-4C8C-BD5F-45E211B9A360}" type="parTrans" cxnId="{893A4845-53FA-469D-9325-2B304DE57F32}">
      <dgm:prSet/>
      <dgm:spPr/>
      <dgm:t>
        <a:bodyPr/>
        <a:lstStyle/>
        <a:p>
          <a:endParaRPr lang="en-GB"/>
        </a:p>
      </dgm:t>
    </dgm:pt>
    <dgm:pt modelId="{8C90B3D1-24C6-4356-87FA-F62306AA23AE}" type="sibTrans" cxnId="{893A4845-53FA-469D-9325-2B304DE57F32}">
      <dgm:prSet/>
      <dgm:spPr/>
      <dgm:t>
        <a:bodyPr/>
        <a:lstStyle/>
        <a:p>
          <a:endParaRPr lang="en-GB"/>
        </a:p>
      </dgm:t>
    </dgm:pt>
    <dgm:pt modelId="{E89FEB4A-DB1D-4BAA-AB1B-E1388E5143F0}">
      <dgm:prSet phldrT="[Text]"/>
      <dgm:spPr/>
      <dgm:t>
        <a:bodyPr/>
        <a:lstStyle/>
        <a:p>
          <a:r>
            <a:rPr lang="en-GB"/>
            <a:t>Communicate the Vision</a:t>
          </a:r>
        </a:p>
      </dgm:t>
    </dgm:pt>
    <dgm:pt modelId="{6C0F3399-96A0-43BC-97D2-309091C696B8}" type="parTrans" cxnId="{EBA71067-1EAC-4EE0-89B2-D278BB18738C}">
      <dgm:prSet/>
      <dgm:spPr/>
      <dgm:t>
        <a:bodyPr/>
        <a:lstStyle/>
        <a:p>
          <a:endParaRPr lang="en-GB"/>
        </a:p>
      </dgm:t>
    </dgm:pt>
    <dgm:pt modelId="{7B628932-5254-4043-8622-A89B9B016F98}" type="sibTrans" cxnId="{EBA71067-1EAC-4EE0-89B2-D278BB18738C}">
      <dgm:prSet/>
      <dgm:spPr/>
      <dgm:t>
        <a:bodyPr/>
        <a:lstStyle/>
        <a:p>
          <a:endParaRPr lang="en-GB"/>
        </a:p>
      </dgm:t>
    </dgm:pt>
    <dgm:pt modelId="{8C4E5FE6-355D-4496-8690-DD56A40BB53C}">
      <dgm:prSet phldrT="[Text]" custT="1"/>
      <dgm:spPr/>
      <dgm:t>
        <a:bodyPr/>
        <a:lstStyle/>
        <a:p>
          <a:r>
            <a:rPr lang="en-GB" sz="1100">
              <a:latin typeface="Arial" panose="020B0604020202020204" pitchFamily="34" charset="0"/>
              <a:cs typeface="Arial" panose="020B0604020202020204" pitchFamily="34" charset="0"/>
            </a:rPr>
            <a:t>Communicate the vision consistently across the organisation.</a:t>
          </a:r>
        </a:p>
      </dgm:t>
    </dgm:pt>
    <dgm:pt modelId="{B40280D1-9290-45BC-A315-7C976B60DD3F}" type="parTrans" cxnId="{33E481F4-0572-43D2-864F-C2AACCB26916}">
      <dgm:prSet/>
      <dgm:spPr/>
      <dgm:t>
        <a:bodyPr/>
        <a:lstStyle/>
        <a:p>
          <a:endParaRPr lang="en-GB"/>
        </a:p>
      </dgm:t>
    </dgm:pt>
    <dgm:pt modelId="{AE600B11-E747-4617-830E-5F8CA4DBBB42}" type="sibTrans" cxnId="{33E481F4-0572-43D2-864F-C2AACCB26916}">
      <dgm:prSet/>
      <dgm:spPr/>
      <dgm:t>
        <a:bodyPr/>
        <a:lstStyle/>
        <a:p>
          <a:endParaRPr lang="en-GB"/>
        </a:p>
      </dgm:t>
    </dgm:pt>
    <dgm:pt modelId="{D374209F-0E03-4FC9-8CF5-AB553186BBB9}">
      <dgm:prSet phldrT="[Text]" custT="1"/>
      <dgm:spPr/>
      <dgm:t>
        <a:bodyPr/>
        <a:lstStyle/>
        <a:p>
          <a:r>
            <a:rPr lang="en-GB" sz="1100">
              <a:latin typeface="Arial" panose="020B0604020202020204" pitchFamily="34" charset="0"/>
              <a:cs typeface="Arial" panose="020B0604020202020204" pitchFamily="34" charset="0"/>
            </a:rPr>
            <a:t>Ensure change becomes part the organization's culture</a:t>
          </a:r>
          <a:r>
            <a:rPr lang="en-GB" sz="800"/>
            <a:t>.</a:t>
          </a:r>
        </a:p>
      </dgm:t>
    </dgm:pt>
    <dgm:pt modelId="{9E0DB420-5627-4330-8FDC-C602EE7A30BE}" type="parTrans" cxnId="{731BBF10-D178-46CC-99F7-2EB6DA4267DB}">
      <dgm:prSet/>
      <dgm:spPr/>
      <dgm:t>
        <a:bodyPr/>
        <a:lstStyle/>
        <a:p>
          <a:endParaRPr lang="en-GB"/>
        </a:p>
      </dgm:t>
    </dgm:pt>
    <dgm:pt modelId="{983DB62A-8768-4891-B586-F6F3711F5B81}" type="sibTrans" cxnId="{731BBF10-D178-46CC-99F7-2EB6DA4267DB}">
      <dgm:prSet/>
      <dgm:spPr/>
      <dgm:t>
        <a:bodyPr/>
        <a:lstStyle/>
        <a:p>
          <a:endParaRPr lang="en-GB"/>
        </a:p>
      </dgm:t>
    </dgm:pt>
    <dgm:pt modelId="{56303FAD-7FB2-463D-BB03-640CAFF8065E}">
      <dgm:prSet phldrT="[Text]"/>
      <dgm:spPr/>
      <dgm:t>
        <a:bodyPr/>
        <a:lstStyle/>
        <a:p>
          <a:r>
            <a:rPr lang="en-GB"/>
            <a:t>Create Short-term Wins</a:t>
          </a:r>
        </a:p>
      </dgm:t>
    </dgm:pt>
    <dgm:pt modelId="{53067088-C82A-4305-BE8A-7FF1E75AE4DF}" type="parTrans" cxnId="{5E984E70-EE6E-4742-9DCA-C748D8595E1C}">
      <dgm:prSet/>
      <dgm:spPr/>
      <dgm:t>
        <a:bodyPr/>
        <a:lstStyle/>
        <a:p>
          <a:endParaRPr lang="en-GB"/>
        </a:p>
      </dgm:t>
    </dgm:pt>
    <dgm:pt modelId="{A945C303-41E4-47EF-9649-231175651731}" type="sibTrans" cxnId="{5E984E70-EE6E-4742-9DCA-C748D8595E1C}">
      <dgm:prSet/>
      <dgm:spPr/>
      <dgm:t>
        <a:bodyPr/>
        <a:lstStyle/>
        <a:p>
          <a:endParaRPr lang="en-GB"/>
        </a:p>
      </dgm:t>
    </dgm:pt>
    <dgm:pt modelId="{6A5D672C-994C-4747-A2FF-7C40F20A3787}">
      <dgm:prSet phldrT="[Text]"/>
      <dgm:spPr/>
      <dgm:t>
        <a:bodyPr/>
        <a:lstStyle/>
        <a:p>
          <a:r>
            <a:rPr lang="en-GB"/>
            <a:t>Sustain Change</a:t>
          </a:r>
        </a:p>
      </dgm:t>
    </dgm:pt>
    <dgm:pt modelId="{615DC20E-9111-49D9-8783-CFE80999175C}" type="parTrans" cxnId="{06C94CA2-E38E-4A58-91C2-3F3B6101B20A}">
      <dgm:prSet/>
      <dgm:spPr/>
      <dgm:t>
        <a:bodyPr/>
        <a:lstStyle/>
        <a:p>
          <a:endParaRPr lang="en-GB"/>
        </a:p>
      </dgm:t>
    </dgm:pt>
    <dgm:pt modelId="{EC705CB5-92CB-4C8A-8D7B-9B70258B5C30}" type="sibTrans" cxnId="{06C94CA2-E38E-4A58-91C2-3F3B6101B20A}">
      <dgm:prSet/>
      <dgm:spPr/>
      <dgm:t>
        <a:bodyPr/>
        <a:lstStyle/>
        <a:p>
          <a:endParaRPr lang="en-GB"/>
        </a:p>
      </dgm:t>
    </dgm:pt>
    <dgm:pt modelId="{D8746685-281A-44E2-9AA1-3CBA10F5125B}">
      <dgm:prSet phldrT="[Text]"/>
      <dgm:spPr/>
      <dgm:t>
        <a:bodyPr/>
        <a:lstStyle/>
        <a:p>
          <a:r>
            <a:rPr lang="en-GB"/>
            <a:t>Embed Change into Culture</a:t>
          </a:r>
        </a:p>
      </dgm:t>
    </dgm:pt>
    <dgm:pt modelId="{6E5B1037-6AA9-4D9C-81D0-73D838CC9AC3}" type="parTrans" cxnId="{67B52B7B-604B-4B67-82FE-F3F31E5D3C71}">
      <dgm:prSet/>
      <dgm:spPr/>
      <dgm:t>
        <a:bodyPr/>
        <a:lstStyle/>
        <a:p>
          <a:endParaRPr lang="en-GB"/>
        </a:p>
      </dgm:t>
    </dgm:pt>
    <dgm:pt modelId="{4AC21D72-A225-4DF8-BE09-3A77505E658F}" type="sibTrans" cxnId="{67B52B7B-604B-4B67-82FE-F3F31E5D3C71}">
      <dgm:prSet/>
      <dgm:spPr/>
      <dgm:t>
        <a:bodyPr/>
        <a:lstStyle/>
        <a:p>
          <a:endParaRPr lang="en-GB"/>
        </a:p>
      </dgm:t>
    </dgm:pt>
    <dgm:pt modelId="{03D56BB9-1F91-4DDD-B1CA-49D93CBA1E24}">
      <dgm:prSet phldrT="[Text]" custT="1"/>
      <dgm:spPr/>
      <dgm:t>
        <a:bodyPr/>
        <a:lstStyle/>
        <a:p>
          <a:r>
            <a:rPr lang="en-GB" sz="1100">
              <a:latin typeface="Arial" panose="020B0604020202020204" pitchFamily="34" charset="0"/>
              <a:cs typeface="Arial" panose="020B0604020202020204" pitchFamily="34" charset="0"/>
            </a:rPr>
            <a:t>Identify and remove obstacles that slow down change.</a:t>
          </a:r>
        </a:p>
      </dgm:t>
    </dgm:pt>
    <dgm:pt modelId="{FF805C94-353C-4C09-A0D2-D2DCCBD14289}" type="parTrans" cxnId="{D3B97744-B2C1-4F77-A31C-6784E02C6EDC}">
      <dgm:prSet/>
      <dgm:spPr/>
      <dgm:t>
        <a:bodyPr/>
        <a:lstStyle/>
        <a:p>
          <a:endParaRPr lang="en-GB"/>
        </a:p>
      </dgm:t>
    </dgm:pt>
    <dgm:pt modelId="{BD8F3AE5-A4BE-44AF-8272-0BAA0A9F7C72}" type="sibTrans" cxnId="{D3B97744-B2C1-4F77-A31C-6784E02C6EDC}">
      <dgm:prSet/>
      <dgm:spPr/>
      <dgm:t>
        <a:bodyPr/>
        <a:lstStyle/>
        <a:p>
          <a:endParaRPr lang="en-GB"/>
        </a:p>
      </dgm:t>
    </dgm:pt>
    <dgm:pt modelId="{A2F3AA37-64DE-41C2-8B74-303E2D8B1476}">
      <dgm:prSet phldrT="[Text]" custT="1"/>
      <dgm:spPr/>
      <dgm:t>
        <a:bodyPr/>
        <a:lstStyle/>
        <a:p>
          <a:r>
            <a:rPr lang="en-GB" sz="1100">
              <a:latin typeface="Arial" panose="020B0604020202020204" pitchFamily="34" charset="0"/>
              <a:cs typeface="Arial" panose="020B0604020202020204" pitchFamily="34" charset="0"/>
            </a:rPr>
            <a:t>Plan for visible performance improvements to build momentum.</a:t>
          </a:r>
        </a:p>
      </dgm:t>
    </dgm:pt>
    <dgm:pt modelId="{532E712A-82C1-4E9F-AE7C-1C4AF668BB97}" type="parTrans" cxnId="{249A5159-4EB4-4356-9EA8-69A1CAB7E5B8}">
      <dgm:prSet/>
      <dgm:spPr/>
      <dgm:t>
        <a:bodyPr/>
        <a:lstStyle/>
        <a:p>
          <a:endParaRPr lang="en-GB"/>
        </a:p>
      </dgm:t>
    </dgm:pt>
    <dgm:pt modelId="{49C062C3-7BC2-4A4B-B461-D6B9ABD55073}" type="sibTrans" cxnId="{249A5159-4EB4-4356-9EA8-69A1CAB7E5B8}">
      <dgm:prSet/>
      <dgm:spPr/>
      <dgm:t>
        <a:bodyPr/>
        <a:lstStyle/>
        <a:p>
          <a:endParaRPr lang="en-GB"/>
        </a:p>
      </dgm:t>
    </dgm:pt>
    <dgm:pt modelId="{D840407C-ADA0-4BDA-8A12-2CB3117903A3}">
      <dgm:prSet phldrT="[Text]"/>
      <dgm:spPr/>
      <dgm:t>
        <a:bodyPr/>
        <a:lstStyle/>
        <a:p>
          <a:r>
            <a:rPr lang="en-GB"/>
            <a:t>Remove Barriers</a:t>
          </a:r>
        </a:p>
      </dgm:t>
    </dgm:pt>
    <dgm:pt modelId="{2BE42B17-090E-408C-85EA-DFC4A3BDD698}" type="parTrans" cxnId="{FE95AD56-3360-489A-B784-A268CA90BD1B}">
      <dgm:prSet/>
      <dgm:spPr/>
      <dgm:t>
        <a:bodyPr/>
        <a:lstStyle/>
        <a:p>
          <a:endParaRPr lang="en-GB"/>
        </a:p>
      </dgm:t>
    </dgm:pt>
    <dgm:pt modelId="{79C61095-4513-486A-884F-B1603C9D71DD}" type="sibTrans" cxnId="{FE95AD56-3360-489A-B784-A268CA90BD1B}">
      <dgm:prSet/>
      <dgm:spPr/>
      <dgm:t>
        <a:bodyPr/>
        <a:lstStyle/>
        <a:p>
          <a:endParaRPr lang="en-GB"/>
        </a:p>
      </dgm:t>
    </dgm:pt>
    <dgm:pt modelId="{F327A8EB-A900-47EE-A2E1-C922C3A71244}">
      <dgm:prSet phldrT="[Text]" custT="1"/>
      <dgm:spPr/>
      <dgm:t>
        <a:bodyPr/>
        <a:lstStyle/>
        <a:p>
          <a:r>
            <a:rPr lang="en-GB" sz="1100">
              <a:latin typeface="Arial" panose="020B0604020202020204" pitchFamily="34" charset="0"/>
              <a:cs typeface="Arial" panose="020B0604020202020204" pitchFamily="34" charset="0"/>
            </a:rPr>
            <a:t>Use credibility to drive further change and keep improving.</a:t>
          </a:r>
        </a:p>
      </dgm:t>
    </dgm:pt>
    <dgm:pt modelId="{0870271E-AD7E-4F51-9519-D361821F045A}" type="parTrans" cxnId="{A5F0EB4A-735D-436C-82C1-C77962E91739}">
      <dgm:prSet/>
      <dgm:spPr/>
      <dgm:t>
        <a:bodyPr/>
        <a:lstStyle/>
        <a:p>
          <a:endParaRPr lang="en-GB"/>
        </a:p>
      </dgm:t>
    </dgm:pt>
    <dgm:pt modelId="{9DBF57B6-56A3-42FB-B5E4-A805C986977B}" type="sibTrans" cxnId="{A5F0EB4A-735D-436C-82C1-C77962E91739}">
      <dgm:prSet/>
      <dgm:spPr/>
      <dgm:t>
        <a:bodyPr/>
        <a:lstStyle/>
        <a:p>
          <a:endParaRPr lang="en-GB"/>
        </a:p>
      </dgm:t>
    </dgm:pt>
    <dgm:pt modelId="{6CDAD5C8-FD9B-4983-A3AD-ABB7D9426C9A}">
      <dgm:prSet phldrT="[Text]"/>
      <dgm:spPr/>
      <dgm:t>
        <a:bodyPr/>
        <a:lstStyle/>
        <a:p>
          <a:r>
            <a:rPr lang="en-GB"/>
            <a:t>Create a Vision</a:t>
          </a:r>
        </a:p>
      </dgm:t>
    </dgm:pt>
    <dgm:pt modelId="{427EF915-7E8D-4932-948C-DD8F44943534}" type="parTrans" cxnId="{ABF5AEC7-56A1-44A3-AB31-2C451DC43C83}">
      <dgm:prSet/>
      <dgm:spPr/>
      <dgm:t>
        <a:bodyPr/>
        <a:lstStyle/>
        <a:p>
          <a:endParaRPr lang="en-GB"/>
        </a:p>
      </dgm:t>
    </dgm:pt>
    <dgm:pt modelId="{2E92C694-A1E5-4C5B-914F-228A47AC9DDD}" type="sibTrans" cxnId="{ABF5AEC7-56A1-44A3-AB31-2C451DC43C83}">
      <dgm:prSet/>
      <dgm:spPr/>
      <dgm:t>
        <a:bodyPr/>
        <a:lstStyle/>
        <a:p>
          <a:endParaRPr lang="en-GB"/>
        </a:p>
      </dgm:t>
    </dgm:pt>
    <dgm:pt modelId="{A292F729-35C4-4A70-B207-869D62287D8A}" type="pres">
      <dgm:prSet presAssocID="{B52B84CF-13D7-4DE8-8639-F4E6A9D0A5B4}" presName="Name0" presStyleCnt="0">
        <dgm:presLayoutVars>
          <dgm:dir/>
          <dgm:animLvl val="lvl"/>
          <dgm:resizeHandles val="exact"/>
        </dgm:presLayoutVars>
      </dgm:prSet>
      <dgm:spPr/>
    </dgm:pt>
    <dgm:pt modelId="{6BEB4C41-14D0-405E-AFAD-918C2908B597}" type="pres">
      <dgm:prSet presAssocID="{F41172B1-52C3-48F9-A258-7E89365330E9}" presName="linNode" presStyleCnt="0"/>
      <dgm:spPr/>
    </dgm:pt>
    <dgm:pt modelId="{6C8E1B18-7C1C-4CE3-8B06-F223428F560D}" type="pres">
      <dgm:prSet presAssocID="{F41172B1-52C3-48F9-A258-7E89365330E9}" presName="bgOutline" presStyleLbl="fgAcc1" presStyleIdx="0" presStyleCnt="8"/>
      <dgm:spPr/>
    </dgm:pt>
    <dgm:pt modelId="{52998609-CA0E-4B2F-8AF8-0839C2C2069E}" type="pres">
      <dgm:prSet presAssocID="{F41172B1-52C3-48F9-A258-7E89365330E9}" presName="parentText" presStyleLbl="alignNode1" presStyleIdx="0" presStyleCnt="8">
        <dgm:presLayoutVars>
          <dgm:chMax val="1"/>
          <dgm:bulletEnabled/>
        </dgm:presLayoutVars>
      </dgm:prSet>
      <dgm:spPr/>
    </dgm:pt>
    <dgm:pt modelId="{4D0D9402-AF11-4AA7-8CC2-32F0842E55B5}" type="pres">
      <dgm:prSet presAssocID="{F41172B1-52C3-48F9-A258-7E89365330E9}" presName="descendantText" presStyleLbl="revTx" presStyleIdx="0" presStyleCnt="0">
        <dgm:presLayoutVars>
          <dgm:bulletEnabled/>
        </dgm:presLayoutVars>
      </dgm:prSet>
      <dgm:spPr/>
    </dgm:pt>
    <dgm:pt modelId="{D9317F94-8C10-482F-9FD5-D59BE806EB4B}" type="pres">
      <dgm:prSet presAssocID="{6C01FA53-B7C5-4FB2-8B5B-B85660C04500}" presName="sp" presStyleCnt="0"/>
      <dgm:spPr/>
    </dgm:pt>
    <dgm:pt modelId="{33957E75-A10E-42B7-9F8B-5F172CE59817}" type="pres">
      <dgm:prSet presAssocID="{5166EE30-9321-4C3F-921E-B71E9A1320AB}" presName="linNode" presStyleCnt="0"/>
      <dgm:spPr/>
    </dgm:pt>
    <dgm:pt modelId="{D46AFC12-0665-4AF9-9EC2-8FF30650E971}" type="pres">
      <dgm:prSet presAssocID="{5166EE30-9321-4C3F-921E-B71E9A1320AB}" presName="bgOutline" presStyleLbl="fgAcc1" presStyleIdx="1" presStyleCnt="8"/>
      <dgm:spPr/>
    </dgm:pt>
    <dgm:pt modelId="{C846C9DE-45E1-45E8-BEA8-CA60EFB6C325}" type="pres">
      <dgm:prSet presAssocID="{5166EE30-9321-4C3F-921E-B71E9A1320AB}" presName="parentText" presStyleLbl="alignNode1" presStyleIdx="1" presStyleCnt="8" custLinFactNeighborX="-1736" custLinFactNeighborY="7525">
        <dgm:presLayoutVars>
          <dgm:chMax val="1"/>
          <dgm:bulletEnabled/>
        </dgm:presLayoutVars>
      </dgm:prSet>
      <dgm:spPr/>
    </dgm:pt>
    <dgm:pt modelId="{9FC8820E-6935-4619-85AF-FC0968015F09}" type="pres">
      <dgm:prSet presAssocID="{5166EE30-9321-4C3F-921E-B71E9A1320AB}" presName="descendantText" presStyleLbl="revTx" presStyleIdx="0" presStyleCnt="0">
        <dgm:presLayoutVars>
          <dgm:bulletEnabled/>
        </dgm:presLayoutVars>
      </dgm:prSet>
      <dgm:spPr/>
    </dgm:pt>
    <dgm:pt modelId="{50DBD8C0-657B-4D38-ACB9-B9B56364FC07}" type="pres">
      <dgm:prSet presAssocID="{5A20038A-F393-4A4F-AFD1-EE1B559C0E24}" presName="sp" presStyleCnt="0"/>
      <dgm:spPr/>
    </dgm:pt>
    <dgm:pt modelId="{3902CF3A-4F17-4F25-86A7-4E94667E7851}" type="pres">
      <dgm:prSet presAssocID="{6CDAD5C8-FD9B-4983-A3AD-ABB7D9426C9A}" presName="linNode" presStyleCnt="0"/>
      <dgm:spPr/>
    </dgm:pt>
    <dgm:pt modelId="{B537BD63-D21A-452E-A731-9521D2BD43E4}" type="pres">
      <dgm:prSet presAssocID="{6CDAD5C8-FD9B-4983-A3AD-ABB7D9426C9A}" presName="bgOutline" presStyleLbl="fgAcc1" presStyleIdx="2" presStyleCnt="8"/>
      <dgm:spPr/>
    </dgm:pt>
    <dgm:pt modelId="{24828F5D-9DFC-4FF5-A3A6-7A93B522D5BE}" type="pres">
      <dgm:prSet presAssocID="{6CDAD5C8-FD9B-4983-A3AD-ABB7D9426C9A}" presName="parentText" presStyleLbl="alignNode1" presStyleIdx="2" presStyleCnt="8">
        <dgm:presLayoutVars>
          <dgm:chMax val="1"/>
          <dgm:bulletEnabled/>
        </dgm:presLayoutVars>
      </dgm:prSet>
      <dgm:spPr/>
    </dgm:pt>
    <dgm:pt modelId="{6CAFB813-22E5-419B-B6DE-2F7317BA0716}" type="pres">
      <dgm:prSet presAssocID="{6CDAD5C8-FD9B-4983-A3AD-ABB7D9426C9A}" presName="descendantText" presStyleLbl="revTx" presStyleIdx="0" presStyleCnt="0">
        <dgm:presLayoutVars>
          <dgm:bulletEnabled/>
        </dgm:presLayoutVars>
      </dgm:prSet>
      <dgm:spPr/>
    </dgm:pt>
    <dgm:pt modelId="{F53D1309-B37E-4F66-A19A-A9DB4853E64D}" type="pres">
      <dgm:prSet presAssocID="{2E92C694-A1E5-4C5B-914F-228A47AC9DDD}" presName="sp" presStyleCnt="0"/>
      <dgm:spPr/>
    </dgm:pt>
    <dgm:pt modelId="{E9064BFE-1461-4691-A64A-0047AA175420}" type="pres">
      <dgm:prSet presAssocID="{E89FEB4A-DB1D-4BAA-AB1B-E1388E5143F0}" presName="linNode" presStyleCnt="0"/>
      <dgm:spPr/>
    </dgm:pt>
    <dgm:pt modelId="{9758794D-D009-422E-9F96-03FA2C57E5FF}" type="pres">
      <dgm:prSet presAssocID="{E89FEB4A-DB1D-4BAA-AB1B-E1388E5143F0}" presName="bgOutline" presStyleLbl="fgAcc1" presStyleIdx="3" presStyleCnt="8"/>
      <dgm:spPr/>
    </dgm:pt>
    <dgm:pt modelId="{014AF648-0B0B-4383-97FE-9D2E2757CBD5}" type="pres">
      <dgm:prSet presAssocID="{E89FEB4A-DB1D-4BAA-AB1B-E1388E5143F0}" presName="parentText" presStyleLbl="alignNode1" presStyleIdx="3" presStyleCnt="8">
        <dgm:presLayoutVars>
          <dgm:chMax val="1"/>
          <dgm:bulletEnabled/>
        </dgm:presLayoutVars>
      </dgm:prSet>
      <dgm:spPr/>
    </dgm:pt>
    <dgm:pt modelId="{598D1E7C-A5B9-490C-AD8B-B12715A8F38E}" type="pres">
      <dgm:prSet presAssocID="{E89FEB4A-DB1D-4BAA-AB1B-E1388E5143F0}" presName="descendantText" presStyleLbl="revTx" presStyleIdx="0" presStyleCnt="0">
        <dgm:presLayoutVars>
          <dgm:bulletEnabled/>
        </dgm:presLayoutVars>
      </dgm:prSet>
      <dgm:spPr/>
    </dgm:pt>
    <dgm:pt modelId="{4AAB79D4-AC2E-4BC1-B7F1-5C17A78548F3}" type="pres">
      <dgm:prSet presAssocID="{7B628932-5254-4043-8622-A89B9B016F98}" presName="sp" presStyleCnt="0"/>
      <dgm:spPr/>
    </dgm:pt>
    <dgm:pt modelId="{CC8744DB-CA56-411B-910F-FF4DDAA75F13}" type="pres">
      <dgm:prSet presAssocID="{D840407C-ADA0-4BDA-8A12-2CB3117903A3}" presName="linNode" presStyleCnt="0"/>
      <dgm:spPr/>
    </dgm:pt>
    <dgm:pt modelId="{FDC05099-189F-41DB-A8E0-DEB576799326}" type="pres">
      <dgm:prSet presAssocID="{D840407C-ADA0-4BDA-8A12-2CB3117903A3}" presName="bgOutline" presStyleLbl="fgAcc1" presStyleIdx="4" presStyleCnt="8"/>
      <dgm:spPr/>
    </dgm:pt>
    <dgm:pt modelId="{99D9AD06-0B84-4B92-9E37-0E0C207C8E2A}" type="pres">
      <dgm:prSet presAssocID="{D840407C-ADA0-4BDA-8A12-2CB3117903A3}" presName="parentText" presStyleLbl="alignNode1" presStyleIdx="4" presStyleCnt="8">
        <dgm:presLayoutVars>
          <dgm:chMax val="1"/>
          <dgm:bulletEnabled/>
        </dgm:presLayoutVars>
      </dgm:prSet>
      <dgm:spPr/>
    </dgm:pt>
    <dgm:pt modelId="{0F125CF3-7CCF-4766-BE7F-C2FF477F5CBD}" type="pres">
      <dgm:prSet presAssocID="{D840407C-ADA0-4BDA-8A12-2CB3117903A3}" presName="descendantText" presStyleLbl="revTx" presStyleIdx="0" presStyleCnt="0">
        <dgm:presLayoutVars>
          <dgm:bulletEnabled/>
        </dgm:presLayoutVars>
      </dgm:prSet>
      <dgm:spPr/>
    </dgm:pt>
    <dgm:pt modelId="{F0C13F5E-A766-4CC3-A0F8-3F8414657100}" type="pres">
      <dgm:prSet presAssocID="{79C61095-4513-486A-884F-B1603C9D71DD}" presName="sp" presStyleCnt="0"/>
      <dgm:spPr/>
    </dgm:pt>
    <dgm:pt modelId="{FCBBEF38-35CD-4F6D-8963-A52BFB698A23}" type="pres">
      <dgm:prSet presAssocID="{56303FAD-7FB2-463D-BB03-640CAFF8065E}" presName="linNode" presStyleCnt="0"/>
      <dgm:spPr/>
    </dgm:pt>
    <dgm:pt modelId="{D41A1047-6013-438D-A874-D11A4CC073F1}" type="pres">
      <dgm:prSet presAssocID="{56303FAD-7FB2-463D-BB03-640CAFF8065E}" presName="bgOutline" presStyleLbl="fgAcc1" presStyleIdx="5" presStyleCnt="8"/>
      <dgm:spPr/>
    </dgm:pt>
    <dgm:pt modelId="{77B07B2B-A3D4-4B74-B582-CC58E2E3A723}" type="pres">
      <dgm:prSet presAssocID="{56303FAD-7FB2-463D-BB03-640CAFF8065E}" presName="parentText" presStyleLbl="alignNode1" presStyleIdx="5" presStyleCnt="8">
        <dgm:presLayoutVars>
          <dgm:chMax val="1"/>
          <dgm:bulletEnabled/>
        </dgm:presLayoutVars>
      </dgm:prSet>
      <dgm:spPr/>
    </dgm:pt>
    <dgm:pt modelId="{35580070-B89C-46C2-B15D-3F628A9CF302}" type="pres">
      <dgm:prSet presAssocID="{56303FAD-7FB2-463D-BB03-640CAFF8065E}" presName="descendantText" presStyleLbl="revTx" presStyleIdx="0" presStyleCnt="0">
        <dgm:presLayoutVars>
          <dgm:bulletEnabled/>
        </dgm:presLayoutVars>
      </dgm:prSet>
      <dgm:spPr/>
    </dgm:pt>
    <dgm:pt modelId="{817A5038-55FC-4E1D-BFAE-B12D6CBDED69}" type="pres">
      <dgm:prSet presAssocID="{A945C303-41E4-47EF-9649-231175651731}" presName="sp" presStyleCnt="0"/>
      <dgm:spPr/>
    </dgm:pt>
    <dgm:pt modelId="{F0FF291C-6FB0-44CF-AA0E-E5649FFBCE3E}" type="pres">
      <dgm:prSet presAssocID="{6A5D672C-994C-4747-A2FF-7C40F20A3787}" presName="linNode" presStyleCnt="0"/>
      <dgm:spPr/>
    </dgm:pt>
    <dgm:pt modelId="{E9530E72-E49D-4FFA-8B60-AC052AC65668}" type="pres">
      <dgm:prSet presAssocID="{6A5D672C-994C-4747-A2FF-7C40F20A3787}" presName="bgOutline" presStyleLbl="fgAcc1" presStyleIdx="6" presStyleCnt="8"/>
      <dgm:spPr/>
    </dgm:pt>
    <dgm:pt modelId="{33A4BB9C-D4FC-4D17-B1CE-44C6564F19AD}" type="pres">
      <dgm:prSet presAssocID="{6A5D672C-994C-4747-A2FF-7C40F20A3787}" presName="parentText" presStyleLbl="alignNode1" presStyleIdx="6" presStyleCnt="8">
        <dgm:presLayoutVars>
          <dgm:chMax val="1"/>
          <dgm:bulletEnabled/>
        </dgm:presLayoutVars>
      </dgm:prSet>
      <dgm:spPr/>
    </dgm:pt>
    <dgm:pt modelId="{ECAD18D5-EF36-4F27-BD7B-939A240E7BC0}" type="pres">
      <dgm:prSet presAssocID="{6A5D672C-994C-4747-A2FF-7C40F20A3787}" presName="descendantText" presStyleLbl="revTx" presStyleIdx="0" presStyleCnt="0">
        <dgm:presLayoutVars>
          <dgm:bulletEnabled/>
        </dgm:presLayoutVars>
      </dgm:prSet>
      <dgm:spPr/>
    </dgm:pt>
    <dgm:pt modelId="{46253FFC-8786-4A15-BD28-4081013F3943}" type="pres">
      <dgm:prSet presAssocID="{EC705CB5-92CB-4C8A-8D7B-9B70258B5C30}" presName="sp" presStyleCnt="0"/>
      <dgm:spPr/>
    </dgm:pt>
    <dgm:pt modelId="{372F3371-D8C3-4417-B537-B419EF9DFF9A}" type="pres">
      <dgm:prSet presAssocID="{D8746685-281A-44E2-9AA1-3CBA10F5125B}" presName="linNode" presStyleCnt="0"/>
      <dgm:spPr/>
    </dgm:pt>
    <dgm:pt modelId="{A024E706-862A-4CF6-9019-89AA1C3C559A}" type="pres">
      <dgm:prSet presAssocID="{D8746685-281A-44E2-9AA1-3CBA10F5125B}" presName="bgOutline" presStyleLbl="fgAcc1" presStyleIdx="7" presStyleCnt="8" custLinFactNeighborX="-857" custLinFactNeighborY="0"/>
      <dgm:spPr/>
    </dgm:pt>
    <dgm:pt modelId="{1DC7107A-BB48-40BF-A177-D2F7FB95937C}" type="pres">
      <dgm:prSet presAssocID="{D8746685-281A-44E2-9AA1-3CBA10F5125B}" presName="parentText" presStyleLbl="alignNode1" presStyleIdx="7" presStyleCnt="8" custLinFactNeighborX="-434" custLinFactNeighborY="399">
        <dgm:presLayoutVars>
          <dgm:chMax val="1"/>
          <dgm:bulletEnabled/>
        </dgm:presLayoutVars>
      </dgm:prSet>
      <dgm:spPr/>
    </dgm:pt>
    <dgm:pt modelId="{CBD34FFF-754C-44AA-B083-891D84754A07}" type="pres">
      <dgm:prSet presAssocID="{D8746685-281A-44E2-9AA1-3CBA10F5125B}" presName="descendantText" presStyleLbl="revTx" presStyleIdx="0" presStyleCnt="0">
        <dgm:presLayoutVars>
          <dgm:bulletEnabled/>
        </dgm:presLayoutVars>
      </dgm:prSet>
      <dgm:spPr/>
    </dgm:pt>
  </dgm:ptLst>
  <dgm:cxnLst>
    <dgm:cxn modelId="{9F961D01-F6DD-4D5C-A34C-EAD9F7563B4B}" type="presOf" srcId="{D840407C-ADA0-4BDA-8A12-2CB3117903A3}" destId="{99D9AD06-0B84-4B92-9E37-0E0C207C8E2A}" srcOrd="1" destOrd="0" presId="urn:microsoft.com/office/officeart/2024/layout/VerticalActionList"/>
    <dgm:cxn modelId="{618B180A-BBEE-4F0B-90EF-B7C417367053}" type="presOf" srcId="{03D56BB9-1F91-4DDD-B1CA-49D93CBA1E24}" destId="{0F125CF3-7CCF-4766-BE7F-C2FF477F5CBD}" srcOrd="0" destOrd="0" presId="urn:microsoft.com/office/officeart/2024/layout/VerticalActionList"/>
    <dgm:cxn modelId="{731BBF10-D178-46CC-99F7-2EB6DA4267DB}" srcId="{D8746685-281A-44E2-9AA1-3CBA10F5125B}" destId="{D374209F-0E03-4FC9-8CF5-AB553186BBB9}" srcOrd="0" destOrd="0" parTransId="{9E0DB420-5627-4330-8FDC-C602EE7A30BE}" sibTransId="{983DB62A-8768-4891-B586-F6F3711F5B81}"/>
    <dgm:cxn modelId="{94DFEF20-C38A-45CB-868E-304E80DDDDF1}" srcId="{B52B84CF-13D7-4DE8-8639-F4E6A9D0A5B4}" destId="{F41172B1-52C3-48F9-A258-7E89365330E9}" srcOrd="0" destOrd="0" parTransId="{6608FE95-4755-4860-82A4-F37DDE8175C8}" sibTransId="{6C01FA53-B7C5-4FB2-8B5B-B85660C04500}"/>
    <dgm:cxn modelId="{683CF221-7095-4691-A046-4B60A6826869}" type="presOf" srcId="{F327A8EB-A900-47EE-A2E1-C922C3A71244}" destId="{ECAD18D5-EF36-4F27-BD7B-939A240E7BC0}" srcOrd="0" destOrd="0" presId="urn:microsoft.com/office/officeart/2024/layout/VerticalActionList"/>
    <dgm:cxn modelId="{7F7E4928-24AE-45B2-A800-F846DCFA2EEC}" type="presOf" srcId="{6CDAD5C8-FD9B-4983-A3AD-ABB7D9426C9A}" destId="{24828F5D-9DFC-4FF5-A3A6-7A93B522D5BE}" srcOrd="1" destOrd="0" presId="urn:microsoft.com/office/officeart/2024/layout/VerticalActionList"/>
    <dgm:cxn modelId="{C8AD7229-E5C8-4D4D-83A5-78CFB9C35281}" type="presOf" srcId="{6A5D672C-994C-4747-A2FF-7C40F20A3787}" destId="{E9530E72-E49D-4FFA-8B60-AC052AC65668}" srcOrd="0" destOrd="0" presId="urn:microsoft.com/office/officeart/2024/layout/VerticalActionList"/>
    <dgm:cxn modelId="{3AFB4633-F639-4BD2-BE89-9BDE54911AB9}" type="presOf" srcId="{D8746685-281A-44E2-9AA1-3CBA10F5125B}" destId="{1DC7107A-BB48-40BF-A177-D2F7FB95937C}" srcOrd="1" destOrd="0" presId="urn:microsoft.com/office/officeart/2024/layout/VerticalActionList"/>
    <dgm:cxn modelId="{6626BB33-AA06-49F2-A604-01CAFA10BCC5}" type="presOf" srcId="{A2F3AA37-64DE-41C2-8B74-303E2D8B1476}" destId="{35580070-B89C-46C2-B15D-3F628A9CF302}" srcOrd="0" destOrd="0" presId="urn:microsoft.com/office/officeart/2024/layout/VerticalActionList"/>
    <dgm:cxn modelId="{D447E139-ABB2-43F2-8910-6F36E0C707D5}" type="presOf" srcId="{363CA3F2-D03E-4B80-A66A-1DFD2952C30D}" destId="{9FC8820E-6935-4619-85AF-FC0968015F09}" srcOrd="0" destOrd="0" presId="urn:microsoft.com/office/officeart/2024/layout/VerticalActionList"/>
    <dgm:cxn modelId="{64F5415C-7F3A-43E3-BC68-AA2EE9EBD549}" type="presOf" srcId="{56303FAD-7FB2-463D-BB03-640CAFF8065E}" destId="{77B07B2B-A3D4-4B74-B582-CC58E2E3A723}" srcOrd="1" destOrd="0" presId="urn:microsoft.com/office/officeart/2024/layout/VerticalActionList"/>
    <dgm:cxn modelId="{D3B97744-B2C1-4F77-A31C-6784E02C6EDC}" srcId="{D840407C-ADA0-4BDA-8A12-2CB3117903A3}" destId="{03D56BB9-1F91-4DDD-B1CA-49D93CBA1E24}" srcOrd="0" destOrd="0" parTransId="{FF805C94-353C-4C09-A0D2-D2DCCBD14289}" sibTransId="{BD8F3AE5-A4BE-44AF-8272-0BAA0A9F7C72}"/>
    <dgm:cxn modelId="{893A4845-53FA-469D-9325-2B304DE57F32}" srcId="{6CDAD5C8-FD9B-4983-A3AD-ABB7D9426C9A}" destId="{1ED1EAE0-9073-4C8D-8A85-CBA6F04CCECA}" srcOrd="0" destOrd="0" parTransId="{FBC8A31A-4EB5-4C8C-BD5F-45E211B9A360}" sibTransId="{8C90B3D1-24C6-4356-87FA-F62306AA23AE}"/>
    <dgm:cxn modelId="{EBA71067-1EAC-4EE0-89B2-D278BB18738C}" srcId="{B52B84CF-13D7-4DE8-8639-F4E6A9D0A5B4}" destId="{E89FEB4A-DB1D-4BAA-AB1B-E1388E5143F0}" srcOrd="3" destOrd="0" parTransId="{6C0F3399-96A0-43BC-97D2-309091C696B8}" sibTransId="{7B628932-5254-4043-8622-A89B9B016F98}"/>
    <dgm:cxn modelId="{A5F0EB4A-735D-436C-82C1-C77962E91739}" srcId="{6A5D672C-994C-4747-A2FF-7C40F20A3787}" destId="{F327A8EB-A900-47EE-A2E1-C922C3A71244}" srcOrd="0" destOrd="0" parTransId="{0870271E-AD7E-4F51-9519-D361821F045A}" sibTransId="{9DBF57B6-56A3-42FB-B5E4-A805C986977B}"/>
    <dgm:cxn modelId="{8745266B-7A0C-4C69-8AB6-0D0FA80E690D}" type="presOf" srcId="{F41172B1-52C3-48F9-A258-7E89365330E9}" destId="{52998609-CA0E-4B2F-8AF8-0839C2C2069E}" srcOrd="1" destOrd="0" presId="urn:microsoft.com/office/officeart/2024/layout/VerticalActionList"/>
    <dgm:cxn modelId="{C18BD26F-ED85-4642-AB19-1CC3DF9192F6}" type="presOf" srcId="{5166EE30-9321-4C3F-921E-B71E9A1320AB}" destId="{D46AFC12-0665-4AF9-9EC2-8FF30650E971}" srcOrd="0" destOrd="0" presId="urn:microsoft.com/office/officeart/2024/layout/VerticalActionList"/>
    <dgm:cxn modelId="{5E984E70-EE6E-4742-9DCA-C748D8595E1C}" srcId="{B52B84CF-13D7-4DE8-8639-F4E6A9D0A5B4}" destId="{56303FAD-7FB2-463D-BB03-640CAFF8065E}" srcOrd="5" destOrd="0" parTransId="{53067088-C82A-4305-BE8A-7FF1E75AE4DF}" sibTransId="{A945C303-41E4-47EF-9649-231175651731}"/>
    <dgm:cxn modelId="{1B454B52-FC1B-4AD8-A1D9-F2BB15908A16}" type="presOf" srcId="{8C4E5FE6-355D-4496-8690-DD56A40BB53C}" destId="{598D1E7C-A5B9-490C-AD8B-B12715A8F38E}" srcOrd="0" destOrd="0" presId="urn:microsoft.com/office/officeart/2024/layout/VerticalActionList"/>
    <dgm:cxn modelId="{C18B0875-55C1-4F2F-B484-691D97CE1893}" srcId="{B52B84CF-13D7-4DE8-8639-F4E6A9D0A5B4}" destId="{5166EE30-9321-4C3F-921E-B71E9A1320AB}" srcOrd="1" destOrd="0" parTransId="{F31DA704-1D26-443D-B513-BE7AF31F377D}" sibTransId="{5A20038A-F393-4A4F-AFD1-EE1B559C0E24}"/>
    <dgm:cxn modelId="{FE95AD56-3360-489A-B784-A268CA90BD1B}" srcId="{B52B84CF-13D7-4DE8-8639-F4E6A9D0A5B4}" destId="{D840407C-ADA0-4BDA-8A12-2CB3117903A3}" srcOrd="4" destOrd="0" parTransId="{2BE42B17-090E-408C-85EA-DFC4A3BDD698}" sibTransId="{79C61095-4513-486A-884F-B1603C9D71DD}"/>
    <dgm:cxn modelId="{249A5159-4EB4-4356-9EA8-69A1CAB7E5B8}" srcId="{56303FAD-7FB2-463D-BB03-640CAFF8065E}" destId="{A2F3AA37-64DE-41C2-8B74-303E2D8B1476}" srcOrd="0" destOrd="0" parTransId="{532E712A-82C1-4E9F-AE7C-1C4AF668BB97}" sibTransId="{49C062C3-7BC2-4A4B-B461-D6B9ABD55073}"/>
    <dgm:cxn modelId="{CA43285A-3739-4874-BC36-4E9A53F542AA}" type="presOf" srcId="{E89FEB4A-DB1D-4BAA-AB1B-E1388E5143F0}" destId="{9758794D-D009-422E-9F96-03FA2C57E5FF}" srcOrd="0" destOrd="0" presId="urn:microsoft.com/office/officeart/2024/layout/VerticalActionList"/>
    <dgm:cxn modelId="{67B52B7B-604B-4B67-82FE-F3F31E5D3C71}" srcId="{B52B84CF-13D7-4DE8-8639-F4E6A9D0A5B4}" destId="{D8746685-281A-44E2-9AA1-3CBA10F5125B}" srcOrd="7" destOrd="0" parTransId="{6E5B1037-6AA9-4D9C-81D0-73D838CC9AC3}" sibTransId="{4AC21D72-A225-4DF8-BE09-3A77505E658F}"/>
    <dgm:cxn modelId="{3281519E-F365-4FA8-84F2-C5846B89FDA9}" type="presOf" srcId="{E89FEB4A-DB1D-4BAA-AB1B-E1388E5143F0}" destId="{014AF648-0B0B-4383-97FE-9D2E2757CBD5}" srcOrd="1" destOrd="0" presId="urn:microsoft.com/office/officeart/2024/layout/VerticalActionList"/>
    <dgm:cxn modelId="{C312DCA1-C9F1-4851-8968-F7EAAF1CDFD3}" type="presOf" srcId="{1ED1EAE0-9073-4C8D-8A85-CBA6F04CCECA}" destId="{6CAFB813-22E5-419B-B6DE-2F7317BA0716}" srcOrd="0" destOrd="0" presId="urn:microsoft.com/office/officeart/2024/layout/VerticalActionList"/>
    <dgm:cxn modelId="{06C94CA2-E38E-4A58-91C2-3F3B6101B20A}" srcId="{B52B84CF-13D7-4DE8-8639-F4E6A9D0A5B4}" destId="{6A5D672C-994C-4747-A2FF-7C40F20A3787}" srcOrd="6" destOrd="0" parTransId="{615DC20E-9111-49D9-8783-CFE80999175C}" sibTransId="{EC705CB5-92CB-4C8A-8D7B-9B70258B5C30}"/>
    <dgm:cxn modelId="{E9EA68B0-0E45-440A-A0D0-DC21180D2998}" type="presOf" srcId="{5166EE30-9321-4C3F-921E-B71E9A1320AB}" destId="{C846C9DE-45E1-45E8-BEA8-CA60EFB6C325}" srcOrd="1" destOrd="0" presId="urn:microsoft.com/office/officeart/2024/layout/VerticalActionList"/>
    <dgm:cxn modelId="{AFAFCEBB-6ACC-40B9-84FA-3771519E40DE}" type="presOf" srcId="{F41172B1-52C3-48F9-A258-7E89365330E9}" destId="{6C8E1B18-7C1C-4CE3-8B06-F223428F560D}" srcOrd="0" destOrd="0" presId="urn:microsoft.com/office/officeart/2024/layout/VerticalActionList"/>
    <dgm:cxn modelId="{52C685BE-511A-4F93-9943-5C17384AB1D9}" type="presOf" srcId="{ACCAF09C-7FD7-4EAE-B097-700DFEB48A72}" destId="{4D0D9402-AF11-4AA7-8CC2-32F0842E55B5}" srcOrd="0" destOrd="0" presId="urn:microsoft.com/office/officeart/2024/layout/VerticalActionList"/>
    <dgm:cxn modelId="{B8AFF5C5-B097-400D-B398-BC54E592C78B}" srcId="{F41172B1-52C3-48F9-A258-7E89365330E9}" destId="{ACCAF09C-7FD7-4EAE-B097-700DFEB48A72}" srcOrd="0" destOrd="0" parTransId="{C94E1EF4-5C2F-4E6D-9211-D503A9EAA486}" sibTransId="{E73F9C14-5A7A-45CF-810B-97A9718AD8E5}"/>
    <dgm:cxn modelId="{62F97EC7-465F-44B1-9CB0-815896C08151}" type="presOf" srcId="{6A5D672C-994C-4747-A2FF-7C40F20A3787}" destId="{33A4BB9C-D4FC-4D17-B1CE-44C6564F19AD}" srcOrd="1" destOrd="0" presId="urn:microsoft.com/office/officeart/2024/layout/VerticalActionList"/>
    <dgm:cxn modelId="{ABF5AEC7-56A1-44A3-AB31-2C451DC43C83}" srcId="{B52B84CF-13D7-4DE8-8639-F4E6A9D0A5B4}" destId="{6CDAD5C8-FD9B-4983-A3AD-ABB7D9426C9A}" srcOrd="2" destOrd="0" parTransId="{427EF915-7E8D-4932-948C-DD8F44943534}" sibTransId="{2E92C694-A1E5-4C5B-914F-228A47AC9DDD}"/>
    <dgm:cxn modelId="{8BE576CC-DE95-48E1-830B-A1983019BD6D}" type="presOf" srcId="{D8746685-281A-44E2-9AA1-3CBA10F5125B}" destId="{A024E706-862A-4CF6-9019-89AA1C3C559A}" srcOrd="0" destOrd="0" presId="urn:microsoft.com/office/officeart/2024/layout/VerticalActionList"/>
    <dgm:cxn modelId="{18722AD8-C61D-49AA-A40E-C1A1DF1C88C6}" type="presOf" srcId="{D840407C-ADA0-4BDA-8A12-2CB3117903A3}" destId="{FDC05099-189F-41DB-A8E0-DEB576799326}" srcOrd="0" destOrd="0" presId="urn:microsoft.com/office/officeart/2024/layout/VerticalActionList"/>
    <dgm:cxn modelId="{189819E4-2E5F-473A-A2FB-302769F39B99}" type="presOf" srcId="{B52B84CF-13D7-4DE8-8639-F4E6A9D0A5B4}" destId="{A292F729-35C4-4A70-B207-869D62287D8A}" srcOrd="0" destOrd="0" presId="urn:microsoft.com/office/officeart/2024/layout/VerticalActionList"/>
    <dgm:cxn modelId="{370279E6-E416-4B50-8FBD-AAE1EBB95C1B}" srcId="{5166EE30-9321-4C3F-921E-B71E9A1320AB}" destId="{363CA3F2-D03E-4B80-A66A-1DFD2952C30D}" srcOrd="0" destOrd="0" parTransId="{BAA94186-B3FD-4DD5-B3BF-ABF6CB1C51FB}" sibTransId="{4B342D67-E3D4-4F0C-AFBF-8F285F84B43A}"/>
    <dgm:cxn modelId="{5C6FD0E6-2276-40C1-8EA1-8BAB3E0F080E}" type="presOf" srcId="{D374209F-0E03-4FC9-8CF5-AB553186BBB9}" destId="{CBD34FFF-754C-44AA-B083-891D84754A07}" srcOrd="0" destOrd="0" presId="urn:microsoft.com/office/officeart/2024/layout/VerticalActionList"/>
    <dgm:cxn modelId="{E295ECF3-74D4-4E27-AE4A-941267500DA3}" type="presOf" srcId="{6CDAD5C8-FD9B-4983-A3AD-ABB7D9426C9A}" destId="{B537BD63-D21A-452E-A731-9521D2BD43E4}" srcOrd="0" destOrd="0" presId="urn:microsoft.com/office/officeart/2024/layout/VerticalActionList"/>
    <dgm:cxn modelId="{33E481F4-0572-43D2-864F-C2AACCB26916}" srcId="{E89FEB4A-DB1D-4BAA-AB1B-E1388E5143F0}" destId="{8C4E5FE6-355D-4496-8690-DD56A40BB53C}" srcOrd="0" destOrd="0" parTransId="{B40280D1-9290-45BC-A315-7C976B60DD3F}" sibTransId="{AE600B11-E747-4617-830E-5F8CA4DBBB42}"/>
    <dgm:cxn modelId="{08EA66F8-3619-4CEE-98EB-8DA51E783097}" type="presOf" srcId="{56303FAD-7FB2-463D-BB03-640CAFF8065E}" destId="{D41A1047-6013-438D-A874-D11A4CC073F1}" srcOrd="0" destOrd="0" presId="urn:microsoft.com/office/officeart/2024/layout/VerticalActionList"/>
    <dgm:cxn modelId="{788FE1F3-8B6A-4720-AA3D-2D9C55746908}" type="presParOf" srcId="{A292F729-35C4-4A70-B207-869D62287D8A}" destId="{6BEB4C41-14D0-405E-AFAD-918C2908B597}" srcOrd="0" destOrd="0" presId="urn:microsoft.com/office/officeart/2024/layout/VerticalActionList"/>
    <dgm:cxn modelId="{DC4D6F9C-06CD-4FD2-9C7F-F1C6168DFD58}" type="presParOf" srcId="{6BEB4C41-14D0-405E-AFAD-918C2908B597}" destId="{6C8E1B18-7C1C-4CE3-8B06-F223428F560D}" srcOrd="0" destOrd="0" presId="urn:microsoft.com/office/officeart/2024/layout/VerticalActionList"/>
    <dgm:cxn modelId="{0C2F3FE4-E556-4377-9FA9-EFC2B9F9FB10}" type="presParOf" srcId="{6BEB4C41-14D0-405E-AFAD-918C2908B597}" destId="{52998609-CA0E-4B2F-8AF8-0839C2C2069E}" srcOrd="1" destOrd="0" presId="urn:microsoft.com/office/officeart/2024/layout/VerticalActionList"/>
    <dgm:cxn modelId="{80080914-5761-4BF1-AE5B-3706E090D5C7}" type="presParOf" srcId="{6BEB4C41-14D0-405E-AFAD-918C2908B597}" destId="{4D0D9402-AF11-4AA7-8CC2-32F0842E55B5}" srcOrd="2" destOrd="0" presId="urn:microsoft.com/office/officeart/2024/layout/VerticalActionList"/>
    <dgm:cxn modelId="{21AAC6E9-2775-4463-A66F-A9A20B1B185B}" type="presParOf" srcId="{A292F729-35C4-4A70-B207-869D62287D8A}" destId="{D9317F94-8C10-482F-9FD5-D59BE806EB4B}" srcOrd="1" destOrd="0" presId="urn:microsoft.com/office/officeart/2024/layout/VerticalActionList"/>
    <dgm:cxn modelId="{B4329C26-A018-419A-88DD-2FA81892A3EF}" type="presParOf" srcId="{A292F729-35C4-4A70-B207-869D62287D8A}" destId="{33957E75-A10E-42B7-9F8B-5F172CE59817}" srcOrd="2" destOrd="0" presId="urn:microsoft.com/office/officeart/2024/layout/VerticalActionList"/>
    <dgm:cxn modelId="{B1BF2804-DD13-4A2E-A9BC-C05B34136B0D}" type="presParOf" srcId="{33957E75-A10E-42B7-9F8B-5F172CE59817}" destId="{D46AFC12-0665-4AF9-9EC2-8FF30650E971}" srcOrd="0" destOrd="0" presId="urn:microsoft.com/office/officeart/2024/layout/VerticalActionList"/>
    <dgm:cxn modelId="{3D67792B-E30F-4649-BC40-618F65593432}" type="presParOf" srcId="{33957E75-A10E-42B7-9F8B-5F172CE59817}" destId="{C846C9DE-45E1-45E8-BEA8-CA60EFB6C325}" srcOrd="1" destOrd="0" presId="urn:microsoft.com/office/officeart/2024/layout/VerticalActionList"/>
    <dgm:cxn modelId="{05DD9FC2-9B32-468F-82A0-E4532844E580}" type="presParOf" srcId="{33957E75-A10E-42B7-9F8B-5F172CE59817}" destId="{9FC8820E-6935-4619-85AF-FC0968015F09}" srcOrd="2" destOrd="0" presId="urn:microsoft.com/office/officeart/2024/layout/VerticalActionList"/>
    <dgm:cxn modelId="{C21B4476-386A-467D-A3EE-0E69350FB9CA}" type="presParOf" srcId="{A292F729-35C4-4A70-B207-869D62287D8A}" destId="{50DBD8C0-657B-4D38-ACB9-B9B56364FC07}" srcOrd="3" destOrd="0" presId="urn:microsoft.com/office/officeart/2024/layout/VerticalActionList"/>
    <dgm:cxn modelId="{CEE5CF53-B5A6-458F-9125-437462C218A4}" type="presParOf" srcId="{A292F729-35C4-4A70-B207-869D62287D8A}" destId="{3902CF3A-4F17-4F25-86A7-4E94667E7851}" srcOrd="4" destOrd="0" presId="urn:microsoft.com/office/officeart/2024/layout/VerticalActionList"/>
    <dgm:cxn modelId="{C410FD1D-7D2D-4BD8-B974-4A85309B1812}" type="presParOf" srcId="{3902CF3A-4F17-4F25-86A7-4E94667E7851}" destId="{B537BD63-D21A-452E-A731-9521D2BD43E4}" srcOrd="0" destOrd="0" presId="urn:microsoft.com/office/officeart/2024/layout/VerticalActionList"/>
    <dgm:cxn modelId="{B68BA325-9CF9-4BFB-A449-5608E69CEC61}" type="presParOf" srcId="{3902CF3A-4F17-4F25-86A7-4E94667E7851}" destId="{24828F5D-9DFC-4FF5-A3A6-7A93B522D5BE}" srcOrd="1" destOrd="0" presId="urn:microsoft.com/office/officeart/2024/layout/VerticalActionList"/>
    <dgm:cxn modelId="{ED401F16-07CB-4E59-8E5E-6646DB16E3B5}" type="presParOf" srcId="{3902CF3A-4F17-4F25-86A7-4E94667E7851}" destId="{6CAFB813-22E5-419B-B6DE-2F7317BA0716}" srcOrd="2" destOrd="0" presId="urn:microsoft.com/office/officeart/2024/layout/VerticalActionList"/>
    <dgm:cxn modelId="{7387E493-A1B6-4823-A3E5-2CDBF97AE395}" type="presParOf" srcId="{A292F729-35C4-4A70-B207-869D62287D8A}" destId="{F53D1309-B37E-4F66-A19A-A9DB4853E64D}" srcOrd="5" destOrd="0" presId="urn:microsoft.com/office/officeart/2024/layout/VerticalActionList"/>
    <dgm:cxn modelId="{E2B0B894-F18A-4F89-B85A-3EEB8EBA6B1F}" type="presParOf" srcId="{A292F729-35C4-4A70-B207-869D62287D8A}" destId="{E9064BFE-1461-4691-A64A-0047AA175420}" srcOrd="6" destOrd="0" presId="urn:microsoft.com/office/officeart/2024/layout/VerticalActionList"/>
    <dgm:cxn modelId="{E3452F86-8BD9-4D37-9F4A-EBD90FF56488}" type="presParOf" srcId="{E9064BFE-1461-4691-A64A-0047AA175420}" destId="{9758794D-D009-422E-9F96-03FA2C57E5FF}" srcOrd="0" destOrd="0" presId="urn:microsoft.com/office/officeart/2024/layout/VerticalActionList"/>
    <dgm:cxn modelId="{F91F8372-D8E4-4171-9029-10658C89EF08}" type="presParOf" srcId="{E9064BFE-1461-4691-A64A-0047AA175420}" destId="{014AF648-0B0B-4383-97FE-9D2E2757CBD5}" srcOrd="1" destOrd="0" presId="urn:microsoft.com/office/officeart/2024/layout/VerticalActionList"/>
    <dgm:cxn modelId="{B74133D8-BE7D-447F-8BE6-3268CE64015D}" type="presParOf" srcId="{E9064BFE-1461-4691-A64A-0047AA175420}" destId="{598D1E7C-A5B9-490C-AD8B-B12715A8F38E}" srcOrd="2" destOrd="0" presId="urn:microsoft.com/office/officeart/2024/layout/VerticalActionList"/>
    <dgm:cxn modelId="{9660B1D2-420E-494E-A0AA-B02D78DA7075}" type="presParOf" srcId="{A292F729-35C4-4A70-B207-869D62287D8A}" destId="{4AAB79D4-AC2E-4BC1-B7F1-5C17A78548F3}" srcOrd="7" destOrd="0" presId="urn:microsoft.com/office/officeart/2024/layout/VerticalActionList"/>
    <dgm:cxn modelId="{4330EC39-B344-4A43-BFB6-7B46D09AC79D}" type="presParOf" srcId="{A292F729-35C4-4A70-B207-869D62287D8A}" destId="{CC8744DB-CA56-411B-910F-FF4DDAA75F13}" srcOrd="8" destOrd="0" presId="urn:microsoft.com/office/officeart/2024/layout/VerticalActionList"/>
    <dgm:cxn modelId="{3B28526B-30E3-430D-A3F9-B23D345C21B3}" type="presParOf" srcId="{CC8744DB-CA56-411B-910F-FF4DDAA75F13}" destId="{FDC05099-189F-41DB-A8E0-DEB576799326}" srcOrd="0" destOrd="0" presId="urn:microsoft.com/office/officeart/2024/layout/VerticalActionList"/>
    <dgm:cxn modelId="{2A122EA3-8047-4677-9AC5-9D04E270846B}" type="presParOf" srcId="{CC8744DB-CA56-411B-910F-FF4DDAA75F13}" destId="{99D9AD06-0B84-4B92-9E37-0E0C207C8E2A}" srcOrd="1" destOrd="0" presId="urn:microsoft.com/office/officeart/2024/layout/VerticalActionList"/>
    <dgm:cxn modelId="{315113B3-85F1-4DE2-B855-55C2DC905472}" type="presParOf" srcId="{CC8744DB-CA56-411B-910F-FF4DDAA75F13}" destId="{0F125CF3-7CCF-4766-BE7F-C2FF477F5CBD}" srcOrd="2" destOrd="0" presId="urn:microsoft.com/office/officeart/2024/layout/VerticalActionList"/>
    <dgm:cxn modelId="{94C7ACFF-23B6-4B68-B3F9-2BB08BF338CA}" type="presParOf" srcId="{A292F729-35C4-4A70-B207-869D62287D8A}" destId="{F0C13F5E-A766-4CC3-A0F8-3F8414657100}" srcOrd="9" destOrd="0" presId="urn:microsoft.com/office/officeart/2024/layout/VerticalActionList"/>
    <dgm:cxn modelId="{BBE8D94E-CFF9-499D-8B7A-616324D18273}" type="presParOf" srcId="{A292F729-35C4-4A70-B207-869D62287D8A}" destId="{FCBBEF38-35CD-4F6D-8963-A52BFB698A23}" srcOrd="10" destOrd="0" presId="urn:microsoft.com/office/officeart/2024/layout/VerticalActionList"/>
    <dgm:cxn modelId="{FDB4000A-6108-40C6-AB78-5AD4C9AA8F2B}" type="presParOf" srcId="{FCBBEF38-35CD-4F6D-8963-A52BFB698A23}" destId="{D41A1047-6013-438D-A874-D11A4CC073F1}" srcOrd="0" destOrd="0" presId="urn:microsoft.com/office/officeart/2024/layout/VerticalActionList"/>
    <dgm:cxn modelId="{AF035563-AB5D-4D55-AC94-70BB7AEF6CDA}" type="presParOf" srcId="{FCBBEF38-35CD-4F6D-8963-A52BFB698A23}" destId="{77B07B2B-A3D4-4B74-B582-CC58E2E3A723}" srcOrd="1" destOrd="0" presId="urn:microsoft.com/office/officeart/2024/layout/VerticalActionList"/>
    <dgm:cxn modelId="{42183495-D9E3-4766-B992-47F68492353B}" type="presParOf" srcId="{FCBBEF38-35CD-4F6D-8963-A52BFB698A23}" destId="{35580070-B89C-46C2-B15D-3F628A9CF302}" srcOrd="2" destOrd="0" presId="urn:microsoft.com/office/officeart/2024/layout/VerticalActionList"/>
    <dgm:cxn modelId="{33346086-E16C-4980-A747-9A4CA9D14CBC}" type="presParOf" srcId="{A292F729-35C4-4A70-B207-869D62287D8A}" destId="{817A5038-55FC-4E1D-BFAE-B12D6CBDED69}" srcOrd="11" destOrd="0" presId="urn:microsoft.com/office/officeart/2024/layout/VerticalActionList"/>
    <dgm:cxn modelId="{C0DAB5CB-9672-4D42-8979-50B135872D33}" type="presParOf" srcId="{A292F729-35C4-4A70-B207-869D62287D8A}" destId="{F0FF291C-6FB0-44CF-AA0E-E5649FFBCE3E}" srcOrd="12" destOrd="0" presId="urn:microsoft.com/office/officeart/2024/layout/VerticalActionList"/>
    <dgm:cxn modelId="{50543A0A-FAF7-49E5-9252-B9077B4974E2}" type="presParOf" srcId="{F0FF291C-6FB0-44CF-AA0E-E5649FFBCE3E}" destId="{E9530E72-E49D-4FFA-8B60-AC052AC65668}" srcOrd="0" destOrd="0" presId="urn:microsoft.com/office/officeart/2024/layout/VerticalActionList"/>
    <dgm:cxn modelId="{2E8DB868-028E-44EE-8494-30F26B6B0983}" type="presParOf" srcId="{F0FF291C-6FB0-44CF-AA0E-E5649FFBCE3E}" destId="{33A4BB9C-D4FC-4D17-B1CE-44C6564F19AD}" srcOrd="1" destOrd="0" presId="urn:microsoft.com/office/officeart/2024/layout/VerticalActionList"/>
    <dgm:cxn modelId="{E48E358F-EB4D-4FA6-9B78-C488DC68D774}" type="presParOf" srcId="{F0FF291C-6FB0-44CF-AA0E-E5649FFBCE3E}" destId="{ECAD18D5-EF36-4F27-BD7B-939A240E7BC0}" srcOrd="2" destOrd="0" presId="urn:microsoft.com/office/officeart/2024/layout/VerticalActionList"/>
    <dgm:cxn modelId="{7FED8F72-B316-44B8-A819-5EB7123AD723}" type="presParOf" srcId="{A292F729-35C4-4A70-B207-869D62287D8A}" destId="{46253FFC-8786-4A15-BD28-4081013F3943}" srcOrd="13" destOrd="0" presId="urn:microsoft.com/office/officeart/2024/layout/VerticalActionList"/>
    <dgm:cxn modelId="{501FD091-B91B-438F-848B-C37A36364862}" type="presParOf" srcId="{A292F729-35C4-4A70-B207-869D62287D8A}" destId="{372F3371-D8C3-4417-B537-B419EF9DFF9A}" srcOrd="14" destOrd="0" presId="urn:microsoft.com/office/officeart/2024/layout/VerticalActionList"/>
    <dgm:cxn modelId="{EE28DB9E-4B36-4209-93F4-2FF4BEA078DD}" type="presParOf" srcId="{372F3371-D8C3-4417-B537-B419EF9DFF9A}" destId="{A024E706-862A-4CF6-9019-89AA1C3C559A}" srcOrd="0" destOrd="0" presId="urn:microsoft.com/office/officeart/2024/layout/VerticalActionList"/>
    <dgm:cxn modelId="{9E8EC449-CDEA-40E1-8938-05D6D1830A03}" type="presParOf" srcId="{372F3371-D8C3-4417-B537-B419EF9DFF9A}" destId="{1DC7107A-BB48-40BF-A177-D2F7FB95937C}" srcOrd="1" destOrd="0" presId="urn:microsoft.com/office/officeart/2024/layout/VerticalActionList"/>
    <dgm:cxn modelId="{041766E5-44DB-40DD-8034-27A2CA06A6E4}" type="presParOf" srcId="{372F3371-D8C3-4417-B537-B419EF9DFF9A}" destId="{CBD34FFF-754C-44AA-B083-891D84754A07}" srcOrd="2" destOrd="0" presId="urn:microsoft.com/office/officeart/2024/layout/VerticalActionList"/>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9304BF-889D-4395-9DB2-DC3C77D83301}">
      <dsp:nvSpPr>
        <dsp:cNvPr id="0" name=""/>
        <dsp:cNvSpPr/>
      </dsp:nvSpPr>
      <dsp:spPr>
        <a:xfrm>
          <a:off x="2361899" y="1693"/>
          <a:ext cx="1278720" cy="586167"/>
        </a:xfrm>
        <a:prstGeom prst="roundRect">
          <a:avLst/>
        </a:prstGeom>
        <a:solidFill>
          <a:schemeClr val="accent1">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Times New Roman" panose="02020603050405020304" pitchFamily="18" charset="0"/>
              <a:cs typeface="Times New Roman" panose="02020603050405020304" pitchFamily="18" charset="0"/>
            </a:rPr>
            <a:t>1. Talent Attraction</a:t>
          </a:r>
        </a:p>
        <a:p>
          <a:pPr marL="0" lvl="0" indent="0" algn="ctr" defTabSz="444500">
            <a:lnSpc>
              <a:spcPct val="90000"/>
            </a:lnSpc>
            <a:spcBef>
              <a:spcPct val="0"/>
            </a:spcBef>
            <a:spcAft>
              <a:spcPct val="35000"/>
            </a:spcAft>
            <a:buNone/>
          </a:pPr>
          <a:r>
            <a:rPr lang="en-GB" sz="1000" kern="1200">
              <a:latin typeface="Times New Roman" panose="02020603050405020304" pitchFamily="18" charset="0"/>
              <a:cs typeface="Times New Roman" panose="02020603050405020304" pitchFamily="18" charset="0"/>
            </a:rPr>
            <a:t>(Employer Branding)</a:t>
          </a:r>
        </a:p>
      </dsp:txBody>
      <dsp:txXfrm>
        <a:off x="2390513" y="30307"/>
        <a:ext cx="1221492" cy="528939"/>
      </dsp:txXfrm>
    </dsp:sp>
    <dsp:sp modelId="{1579FEAC-BF8C-4D54-BB9D-5335AE38AC6D}">
      <dsp:nvSpPr>
        <dsp:cNvPr id="0" name=""/>
        <dsp:cNvSpPr/>
      </dsp:nvSpPr>
      <dsp:spPr>
        <a:xfrm>
          <a:off x="1620447" y="294777"/>
          <a:ext cx="2761624" cy="2761624"/>
        </a:xfrm>
        <a:custGeom>
          <a:avLst/>
          <a:gdLst/>
          <a:ahLst/>
          <a:cxnLst/>
          <a:rect l="0" t="0" r="0" b="0"/>
          <a:pathLst>
            <a:path>
              <a:moveTo>
                <a:pt x="2092326" y="197431"/>
              </a:moveTo>
              <a:arcTo wR="1380812" hR="1380812" stAng="18060996" swAng="621952"/>
            </a:path>
          </a:pathLst>
        </a:custGeom>
        <a:noFill/>
        <a:ln w="6350" cap="flat" cmpd="sng" algn="ctr">
          <a:solidFill>
            <a:schemeClr val="accent1">
              <a:shade val="90000"/>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C8B4DEDF-CC53-4B97-9A23-1106810F371D}">
      <dsp:nvSpPr>
        <dsp:cNvPr id="0" name=""/>
        <dsp:cNvSpPr/>
      </dsp:nvSpPr>
      <dsp:spPr>
        <a:xfrm>
          <a:off x="3582062" y="696079"/>
          <a:ext cx="1230032" cy="578207"/>
        </a:xfrm>
        <a:prstGeom prst="roundRect">
          <a:avLst/>
        </a:prstGeom>
        <a:solidFill>
          <a:schemeClr val="accent1">
            <a:shade val="80000"/>
            <a:hueOff val="109120"/>
            <a:satOff val="-11378"/>
            <a:lumOff val="764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Times New Roman" panose="02020603050405020304" pitchFamily="18" charset="0"/>
              <a:cs typeface="Times New Roman" panose="02020603050405020304" pitchFamily="18" charset="0"/>
            </a:rPr>
            <a:t>2. Recruitment and Selection</a:t>
          </a:r>
        </a:p>
      </dsp:txBody>
      <dsp:txXfrm>
        <a:off x="3610288" y="724305"/>
        <a:ext cx="1173580" cy="521755"/>
      </dsp:txXfrm>
    </dsp:sp>
    <dsp:sp modelId="{F1273E29-EF5F-491E-AB53-3989F2386985}">
      <dsp:nvSpPr>
        <dsp:cNvPr id="0" name=""/>
        <dsp:cNvSpPr/>
      </dsp:nvSpPr>
      <dsp:spPr>
        <a:xfrm>
          <a:off x="1620447" y="294777"/>
          <a:ext cx="2761624" cy="2761624"/>
        </a:xfrm>
        <a:custGeom>
          <a:avLst/>
          <a:gdLst/>
          <a:ahLst/>
          <a:cxnLst/>
          <a:rect l="0" t="0" r="0" b="0"/>
          <a:pathLst>
            <a:path>
              <a:moveTo>
                <a:pt x="2739511" y="1134681"/>
              </a:moveTo>
              <a:arcTo wR="1380812" hR="1380812" stAng="20983928" swAng="1221793"/>
            </a:path>
          </a:pathLst>
        </a:custGeom>
        <a:noFill/>
        <a:ln w="6350" cap="flat" cmpd="sng" algn="ctr">
          <a:solidFill>
            <a:schemeClr val="accent1">
              <a:shade val="90000"/>
              <a:hueOff val="109088"/>
              <a:satOff val="-11234"/>
              <a:lumOff val="7322"/>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C52B9601-1B8F-4027-84DD-E78D24F4D308}">
      <dsp:nvSpPr>
        <dsp:cNvPr id="0" name=""/>
        <dsp:cNvSpPr/>
      </dsp:nvSpPr>
      <dsp:spPr>
        <a:xfrm>
          <a:off x="3590151" y="2072911"/>
          <a:ext cx="1213854" cy="586167"/>
        </a:xfrm>
        <a:prstGeom prst="roundRect">
          <a:avLst/>
        </a:prstGeom>
        <a:solidFill>
          <a:schemeClr val="accent1">
            <a:shade val="80000"/>
            <a:hueOff val="218239"/>
            <a:satOff val="-22757"/>
            <a:lumOff val="1528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Times New Roman" panose="02020603050405020304" pitchFamily="18" charset="0"/>
              <a:cs typeface="Times New Roman" panose="02020603050405020304" pitchFamily="18" charset="0"/>
            </a:rPr>
            <a:t>3. Learning and Development (GXO University)</a:t>
          </a:r>
        </a:p>
      </dsp:txBody>
      <dsp:txXfrm>
        <a:off x="3618765" y="2101525"/>
        <a:ext cx="1156626" cy="528939"/>
      </dsp:txXfrm>
    </dsp:sp>
    <dsp:sp modelId="{0AA97196-1078-4C9C-8E68-38F318808325}">
      <dsp:nvSpPr>
        <dsp:cNvPr id="0" name=""/>
        <dsp:cNvSpPr/>
      </dsp:nvSpPr>
      <dsp:spPr>
        <a:xfrm>
          <a:off x="1620447" y="294777"/>
          <a:ext cx="2761624" cy="2761624"/>
        </a:xfrm>
        <a:custGeom>
          <a:avLst/>
          <a:gdLst/>
          <a:ahLst/>
          <a:cxnLst/>
          <a:rect l="0" t="0" r="0" b="0"/>
          <a:pathLst>
            <a:path>
              <a:moveTo>
                <a:pt x="2286903" y="2422753"/>
              </a:moveTo>
              <a:arcTo wR="1380812" hR="1380812" stAng="2939351" swAng="647075"/>
            </a:path>
          </a:pathLst>
        </a:custGeom>
        <a:noFill/>
        <a:ln w="6350" cap="flat" cmpd="sng" algn="ctr">
          <a:solidFill>
            <a:schemeClr val="accent1">
              <a:shade val="90000"/>
              <a:hueOff val="218176"/>
              <a:satOff val="-22467"/>
              <a:lumOff val="14644"/>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D39A4342-FA83-46AF-87FB-4ABBA99DE5E3}">
      <dsp:nvSpPr>
        <dsp:cNvPr id="0" name=""/>
        <dsp:cNvSpPr/>
      </dsp:nvSpPr>
      <dsp:spPr>
        <a:xfrm>
          <a:off x="2381789" y="2763317"/>
          <a:ext cx="1238942" cy="586167"/>
        </a:xfrm>
        <a:prstGeom prst="roundRect">
          <a:avLst/>
        </a:prstGeom>
        <a:solidFill>
          <a:schemeClr val="accent1">
            <a:shade val="80000"/>
            <a:hueOff val="327359"/>
            <a:satOff val="-34135"/>
            <a:lumOff val="2293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latin typeface="Times New Roman" panose="02020603050405020304" pitchFamily="18" charset="0"/>
              <a:cs typeface="Times New Roman" panose="02020603050405020304" pitchFamily="18" charset="0"/>
            </a:rPr>
            <a:t> </a:t>
          </a:r>
          <a:r>
            <a:rPr lang="en-GB" sz="1000" kern="1200">
              <a:latin typeface="Times New Roman" panose="02020603050405020304" pitchFamily="18" charset="0"/>
              <a:cs typeface="Times New Roman" panose="02020603050405020304" pitchFamily="18" charset="0"/>
            </a:rPr>
            <a:t>4. Performance Management.</a:t>
          </a:r>
        </a:p>
        <a:p>
          <a:pPr marL="0" lvl="0" indent="0" algn="ctr" defTabSz="400050">
            <a:lnSpc>
              <a:spcPct val="90000"/>
            </a:lnSpc>
            <a:spcBef>
              <a:spcPct val="0"/>
            </a:spcBef>
            <a:spcAft>
              <a:spcPct val="35000"/>
            </a:spcAft>
            <a:buNone/>
          </a:pPr>
          <a:r>
            <a:rPr lang="en-GB" sz="1000" kern="1200">
              <a:latin typeface="Times New Roman" panose="02020603050405020304" pitchFamily="18" charset="0"/>
              <a:cs typeface="Times New Roman" panose="02020603050405020304" pitchFamily="18" charset="0"/>
            </a:rPr>
            <a:t>(KPI, 1:1 Meetings) </a:t>
          </a:r>
        </a:p>
      </dsp:txBody>
      <dsp:txXfrm>
        <a:off x="2410403" y="2791931"/>
        <a:ext cx="1181714" cy="528939"/>
      </dsp:txXfrm>
    </dsp:sp>
    <dsp:sp modelId="{D1E00609-0992-4933-B7AE-1699449E1712}">
      <dsp:nvSpPr>
        <dsp:cNvPr id="0" name=""/>
        <dsp:cNvSpPr/>
      </dsp:nvSpPr>
      <dsp:spPr>
        <a:xfrm>
          <a:off x="1620447" y="294777"/>
          <a:ext cx="2761624" cy="2761624"/>
        </a:xfrm>
        <a:custGeom>
          <a:avLst/>
          <a:gdLst/>
          <a:ahLst/>
          <a:cxnLst/>
          <a:rect l="0" t="0" r="0" b="0"/>
          <a:pathLst>
            <a:path>
              <a:moveTo>
                <a:pt x="685690" y="2573895"/>
              </a:moveTo>
              <a:arcTo wR="1380812" hR="1380812" stAng="7213573" swAng="647075"/>
            </a:path>
          </a:pathLst>
        </a:custGeom>
        <a:noFill/>
        <a:ln w="6350" cap="flat" cmpd="sng" algn="ctr">
          <a:solidFill>
            <a:schemeClr val="accent1">
              <a:shade val="90000"/>
              <a:hueOff val="327263"/>
              <a:satOff val="-33701"/>
              <a:lumOff val="21967"/>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D53F3C82-D65E-4DD9-9423-ACF3E3750B78}">
      <dsp:nvSpPr>
        <dsp:cNvPr id="0" name=""/>
        <dsp:cNvSpPr/>
      </dsp:nvSpPr>
      <dsp:spPr>
        <a:xfrm>
          <a:off x="1153537" y="2072911"/>
          <a:ext cx="1303808" cy="586167"/>
        </a:xfrm>
        <a:prstGeom prst="roundRect">
          <a:avLst/>
        </a:prstGeom>
        <a:solidFill>
          <a:schemeClr val="accent1">
            <a:shade val="80000"/>
            <a:hueOff val="436479"/>
            <a:satOff val="-45514"/>
            <a:lumOff val="305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Times New Roman" panose="02020603050405020304" pitchFamily="18" charset="0"/>
              <a:cs typeface="Times New Roman" panose="02020603050405020304" pitchFamily="18" charset="0"/>
            </a:rPr>
            <a:t> 5. Career Progression (Internal Recruitment and Promotion)</a:t>
          </a:r>
        </a:p>
      </dsp:txBody>
      <dsp:txXfrm>
        <a:off x="1182151" y="2101525"/>
        <a:ext cx="1246580" cy="528939"/>
      </dsp:txXfrm>
    </dsp:sp>
    <dsp:sp modelId="{F1FD4632-D575-47E5-B0AF-51F739E1D011}">
      <dsp:nvSpPr>
        <dsp:cNvPr id="0" name=""/>
        <dsp:cNvSpPr/>
      </dsp:nvSpPr>
      <dsp:spPr>
        <a:xfrm>
          <a:off x="1605414" y="247802"/>
          <a:ext cx="2761624" cy="2761624"/>
        </a:xfrm>
        <a:custGeom>
          <a:avLst/>
          <a:gdLst/>
          <a:ahLst/>
          <a:cxnLst/>
          <a:rect l="0" t="0" r="0" b="0"/>
          <a:pathLst>
            <a:path>
              <a:moveTo>
                <a:pt x="34467" y="1687403"/>
              </a:moveTo>
              <a:arcTo wR="1380812" hR="1380812" stAng="10030279" swAng="1089972"/>
            </a:path>
          </a:pathLst>
        </a:custGeom>
        <a:noFill/>
        <a:ln w="6350" cap="flat" cmpd="sng" algn="ctr">
          <a:solidFill>
            <a:schemeClr val="accent1">
              <a:shade val="90000"/>
              <a:hueOff val="436351"/>
              <a:satOff val="-44934"/>
              <a:lumOff val="29289"/>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0F87C5D6-3982-49E6-AB64-11ADAD1690C9}">
      <dsp:nvSpPr>
        <dsp:cNvPr id="0" name=""/>
        <dsp:cNvSpPr/>
      </dsp:nvSpPr>
      <dsp:spPr>
        <a:xfrm>
          <a:off x="1056178" y="772389"/>
          <a:ext cx="1358033" cy="586167"/>
        </a:xfrm>
        <a:prstGeom prst="roundRect">
          <a:avLst/>
        </a:prstGeom>
        <a:solidFill>
          <a:schemeClr val="accent1">
            <a:shade val="80000"/>
            <a:hueOff val="545598"/>
            <a:satOff val="-56892"/>
            <a:lumOff val="3822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Times New Roman" panose="02020603050405020304" pitchFamily="18" charset="0"/>
              <a:cs typeface="Times New Roman" panose="02020603050405020304" pitchFamily="18" charset="0"/>
            </a:rPr>
            <a:t> 6. Employee Retention (Engagement and Wellbeing) </a:t>
          </a:r>
        </a:p>
      </dsp:txBody>
      <dsp:txXfrm>
        <a:off x="1084792" y="801003"/>
        <a:ext cx="1300805" cy="528939"/>
      </dsp:txXfrm>
    </dsp:sp>
    <dsp:sp modelId="{2848DCE3-2F29-4893-B54E-9624846EBC4C}">
      <dsp:nvSpPr>
        <dsp:cNvPr id="0" name=""/>
        <dsp:cNvSpPr/>
      </dsp:nvSpPr>
      <dsp:spPr>
        <a:xfrm>
          <a:off x="1562921" y="323148"/>
          <a:ext cx="2761624" cy="2761624"/>
        </a:xfrm>
        <a:custGeom>
          <a:avLst/>
          <a:gdLst/>
          <a:ahLst/>
          <a:cxnLst/>
          <a:rect l="0" t="0" r="0" b="0"/>
          <a:pathLst>
            <a:path>
              <a:moveTo>
                <a:pt x="437836" y="372130"/>
              </a:moveTo>
              <a:arcTo wR="1380812" hR="1380812" stAng="13615693" swAng="818988"/>
            </a:path>
          </a:pathLst>
        </a:custGeom>
        <a:noFill/>
        <a:ln w="6350" cap="flat" cmpd="sng" algn="ctr">
          <a:solidFill>
            <a:schemeClr val="accent1">
              <a:shade val="90000"/>
              <a:hueOff val="545439"/>
              <a:satOff val="-56168"/>
              <a:lumOff val="36611"/>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EA132F-6515-453E-A85E-49AA94D2DB7B}">
      <dsp:nvSpPr>
        <dsp:cNvPr id="0" name=""/>
        <dsp:cNvSpPr/>
      </dsp:nvSpPr>
      <dsp:spPr>
        <a:xfrm rot="5400000">
          <a:off x="3450354" y="-2251851"/>
          <a:ext cx="480481" cy="5024170"/>
        </a:xfrm>
        <a:prstGeom prst="round2SameRect">
          <a:avLst>
            <a:gd name="adj1" fmla="val 15000"/>
            <a:gd name="adj2" fmla="val 0"/>
          </a:avLst>
        </a:prstGeom>
        <a:solidFill>
          <a:schemeClr val="lt1">
            <a:alpha val="90000"/>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5645" tIns="47461" rIns="65645" bIns="47461"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Warehouse Operative</a:t>
          </a:r>
        </a:p>
      </dsp:txBody>
      <dsp:txXfrm rot="16200000">
        <a:off x="14073" y="34067"/>
        <a:ext cx="1226463" cy="452335"/>
      </dsp:txXfrm>
    </dsp:sp>
    <dsp:sp modelId="{BB4F11EA-035A-49D5-8FB5-B49409E87464}">
      <dsp:nvSpPr>
        <dsp:cNvPr id="0" name=""/>
        <dsp:cNvSpPr/>
      </dsp:nvSpPr>
      <dsp:spPr>
        <a:xfrm>
          <a:off x="1240535" y="1917"/>
          <a:ext cx="4962144" cy="480481"/>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105032" tIns="47461" rIns="105032" bIns="47461" numCol="1" spcCol="1270" anchor="ctr"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Entry Level role-gaining knowledge of operations and safety</a:t>
          </a:r>
          <a:r>
            <a:rPr lang="en-GB" sz="700" kern="1200"/>
            <a:t>.</a:t>
          </a:r>
        </a:p>
      </dsp:txBody>
      <dsp:txXfrm>
        <a:off x="1240535" y="1917"/>
        <a:ext cx="4962144" cy="480481"/>
      </dsp:txXfrm>
    </dsp:sp>
    <dsp:sp modelId="{AE2D808B-E6BA-4A02-B78C-1CB9DDE14886}">
      <dsp:nvSpPr>
        <dsp:cNvPr id="0" name=""/>
        <dsp:cNvSpPr/>
      </dsp:nvSpPr>
      <dsp:spPr>
        <a:xfrm rot="16200000">
          <a:off x="380027" y="-360033"/>
          <a:ext cx="480481" cy="1240536"/>
        </a:xfrm>
        <a:prstGeom prst="round2SameRect">
          <a:avLst>
            <a:gd name="adj1" fmla="val 10000"/>
            <a:gd name="adj2" fmla="val 0"/>
          </a:avLst>
        </a:prstGeom>
        <a:solidFill>
          <a:schemeClr val="accent1">
            <a:shade val="80000"/>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5645" tIns="47461" rIns="65645" bIns="47461"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Warehouse Operative</a:t>
          </a:r>
        </a:p>
      </dsp:txBody>
      <dsp:txXfrm rot="5400000">
        <a:off x="14073" y="34067"/>
        <a:ext cx="1226463" cy="452335"/>
      </dsp:txXfrm>
    </dsp:sp>
    <dsp:sp modelId="{EAB6078C-4A39-4928-880F-FB1B4E550490}">
      <dsp:nvSpPr>
        <dsp:cNvPr id="0" name=""/>
        <dsp:cNvSpPr/>
      </dsp:nvSpPr>
      <dsp:spPr>
        <a:xfrm rot="5400000">
          <a:off x="3450354" y="-1760617"/>
          <a:ext cx="480481" cy="5024170"/>
        </a:xfrm>
        <a:prstGeom prst="round2SameRect">
          <a:avLst>
            <a:gd name="adj1" fmla="val 15000"/>
            <a:gd name="adj2" fmla="val 0"/>
          </a:avLst>
        </a:prstGeom>
        <a:solidFill>
          <a:schemeClr val="lt1">
            <a:alpha val="90000"/>
            <a:hueOff val="0"/>
            <a:satOff val="0"/>
            <a:lumOff val="0"/>
            <a:alphaOff val="0"/>
          </a:schemeClr>
        </a:solidFill>
        <a:ln w="12700" cap="flat" cmpd="sng" algn="ctr">
          <a:solidFill>
            <a:schemeClr val="accent1">
              <a:shade val="80000"/>
              <a:hueOff val="77943"/>
              <a:satOff val="-8127"/>
              <a:lumOff val="546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5645" tIns="47461" rIns="65645" bIns="47461"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Picker</a:t>
          </a:r>
          <a:r>
            <a:rPr lang="en-GB" sz="1100" kern="1200">
              <a:latin typeface="Arial" panose="020B0604020202020204" pitchFamily="34" charset="0"/>
              <a:cs typeface="Arial" panose="020B0604020202020204" pitchFamily="34" charset="0"/>
            </a:rPr>
            <a:t> </a:t>
          </a:r>
        </a:p>
      </dsp:txBody>
      <dsp:txXfrm rot="16200000">
        <a:off x="14073" y="525301"/>
        <a:ext cx="1226463" cy="452335"/>
      </dsp:txXfrm>
    </dsp:sp>
    <dsp:sp modelId="{E9758F9E-A455-4BD3-A872-4B69FF712E88}">
      <dsp:nvSpPr>
        <dsp:cNvPr id="0" name=""/>
        <dsp:cNvSpPr/>
      </dsp:nvSpPr>
      <dsp:spPr>
        <a:xfrm>
          <a:off x="1240535" y="511227"/>
          <a:ext cx="4962144" cy="480481"/>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105032" tIns="47461" rIns="105032" bIns="47461" numCol="1" spcCol="1270" anchor="ctr"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Developing accuracy, productivity and understanding of processes</a:t>
          </a:r>
          <a:r>
            <a:rPr lang="en-GB" sz="700" kern="1200"/>
            <a:t>.</a:t>
          </a:r>
        </a:p>
      </dsp:txBody>
      <dsp:txXfrm>
        <a:off x="1240535" y="511227"/>
        <a:ext cx="4962144" cy="480481"/>
      </dsp:txXfrm>
    </dsp:sp>
    <dsp:sp modelId="{3825D14D-6892-4DC7-A56F-76046160E004}">
      <dsp:nvSpPr>
        <dsp:cNvPr id="0" name=""/>
        <dsp:cNvSpPr/>
      </dsp:nvSpPr>
      <dsp:spPr>
        <a:xfrm rot="16200000">
          <a:off x="380027" y="131200"/>
          <a:ext cx="480481" cy="1240536"/>
        </a:xfrm>
        <a:prstGeom prst="round2SameRect">
          <a:avLst>
            <a:gd name="adj1" fmla="val 10000"/>
            <a:gd name="adj2" fmla="val 0"/>
          </a:avLst>
        </a:prstGeom>
        <a:solidFill>
          <a:schemeClr val="accent1">
            <a:shade val="80000"/>
            <a:hueOff val="77943"/>
            <a:satOff val="-8127"/>
            <a:lumOff val="5460"/>
            <a:alphaOff val="0"/>
          </a:schemeClr>
        </a:solidFill>
        <a:ln w="12700" cap="flat" cmpd="sng" algn="ctr">
          <a:solidFill>
            <a:schemeClr val="accent1">
              <a:shade val="80000"/>
              <a:hueOff val="77943"/>
              <a:satOff val="-8127"/>
              <a:lumOff val="546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5645" tIns="47461" rIns="65645" bIns="47461"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Picker</a:t>
          </a:r>
          <a:r>
            <a:rPr lang="en-GB" sz="1100" kern="1200">
              <a:latin typeface="Arial" panose="020B0604020202020204" pitchFamily="34" charset="0"/>
              <a:cs typeface="Arial" panose="020B0604020202020204" pitchFamily="34" charset="0"/>
            </a:rPr>
            <a:t> </a:t>
          </a:r>
        </a:p>
      </dsp:txBody>
      <dsp:txXfrm rot="5400000">
        <a:off x="14073" y="525301"/>
        <a:ext cx="1226463" cy="452335"/>
      </dsp:txXfrm>
    </dsp:sp>
    <dsp:sp modelId="{3F30C196-3C78-4BF1-8FF0-C6116236A5F1}">
      <dsp:nvSpPr>
        <dsp:cNvPr id="0" name=""/>
        <dsp:cNvSpPr/>
      </dsp:nvSpPr>
      <dsp:spPr>
        <a:xfrm rot="5400000">
          <a:off x="3450354" y="-1251307"/>
          <a:ext cx="480481" cy="5024170"/>
        </a:xfrm>
        <a:prstGeom prst="round2SameRect">
          <a:avLst>
            <a:gd name="adj1" fmla="val 15000"/>
            <a:gd name="adj2" fmla="val 0"/>
          </a:avLst>
        </a:prstGeom>
        <a:solidFill>
          <a:schemeClr val="lt1">
            <a:alpha val="90000"/>
            <a:hueOff val="0"/>
            <a:satOff val="0"/>
            <a:lumOff val="0"/>
            <a:alphaOff val="0"/>
          </a:schemeClr>
        </a:solidFill>
        <a:ln w="12700" cap="flat" cmpd="sng" algn="ctr">
          <a:solidFill>
            <a:schemeClr val="accent1">
              <a:shade val="80000"/>
              <a:hueOff val="155885"/>
              <a:satOff val="-16255"/>
              <a:lumOff val="1092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5645" tIns="47461" rIns="65645" bIns="47461" numCol="1" spcCol="1270" anchor="ctr" anchorCtr="0">
          <a:noAutofit/>
        </a:bodyPr>
        <a:lstStyle/>
        <a:p>
          <a:pPr marL="0" lvl="0" indent="0" algn="ctr" defTabSz="488950">
            <a:lnSpc>
              <a:spcPct val="90000"/>
            </a:lnSpc>
            <a:spcBef>
              <a:spcPct val="0"/>
            </a:spcBef>
            <a:spcAft>
              <a:spcPct val="35000"/>
            </a:spcAft>
            <a:buNone/>
          </a:pPr>
          <a:r>
            <a:rPr lang="en-GB" sz="1100" b="1" kern="1200"/>
            <a:t>Loader</a:t>
          </a:r>
        </a:p>
      </dsp:txBody>
      <dsp:txXfrm rot="16200000">
        <a:off x="14073" y="1034611"/>
        <a:ext cx="1226463" cy="452335"/>
      </dsp:txXfrm>
    </dsp:sp>
    <dsp:sp modelId="{8332D8EB-7B5D-4246-BBF7-6DACD356434E}">
      <dsp:nvSpPr>
        <dsp:cNvPr id="0" name=""/>
        <dsp:cNvSpPr/>
      </dsp:nvSpPr>
      <dsp:spPr>
        <a:xfrm>
          <a:off x="1240535" y="1020537"/>
          <a:ext cx="4962144" cy="480481"/>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105032" tIns="47461" rIns="105032" bIns="47461" numCol="1" spcCol="1270" anchor="ctr"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Building experience, responsibility and teamwork skills.</a:t>
          </a:r>
        </a:p>
      </dsp:txBody>
      <dsp:txXfrm>
        <a:off x="1240535" y="1020537"/>
        <a:ext cx="4962144" cy="480481"/>
      </dsp:txXfrm>
    </dsp:sp>
    <dsp:sp modelId="{9AD5A067-58DB-491A-8F47-3140D4EFB665}">
      <dsp:nvSpPr>
        <dsp:cNvPr id="0" name=""/>
        <dsp:cNvSpPr/>
      </dsp:nvSpPr>
      <dsp:spPr>
        <a:xfrm rot="16200000">
          <a:off x="380027" y="640510"/>
          <a:ext cx="480481" cy="1240536"/>
        </a:xfrm>
        <a:prstGeom prst="round2SameRect">
          <a:avLst>
            <a:gd name="adj1" fmla="val 10000"/>
            <a:gd name="adj2" fmla="val 0"/>
          </a:avLst>
        </a:prstGeom>
        <a:solidFill>
          <a:schemeClr val="accent1">
            <a:shade val="80000"/>
            <a:hueOff val="155885"/>
            <a:satOff val="-16255"/>
            <a:lumOff val="10920"/>
            <a:alphaOff val="0"/>
          </a:schemeClr>
        </a:solidFill>
        <a:ln w="12700" cap="flat" cmpd="sng" algn="ctr">
          <a:solidFill>
            <a:schemeClr val="accent1">
              <a:shade val="80000"/>
              <a:hueOff val="155885"/>
              <a:satOff val="-16255"/>
              <a:lumOff val="1092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5645" tIns="47461" rIns="65645" bIns="47461" numCol="1" spcCol="1270" anchor="ctr" anchorCtr="0">
          <a:noAutofit/>
        </a:bodyPr>
        <a:lstStyle/>
        <a:p>
          <a:pPr marL="0" lvl="0" indent="0" algn="ctr" defTabSz="488950">
            <a:lnSpc>
              <a:spcPct val="90000"/>
            </a:lnSpc>
            <a:spcBef>
              <a:spcPct val="0"/>
            </a:spcBef>
            <a:spcAft>
              <a:spcPct val="35000"/>
            </a:spcAft>
            <a:buNone/>
          </a:pPr>
          <a:r>
            <a:rPr lang="en-GB" sz="1100" b="1" kern="1200"/>
            <a:t>Loader</a:t>
          </a:r>
        </a:p>
      </dsp:txBody>
      <dsp:txXfrm rot="5400000">
        <a:off x="14073" y="1034611"/>
        <a:ext cx="1226463" cy="452335"/>
      </dsp:txXfrm>
    </dsp:sp>
    <dsp:sp modelId="{DA6525B4-A2EA-4287-B3DE-F28F3553F3D8}">
      <dsp:nvSpPr>
        <dsp:cNvPr id="0" name=""/>
        <dsp:cNvSpPr/>
      </dsp:nvSpPr>
      <dsp:spPr>
        <a:xfrm rot="5400000">
          <a:off x="3450354" y="-741997"/>
          <a:ext cx="480481" cy="5024170"/>
        </a:xfrm>
        <a:prstGeom prst="round2SameRect">
          <a:avLst>
            <a:gd name="adj1" fmla="val 15000"/>
            <a:gd name="adj2" fmla="val 0"/>
          </a:avLst>
        </a:prstGeom>
        <a:solidFill>
          <a:schemeClr val="lt1">
            <a:alpha val="90000"/>
            <a:hueOff val="0"/>
            <a:satOff val="0"/>
            <a:lumOff val="0"/>
            <a:alphaOff val="0"/>
          </a:schemeClr>
        </a:solidFill>
        <a:ln w="12700" cap="flat" cmpd="sng" algn="ctr">
          <a:solidFill>
            <a:schemeClr val="accent1">
              <a:shade val="80000"/>
              <a:hueOff val="233828"/>
              <a:satOff val="-24382"/>
              <a:lumOff val="1638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5645" tIns="47461" rIns="65645" bIns="47461"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Trainer</a:t>
          </a:r>
          <a:r>
            <a:rPr lang="en-GB" sz="1100" kern="1200">
              <a:latin typeface="Arial" panose="020B0604020202020204" pitchFamily="34" charset="0"/>
              <a:cs typeface="Arial" panose="020B0604020202020204" pitchFamily="34" charset="0"/>
            </a:rPr>
            <a:t> </a:t>
          </a:r>
        </a:p>
      </dsp:txBody>
      <dsp:txXfrm rot="16200000">
        <a:off x="14073" y="1522289"/>
        <a:ext cx="1226463" cy="452335"/>
      </dsp:txXfrm>
    </dsp:sp>
    <dsp:sp modelId="{297BD573-C96B-4D63-AAE4-803F519EB1A1}">
      <dsp:nvSpPr>
        <dsp:cNvPr id="0" name=""/>
        <dsp:cNvSpPr/>
      </dsp:nvSpPr>
      <dsp:spPr>
        <a:xfrm>
          <a:off x="1240535" y="1529847"/>
          <a:ext cx="4962144" cy="480481"/>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105032" tIns="47461" rIns="105032" bIns="47461" numCol="1" spcCol="1270" anchor="ctr"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Supporting and training  new starters sharing knowledge.</a:t>
          </a:r>
        </a:p>
      </dsp:txBody>
      <dsp:txXfrm>
        <a:off x="1240535" y="1529847"/>
        <a:ext cx="4962144" cy="480481"/>
      </dsp:txXfrm>
    </dsp:sp>
    <dsp:sp modelId="{03E81288-76D5-4A52-A83F-A03A896D58E3}">
      <dsp:nvSpPr>
        <dsp:cNvPr id="0" name=""/>
        <dsp:cNvSpPr/>
      </dsp:nvSpPr>
      <dsp:spPr>
        <a:xfrm rot="16200000">
          <a:off x="380027" y="1128188"/>
          <a:ext cx="480481" cy="1240536"/>
        </a:xfrm>
        <a:prstGeom prst="round2SameRect">
          <a:avLst>
            <a:gd name="adj1" fmla="val 10000"/>
            <a:gd name="adj2" fmla="val 0"/>
          </a:avLst>
        </a:prstGeom>
        <a:solidFill>
          <a:schemeClr val="accent1">
            <a:shade val="80000"/>
            <a:hueOff val="233828"/>
            <a:satOff val="-24382"/>
            <a:lumOff val="16380"/>
            <a:alphaOff val="0"/>
          </a:schemeClr>
        </a:solidFill>
        <a:ln w="12700" cap="flat" cmpd="sng" algn="ctr">
          <a:solidFill>
            <a:schemeClr val="accent1">
              <a:shade val="80000"/>
              <a:hueOff val="233828"/>
              <a:satOff val="-24382"/>
              <a:lumOff val="1638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5645" tIns="47461" rIns="65645" bIns="47461"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Trainer</a:t>
          </a:r>
          <a:r>
            <a:rPr lang="en-GB" sz="1100" kern="1200">
              <a:latin typeface="Arial" panose="020B0604020202020204" pitchFamily="34" charset="0"/>
              <a:cs typeface="Arial" panose="020B0604020202020204" pitchFamily="34" charset="0"/>
            </a:rPr>
            <a:t> </a:t>
          </a:r>
        </a:p>
      </dsp:txBody>
      <dsp:txXfrm rot="5400000">
        <a:off x="14073" y="1522289"/>
        <a:ext cx="1226463" cy="452335"/>
      </dsp:txXfrm>
    </dsp:sp>
    <dsp:sp modelId="{A3DEEE67-0437-42E4-8541-866DA4681F3B}">
      <dsp:nvSpPr>
        <dsp:cNvPr id="0" name=""/>
        <dsp:cNvSpPr/>
      </dsp:nvSpPr>
      <dsp:spPr>
        <a:xfrm rot="5400000">
          <a:off x="3450354" y="-232687"/>
          <a:ext cx="480481" cy="5024170"/>
        </a:xfrm>
        <a:prstGeom prst="round2SameRect">
          <a:avLst>
            <a:gd name="adj1" fmla="val 15000"/>
            <a:gd name="adj2" fmla="val 0"/>
          </a:avLst>
        </a:prstGeom>
        <a:solidFill>
          <a:schemeClr val="lt1">
            <a:alpha val="90000"/>
            <a:hueOff val="0"/>
            <a:satOff val="0"/>
            <a:lumOff val="0"/>
            <a:alphaOff val="0"/>
          </a:schemeClr>
        </a:solidFill>
        <a:ln w="12700" cap="flat" cmpd="sng" algn="ctr">
          <a:solidFill>
            <a:schemeClr val="accent1">
              <a:shade val="80000"/>
              <a:hueOff val="311771"/>
              <a:satOff val="-32510"/>
              <a:lumOff val="2184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5645" tIns="47461" rIns="65645" bIns="47461"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Office Administrator</a:t>
          </a:r>
        </a:p>
      </dsp:txBody>
      <dsp:txXfrm rot="16200000">
        <a:off x="14073" y="2053230"/>
        <a:ext cx="1226463" cy="452335"/>
      </dsp:txXfrm>
    </dsp:sp>
    <dsp:sp modelId="{1095BA4A-ADD9-46EA-9911-2B33A1FF2E5A}">
      <dsp:nvSpPr>
        <dsp:cNvPr id="0" name=""/>
        <dsp:cNvSpPr/>
      </dsp:nvSpPr>
      <dsp:spPr>
        <a:xfrm>
          <a:off x="1240535" y="2039157"/>
          <a:ext cx="4962144" cy="480481"/>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105032" tIns="47461" rIns="105032" bIns="47461" numCol="1" spcCol="1270" anchor="ctr"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Moving into administration tasks, systems and documentation.</a:t>
          </a:r>
        </a:p>
      </dsp:txBody>
      <dsp:txXfrm>
        <a:off x="1240535" y="2039157"/>
        <a:ext cx="4962144" cy="480481"/>
      </dsp:txXfrm>
    </dsp:sp>
    <dsp:sp modelId="{17D85F14-ABC6-4B59-BDA2-D6676180B385}">
      <dsp:nvSpPr>
        <dsp:cNvPr id="0" name=""/>
        <dsp:cNvSpPr/>
      </dsp:nvSpPr>
      <dsp:spPr>
        <a:xfrm rot="16200000">
          <a:off x="380027" y="1659129"/>
          <a:ext cx="480481" cy="1240536"/>
        </a:xfrm>
        <a:prstGeom prst="round2SameRect">
          <a:avLst>
            <a:gd name="adj1" fmla="val 10000"/>
            <a:gd name="adj2" fmla="val 0"/>
          </a:avLst>
        </a:prstGeom>
        <a:solidFill>
          <a:schemeClr val="accent1">
            <a:shade val="80000"/>
            <a:hueOff val="311771"/>
            <a:satOff val="-32510"/>
            <a:lumOff val="21841"/>
            <a:alphaOff val="0"/>
          </a:schemeClr>
        </a:solidFill>
        <a:ln w="12700" cap="flat" cmpd="sng" algn="ctr">
          <a:solidFill>
            <a:schemeClr val="accent1">
              <a:shade val="80000"/>
              <a:hueOff val="311771"/>
              <a:satOff val="-32510"/>
              <a:lumOff val="21841"/>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5645" tIns="47461" rIns="65645" bIns="47461"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Office Administrator</a:t>
          </a:r>
        </a:p>
      </dsp:txBody>
      <dsp:txXfrm rot="5400000">
        <a:off x="14073" y="2053230"/>
        <a:ext cx="1226463" cy="452335"/>
      </dsp:txXfrm>
    </dsp:sp>
    <dsp:sp modelId="{06E83025-3D80-451C-BA28-96AFDA5DE67A}">
      <dsp:nvSpPr>
        <dsp:cNvPr id="0" name=""/>
        <dsp:cNvSpPr/>
      </dsp:nvSpPr>
      <dsp:spPr>
        <a:xfrm rot="5400000">
          <a:off x="3450354" y="276622"/>
          <a:ext cx="480481" cy="5024170"/>
        </a:xfrm>
        <a:prstGeom prst="round2SameRect">
          <a:avLst>
            <a:gd name="adj1" fmla="val 15000"/>
            <a:gd name="adj2" fmla="val 0"/>
          </a:avLst>
        </a:prstGeom>
        <a:solidFill>
          <a:schemeClr val="lt1">
            <a:alpha val="90000"/>
            <a:hueOff val="0"/>
            <a:satOff val="0"/>
            <a:lumOff val="0"/>
            <a:alphaOff val="0"/>
          </a:schemeClr>
        </a:solidFill>
        <a:ln w="12700" cap="flat" cmpd="sng" algn="ctr">
          <a:solidFill>
            <a:schemeClr val="accent1">
              <a:shade val="80000"/>
              <a:hueOff val="389713"/>
              <a:satOff val="-40637"/>
              <a:lumOff val="2730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5645" tIns="47461" rIns="65645" bIns="47461"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Internal Recruitment</a:t>
          </a:r>
        </a:p>
      </dsp:txBody>
      <dsp:txXfrm rot="16200000">
        <a:off x="14073" y="2562540"/>
        <a:ext cx="1226463" cy="452335"/>
      </dsp:txXfrm>
    </dsp:sp>
    <dsp:sp modelId="{F912EBF6-4762-47AC-8133-7D67DD8D1254}">
      <dsp:nvSpPr>
        <dsp:cNvPr id="0" name=""/>
        <dsp:cNvSpPr/>
      </dsp:nvSpPr>
      <dsp:spPr>
        <a:xfrm>
          <a:off x="1240535" y="2548467"/>
          <a:ext cx="4962144" cy="480481"/>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105032" tIns="47461" rIns="105032" bIns="47461" numCol="1" spcCol="1270" anchor="ctr"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Applying for internal vacancies and progressing within the business.</a:t>
          </a:r>
        </a:p>
      </dsp:txBody>
      <dsp:txXfrm>
        <a:off x="1240535" y="2548467"/>
        <a:ext cx="4962144" cy="480481"/>
      </dsp:txXfrm>
    </dsp:sp>
    <dsp:sp modelId="{C2192BA5-FCA7-4B05-B2BD-8EC49BAEBD9A}">
      <dsp:nvSpPr>
        <dsp:cNvPr id="0" name=""/>
        <dsp:cNvSpPr/>
      </dsp:nvSpPr>
      <dsp:spPr>
        <a:xfrm rot="16200000">
          <a:off x="380027" y="2168439"/>
          <a:ext cx="480481" cy="1240536"/>
        </a:xfrm>
        <a:prstGeom prst="round2SameRect">
          <a:avLst>
            <a:gd name="adj1" fmla="val 10000"/>
            <a:gd name="adj2" fmla="val 0"/>
          </a:avLst>
        </a:prstGeom>
        <a:solidFill>
          <a:schemeClr val="accent1">
            <a:shade val="80000"/>
            <a:hueOff val="389713"/>
            <a:satOff val="-40637"/>
            <a:lumOff val="27301"/>
            <a:alphaOff val="0"/>
          </a:schemeClr>
        </a:solidFill>
        <a:ln w="12700" cap="flat" cmpd="sng" algn="ctr">
          <a:solidFill>
            <a:schemeClr val="accent1">
              <a:shade val="80000"/>
              <a:hueOff val="389713"/>
              <a:satOff val="-40637"/>
              <a:lumOff val="27301"/>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5645" tIns="47461" rIns="65645" bIns="47461"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Internal Recruitment</a:t>
          </a:r>
        </a:p>
      </dsp:txBody>
      <dsp:txXfrm rot="5400000">
        <a:off x="14073" y="2562540"/>
        <a:ext cx="1226463" cy="452335"/>
      </dsp:txXfrm>
    </dsp:sp>
    <dsp:sp modelId="{4E87370E-000C-411B-BB7B-DEAF1B696818}">
      <dsp:nvSpPr>
        <dsp:cNvPr id="0" name=""/>
        <dsp:cNvSpPr/>
      </dsp:nvSpPr>
      <dsp:spPr>
        <a:xfrm rot="5400000">
          <a:off x="3450354" y="785932"/>
          <a:ext cx="480481" cy="5024170"/>
        </a:xfrm>
        <a:prstGeom prst="round2SameRect">
          <a:avLst>
            <a:gd name="adj1" fmla="val 15000"/>
            <a:gd name="adj2" fmla="val 0"/>
          </a:avLst>
        </a:prstGeom>
        <a:solidFill>
          <a:schemeClr val="lt1">
            <a:alpha val="90000"/>
            <a:hueOff val="0"/>
            <a:satOff val="0"/>
            <a:lumOff val="0"/>
            <a:alphaOff val="0"/>
          </a:schemeClr>
        </a:solidFill>
        <a:ln w="12700" cap="flat" cmpd="sng" algn="ctr">
          <a:solidFill>
            <a:schemeClr val="accent1">
              <a:shade val="80000"/>
              <a:hueOff val="467656"/>
              <a:satOff val="-48765"/>
              <a:lumOff val="3276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5645" tIns="47461" rIns="65645" bIns="47461"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Dispatch/Health and Safety</a:t>
          </a:r>
        </a:p>
      </dsp:txBody>
      <dsp:txXfrm rot="16200000">
        <a:off x="14073" y="3071850"/>
        <a:ext cx="1226463" cy="452335"/>
      </dsp:txXfrm>
    </dsp:sp>
    <dsp:sp modelId="{8EF3C70E-1C0F-4507-8217-86333D2AEDFE}">
      <dsp:nvSpPr>
        <dsp:cNvPr id="0" name=""/>
        <dsp:cNvSpPr/>
      </dsp:nvSpPr>
      <dsp:spPr>
        <a:xfrm>
          <a:off x="1240535" y="3057777"/>
          <a:ext cx="4962144" cy="480481"/>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105032" tIns="47461" rIns="105032" bIns="47461" numCol="1" spcCol="1270" anchor="ctr"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Specialist roles with greater responsibility and decision making.</a:t>
          </a:r>
        </a:p>
      </dsp:txBody>
      <dsp:txXfrm>
        <a:off x="1240535" y="3057777"/>
        <a:ext cx="4962144" cy="480481"/>
      </dsp:txXfrm>
    </dsp:sp>
    <dsp:sp modelId="{9417FC08-8DE4-4BA0-A71C-AF5FFA19CA4B}">
      <dsp:nvSpPr>
        <dsp:cNvPr id="0" name=""/>
        <dsp:cNvSpPr/>
      </dsp:nvSpPr>
      <dsp:spPr>
        <a:xfrm rot="16200000">
          <a:off x="380027" y="2677749"/>
          <a:ext cx="480481" cy="1240536"/>
        </a:xfrm>
        <a:prstGeom prst="round2SameRect">
          <a:avLst>
            <a:gd name="adj1" fmla="val 10000"/>
            <a:gd name="adj2" fmla="val 0"/>
          </a:avLst>
        </a:prstGeom>
        <a:solidFill>
          <a:schemeClr val="accent1">
            <a:shade val="80000"/>
            <a:hueOff val="467656"/>
            <a:satOff val="-48765"/>
            <a:lumOff val="32761"/>
            <a:alphaOff val="0"/>
          </a:schemeClr>
        </a:solidFill>
        <a:ln w="12700" cap="flat" cmpd="sng" algn="ctr">
          <a:solidFill>
            <a:schemeClr val="accent1">
              <a:shade val="80000"/>
              <a:hueOff val="467656"/>
              <a:satOff val="-48765"/>
              <a:lumOff val="32761"/>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5645" tIns="47461" rIns="65645" bIns="47461"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Dispatch/Health and Safety</a:t>
          </a:r>
        </a:p>
      </dsp:txBody>
      <dsp:txXfrm rot="5400000">
        <a:off x="14073" y="3071850"/>
        <a:ext cx="1226463" cy="452335"/>
      </dsp:txXfrm>
    </dsp:sp>
    <dsp:sp modelId="{9D5DF07D-DE7C-42AF-90AF-97A7EB0260F9}">
      <dsp:nvSpPr>
        <dsp:cNvPr id="0" name=""/>
        <dsp:cNvSpPr/>
      </dsp:nvSpPr>
      <dsp:spPr>
        <a:xfrm rot="5400000">
          <a:off x="3450354" y="1295242"/>
          <a:ext cx="480481" cy="5024170"/>
        </a:xfrm>
        <a:prstGeom prst="round2SameRect">
          <a:avLst>
            <a:gd name="adj1" fmla="val 15000"/>
            <a:gd name="adj2" fmla="val 0"/>
          </a:avLst>
        </a:prstGeom>
        <a:solidFill>
          <a:schemeClr val="lt1">
            <a:alpha val="90000"/>
            <a:hueOff val="0"/>
            <a:satOff val="0"/>
            <a:lumOff val="0"/>
            <a:alphaOff val="0"/>
          </a:schemeClr>
        </a:solidFill>
        <a:ln w="12700" cap="flat" cmpd="sng" algn="ctr">
          <a:solidFill>
            <a:schemeClr val="accent1">
              <a:shade val="80000"/>
              <a:hueOff val="545598"/>
              <a:satOff val="-56892"/>
              <a:lumOff val="3822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5645" tIns="47461" rIns="65645" bIns="47461" numCol="1" spcCol="1270" anchor="ctr" anchorCtr="0">
          <a:noAutofit/>
        </a:bodyPr>
        <a:lstStyle/>
        <a:p>
          <a:pPr marL="0" lvl="0" indent="0" algn="ctr" defTabSz="422275">
            <a:lnSpc>
              <a:spcPct val="90000"/>
            </a:lnSpc>
            <a:spcBef>
              <a:spcPct val="0"/>
            </a:spcBef>
            <a:spcAft>
              <a:spcPct val="35000"/>
            </a:spcAft>
            <a:buNone/>
          </a:pPr>
          <a:r>
            <a:rPr lang="en-GB" sz="950" b="1" kern="1200">
              <a:latin typeface="Arial" panose="020B0604020202020204" pitchFamily="34" charset="0"/>
              <a:cs typeface="Arial" panose="020B0604020202020204" pitchFamily="34" charset="0"/>
            </a:rPr>
            <a:t>Future Leadership Opportunities </a:t>
          </a:r>
          <a:r>
            <a:rPr lang="en-GB" sz="1000" kern="1200">
              <a:latin typeface="Arial" panose="020B0604020202020204" pitchFamily="34" charset="0"/>
              <a:cs typeface="Arial" panose="020B0604020202020204" pitchFamily="34" charset="0"/>
            </a:rPr>
            <a:t>(GXO University</a:t>
          </a:r>
          <a:r>
            <a:rPr lang="en-GB" sz="1100" kern="1200">
              <a:latin typeface="Arial" panose="020B0604020202020204" pitchFamily="34" charset="0"/>
              <a:cs typeface="Arial" panose="020B0604020202020204" pitchFamily="34" charset="0"/>
            </a:rPr>
            <a:t>)</a:t>
          </a:r>
        </a:p>
      </dsp:txBody>
      <dsp:txXfrm rot="16200000">
        <a:off x="14073" y="3581160"/>
        <a:ext cx="1226463" cy="452335"/>
      </dsp:txXfrm>
    </dsp:sp>
    <dsp:sp modelId="{70ED118B-7CB6-4A36-8FD1-6723FF0314E0}">
      <dsp:nvSpPr>
        <dsp:cNvPr id="0" name=""/>
        <dsp:cNvSpPr/>
      </dsp:nvSpPr>
      <dsp:spPr>
        <a:xfrm>
          <a:off x="1240535" y="3567087"/>
          <a:ext cx="4962144" cy="480481"/>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105032" tIns="47461" rIns="105032" bIns="47461" numCol="1" spcCol="1270" anchor="ctr"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Leadership programmes and career development for future managers.</a:t>
          </a:r>
        </a:p>
      </dsp:txBody>
      <dsp:txXfrm>
        <a:off x="1240535" y="3567087"/>
        <a:ext cx="4962144" cy="480481"/>
      </dsp:txXfrm>
    </dsp:sp>
    <dsp:sp modelId="{E922AEF8-AF97-4D24-9E08-26A23AF5C4DB}">
      <dsp:nvSpPr>
        <dsp:cNvPr id="0" name=""/>
        <dsp:cNvSpPr/>
      </dsp:nvSpPr>
      <dsp:spPr>
        <a:xfrm rot="16200000">
          <a:off x="380027" y="3187059"/>
          <a:ext cx="480481" cy="1240536"/>
        </a:xfrm>
        <a:prstGeom prst="round2SameRect">
          <a:avLst>
            <a:gd name="adj1" fmla="val 10000"/>
            <a:gd name="adj2" fmla="val 0"/>
          </a:avLst>
        </a:prstGeom>
        <a:solidFill>
          <a:schemeClr val="accent1">
            <a:shade val="80000"/>
            <a:hueOff val="545598"/>
            <a:satOff val="-56892"/>
            <a:lumOff val="38221"/>
            <a:alphaOff val="0"/>
          </a:schemeClr>
        </a:solidFill>
        <a:ln w="12700" cap="flat" cmpd="sng" algn="ctr">
          <a:solidFill>
            <a:schemeClr val="accent1">
              <a:shade val="80000"/>
              <a:hueOff val="545598"/>
              <a:satOff val="-56892"/>
              <a:lumOff val="38221"/>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5645" tIns="47461" rIns="65645" bIns="47461" numCol="1" spcCol="1270" anchor="ctr" anchorCtr="0">
          <a:noAutofit/>
        </a:bodyPr>
        <a:lstStyle/>
        <a:p>
          <a:pPr marL="0" lvl="0" indent="0" algn="ctr" defTabSz="422275">
            <a:lnSpc>
              <a:spcPct val="90000"/>
            </a:lnSpc>
            <a:spcBef>
              <a:spcPct val="0"/>
            </a:spcBef>
            <a:spcAft>
              <a:spcPct val="35000"/>
            </a:spcAft>
            <a:buNone/>
          </a:pPr>
          <a:r>
            <a:rPr lang="en-GB" sz="950" b="1" kern="1200">
              <a:latin typeface="Arial" panose="020B0604020202020204" pitchFamily="34" charset="0"/>
              <a:cs typeface="Arial" panose="020B0604020202020204" pitchFamily="34" charset="0"/>
            </a:rPr>
            <a:t>Future Leadership Opportunities </a:t>
          </a:r>
          <a:r>
            <a:rPr lang="en-GB" sz="1000" kern="1200">
              <a:latin typeface="Arial" panose="020B0604020202020204" pitchFamily="34" charset="0"/>
              <a:cs typeface="Arial" panose="020B0604020202020204" pitchFamily="34" charset="0"/>
            </a:rPr>
            <a:t>(GXO University</a:t>
          </a:r>
          <a:r>
            <a:rPr lang="en-GB" sz="1100" kern="1200">
              <a:latin typeface="Arial" panose="020B0604020202020204" pitchFamily="34" charset="0"/>
              <a:cs typeface="Arial" panose="020B0604020202020204" pitchFamily="34" charset="0"/>
            </a:rPr>
            <a:t>)</a:t>
          </a:r>
        </a:p>
      </dsp:txBody>
      <dsp:txXfrm rot="5400000">
        <a:off x="14073" y="3581160"/>
        <a:ext cx="1226463" cy="45233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8E1B18-7C1C-4CE3-8B06-F223428F560D}">
      <dsp:nvSpPr>
        <dsp:cNvPr id="0" name=""/>
        <dsp:cNvSpPr/>
      </dsp:nvSpPr>
      <dsp:spPr>
        <a:xfrm rot="5400000">
          <a:off x="3074540" y="-2030608"/>
          <a:ext cx="379734" cy="4443984"/>
        </a:xfrm>
        <a:prstGeom prst="round2SameRect">
          <a:avLst>
            <a:gd name="adj1" fmla="val 15000"/>
            <a:gd name="adj2" fmla="val 0"/>
          </a:avLst>
        </a:prstGeom>
        <a:solidFill>
          <a:schemeClr val="lt1">
            <a:alpha val="90000"/>
            <a:hueOff val="0"/>
            <a:satOff val="0"/>
            <a:lumOff val="0"/>
            <a:alphaOff val="0"/>
          </a:schemeClr>
        </a:solidFill>
        <a:ln w="12700" cap="flat" cmpd="sng" algn="ctr">
          <a:solidFill>
            <a:schemeClr val="accent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064" tIns="37509" rIns="58064" bIns="37509" numCol="1" spcCol="1270" anchor="ctr" anchorCtr="0">
          <a:noAutofit/>
        </a:bodyPr>
        <a:lstStyle/>
        <a:p>
          <a:pPr marL="0" lvl="0" indent="0" algn="l" defTabSz="466725">
            <a:lnSpc>
              <a:spcPct val="90000"/>
            </a:lnSpc>
            <a:spcBef>
              <a:spcPct val="0"/>
            </a:spcBef>
            <a:spcAft>
              <a:spcPct val="35000"/>
            </a:spcAft>
            <a:buNone/>
          </a:pPr>
          <a:r>
            <a:rPr lang="en-GB" sz="1050" kern="1200">
              <a:latin typeface="Arial" panose="020B0604020202020204" pitchFamily="34" charset="0"/>
              <a:cs typeface="Arial" panose="020B0604020202020204" pitchFamily="34" charset="0"/>
            </a:rPr>
            <a:t>Create Urgency</a:t>
          </a:r>
        </a:p>
      </dsp:txBody>
      <dsp:txXfrm rot="16200000">
        <a:off x="11121" y="12639"/>
        <a:ext cx="1086158" cy="357490"/>
      </dsp:txXfrm>
    </dsp:sp>
    <dsp:sp modelId="{4D0D9402-AF11-4AA7-8CC2-32F0842E55B5}">
      <dsp:nvSpPr>
        <dsp:cNvPr id="0" name=""/>
        <dsp:cNvSpPr/>
      </dsp:nvSpPr>
      <dsp:spPr>
        <a:xfrm>
          <a:off x="1097279" y="1515"/>
          <a:ext cx="4389120" cy="379734"/>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92903" tIns="37509" rIns="92903" bIns="37509" numCol="1" spcCol="1270" anchor="ctr"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Help employees understand why change is necessary</a:t>
          </a:r>
          <a:r>
            <a:rPr lang="en-GB" sz="1000" kern="1200">
              <a:latin typeface="Arial" panose="020B0604020202020204" pitchFamily="34" charset="0"/>
              <a:cs typeface="Arial" panose="020B0604020202020204" pitchFamily="34" charset="0"/>
            </a:rPr>
            <a:t>.</a:t>
          </a:r>
        </a:p>
      </dsp:txBody>
      <dsp:txXfrm>
        <a:off x="1097279" y="1515"/>
        <a:ext cx="4389120" cy="379734"/>
      </dsp:txXfrm>
    </dsp:sp>
    <dsp:sp modelId="{52998609-CA0E-4B2F-8AF8-0839C2C2069E}">
      <dsp:nvSpPr>
        <dsp:cNvPr id="0" name=""/>
        <dsp:cNvSpPr/>
      </dsp:nvSpPr>
      <dsp:spPr>
        <a:xfrm rot="16200000">
          <a:off x="358772" y="-357256"/>
          <a:ext cx="379734" cy="1097280"/>
        </a:xfrm>
        <a:prstGeom prst="round2SameRect">
          <a:avLst>
            <a:gd name="adj1" fmla="val 10000"/>
            <a:gd name="adj2" fmla="val 0"/>
          </a:avLst>
        </a:prstGeom>
        <a:solidFill>
          <a:schemeClr val="accent1">
            <a:alpha val="90000"/>
            <a:hueOff val="0"/>
            <a:satOff val="0"/>
            <a:lumOff val="0"/>
            <a:alphaOff val="0"/>
          </a:schemeClr>
        </a:solidFill>
        <a:ln w="12700" cap="flat" cmpd="sng" algn="ctr">
          <a:solidFill>
            <a:schemeClr val="accent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8064" tIns="37509" rIns="58064" bIns="37509" numCol="1" spcCol="1270" anchor="ctr" anchorCtr="0">
          <a:noAutofit/>
        </a:bodyPr>
        <a:lstStyle/>
        <a:p>
          <a:pPr marL="0" lvl="0" indent="0" algn="l" defTabSz="466725">
            <a:lnSpc>
              <a:spcPct val="90000"/>
            </a:lnSpc>
            <a:spcBef>
              <a:spcPct val="0"/>
            </a:spcBef>
            <a:spcAft>
              <a:spcPct val="35000"/>
            </a:spcAft>
            <a:buNone/>
          </a:pPr>
          <a:r>
            <a:rPr lang="en-GB" sz="1050" kern="1200">
              <a:latin typeface="Arial" panose="020B0604020202020204" pitchFamily="34" charset="0"/>
              <a:cs typeface="Arial" panose="020B0604020202020204" pitchFamily="34" charset="0"/>
            </a:rPr>
            <a:t>Create Urgency</a:t>
          </a:r>
        </a:p>
      </dsp:txBody>
      <dsp:txXfrm rot="5400000">
        <a:off x="11121" y="12639"/>
        <a:ext cx="1086158" cy="357490"/>
      </dsp:txXfrm>
    </dsp:sp>
    <dsp:sp modelId="{D46AFC12-0665-4AF9-9EC2-8FF30650E971}">
      <dsp:nvSpPr>
        <dsp:cNvPr id="0" name=""/>
        <dsp:cNvSpPr/>
      </dsp:nvSpPr>
      <dsp:spPr>
        <a:xfrm rot="5400000">
          <a:off x="3074540" y="-1628089"/>
          <a:ext cx="379734" cy="4443984"/>
        </a:xfrm>
        <a:prstGeom prst="round2SameRect">
          <a:avLst>
            <a:gd name="adj1" fmla="val 15000"/>
            <a:gd name="adj2" fmla="val 0"/>
          </a:avLst>
        </a:prstGeom>
        <a:solidFill>
          <a:schemeClr val="lt1">
            <a:alpha val="90000"/>
            <a:hueOff val="0"/>
            <a:satOff val="0"/>
            <a:lumOff val="0"/>
            <a:alphaOff val="0"/>
          </a:schemeClr>
        </a:solidFill>
        <a:ln w="12700" cap="flat" cmpd="sng" algn="ctr">
          <a:solidFill>
            <a:schemeClr val="accent1">
              <a:alpha val="90000"/>
              <a:hueOff val="0"/>
              <a:satOff val="0"/>
              <a:lumOff val="0"/>
              <a:alphaOff val="-5714"/>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064" tIns="37509" rIns="58064" bIns="37509" numCol="1" spcCol="1270" anchor="ctr" anchorCtr="0">
          <a:noAutofit/>
        </a:bodyPr>
        <a:lstStyle/>
        <a:p>
          <a:pPr marL="0" lvl="0" indent="0" algn="l" defTabSz="444500">
            <a:lnSpc>
              <a:spcPct val="90000"/>
            </a:lnSpc>
            <a:spcBef>
              <a:spcPct val="0"/>
            </a:spcBef>
            <a:spcAft>
              <a:spcPct val="35000"/>
            </a:spcAft>
            <a:buNone/>
          </a:pPr>
          <a:r>
            <a:rPr lang="en-GB" sz="1000" kern="1200"/>
            <a:t>Build a Guiding Team</a:t>
          </a:r>
        </a:p>
      </dsp:txBody>
      <dsp:txXfrm rot="16200000">
        <a:off x="11121" y="443732"/>
        <a:ext cx="1086158" cy="357490"/>
      </dsp:txXfrm>
    </dsp:sp>
    <dsp:sp modelId="{9FC8820E-6935-4619-85AF-FC0968015F09}">
      <dsp:nvSpPr>
        <dsp:cNvPr id="0" name=""/>
        <dsp:cNvSpPr/>
      </dsp:nvSpPr>
      <dsp:spPr>
        <a:xfrm>
          <a:off x="1097279" y="404034"/>
          <a:ext cx="4389120" cy="379734"/>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92903" tIns="37509" rIns="92903" bIns="37509" numCol="1" spcCol="1270" anchor="ctr"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From the team with the right skills and influence to lead the change.</a:t>
          </a:r>
        </a:p>
      </dsp:txBody>
      <dsp:txXfrm>
        <a:off x="1097279" y="404034"/>
        <a:ext cx="4389120" cy="379734"/>
      </dsp:txXfrm>
    </dsp:sp>
    <dsp:sp modelId="{C846C9DE-45E1-45E8-BEA8-CA60EFB6C325}">
      <dsp:nvSpPr>
        <dsp:cNvPr id="0" name=""/>
        <dsp:cNvSpPr/>
      </dsp:nvSpPr>
      <dsp:spPr>
        <a:xfrm rot="16200000">
          <a:off x="358772" y="73837"/>
          <a:ext cx="379734" cy="1097280"/>
        </a:xfrm>
        <a:prstGeom prst="round2SameRect">
          <a:avLst>
            <a:gd name="adj1" fmla="val 10000"/>
            <a:gd name="adj2" fmla="val 0"/>
          </a:avLst>
        </a:prstGeom>
        <a:solidFill>
          <a:schemeClr val="accent1">
            <a:alpha val="90000"/>
            <a:hueOff val="0"/>
            <a:satOff val="0"/>
            <a:lumOff val="0"/>
            <a:alphaOff val="-5714"/>
          </a:schemeClr>
        </a:solidFill>
        <a:ln w="12700" cap="flat" cmpd="sng" algn="ctr">
          <a:solidFill>
            <a:schemeClr val="accent1">
              <a:alpha val="90000"/>
              <a:hueOff val="0"/>
              <a:satOff val="0"/>
              <a:lumOff val="0"/>
              <a:alphaOff val="-5714"/>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8064" tIns="37509" rIns="58064" bIns="37509" numCol="1" spcCol="1270" anchor="ctr" anchorCtr="0">
          <a:noAutofit/>
        </a:bodyPr>
        <a:lstStyle/>
        <a:p>
          <a:pPr marL="0" lvl="0" indent="0" algn="l" defTabSz="444500">
            <a:lnSpc>
              <a:spcPct val="90000"/>
            </a:lnSpc>
            <a:spcBef>
              <a:spcPct val="0"/>
            </a:spcBef>
            <a:spcAft>
              <a:spcPct val="35000"/>
            </a:spcAft>
            <a:buNone/>
          </a:pPr>
          <a:r>
            <a:rPr lang="en-GB" sz="1000" kern="1200"/>
            <a:t>Build a Guiding Team</a:t>
          </a:r>
        </a:p>
      </dsp:txBody>
      <dsp:txXfrm rot="5400000">
        <a:off x="11121" y="443732"/>
        <a:ext cx="1086158" cy="357490"/>
      </dsp:txXfrm>
    </dsp:sp>
    <dsp:sp modelId="{B537BD63-D21A-452E-A731-9521D2BD43E4}">
      <dsp:nvSpPr>
        <dsp:cNvPr id="0" name=""/>
        <dsp:cNvSpPr/>
      </dsp:nvSpPr>
      <dsp:spPr>
        <a:xfrm rot="5400000">
          <a:off x="3074540" y="-1225570"/>
          <a:ext cx="379734" cy="4443984"/>
        </a:xfrm>
        <a:prstGeom prst="round2SameRect">
          <a:avLst>
            <a:gd name="adj1" fmla="val 15000"/>
            <a:gd name="adj2" fmla="val 0"/>
          </a:avLst>
        </a:prstGeom>
        <a:solidFill>
          <a:schemeClr val="lt1">
            <a:alpha val="90000"/>
            <a:hueOff val="0"/>
            <a:satOff val="0"/>
            <a:lumOff val="0"/>
            <a:alphaOff val="0"/>
          </a:schemeClr>
        </a:solidFill>
        <a:ln w="12700" cap="flat" cmpd="sng" algn="ctr">
          <a:solidFill>
            <a:schemeClr val="accent1">
              <a:alpha val="90000"/>
              <a:hueOff val="0"/>
              <a:satOff val="0"/>
              <a:lumOff val="0"/>
              <a:alphaOff val="-11429"/>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064" tIns="37509" rIns="58064" bIns="37509" numCol="1" spcCol="1270" anchor="ctr" anchorCtr="0">
          <a:noAutofit/>
        </a:bodyPr>
        <a:lstStyle/>
        <a:p>
          <a:pPr marL="0" lvl="0" indent="0" algn="l" defTabSz="444500">
            <a:lnSpc>
              <a:spcPct val="90000"/>
            </a:lnSpc>
            <a:spcBef>
              <a:spcPct val="0"/>
            </a:spcBef>
            <a:spcAft>
              <a:spcPct val="35000"/>
            </a:spcAft>
            <a:buNone/>
          </a:pPr>
          <a:r>
            <a:rPr lang="en-GB" sz="1000" kern="1200"/>
            <a:t>Create a Vision</a:t>
          </a:r>
        </a:p>
      </dsp:txBody>
      <dsp:txXfrm rot="16200000">
        <a:off x="11121" y="817676"/>
        <a:ext cx="1086158" cy="357490"/>
      </dsp:txXfrm>
    </dsp:sp>
    <dsp:sp modelId="{6CAFB813-22E5-419B-B6DE-2F7317BA0716}">
      <dsp:nvSpPr>
        <dsp:cNvPr id="0" name=""/>
        <dsp:cNvSpPr/>
      </dsp:nvSpPr>
      <dsp:spPr>
        <a:xfrm>
          <a:off x="1097279" y="806553"/>
          <a:ext cx="4389120" cy="379734"/>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92903" tIns="37509" rIns="92903" bIns="37509" numCol="1" spcCol="1270" anchor="ctr"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Develop a crear vision to direct the change initiative</a:t>
          </a:r>
          <a:r>
            <a:rPr lang="en-GB" sz="800" kern="1200"/>
            <a:t>.</a:t>
          </a:r>
        </a:p>
      </dsp:txBody>
      <dsp:txXfrm>
        <a:off x="1097279" y="806553"/>
        <a:ext cx="4389120" cy="379734"/>
      </dsp:txXfrm>
    </dsp:sp>
    <dsp:sp modelId="{24828F5D-9DFC-4FF5-A3A6-7A93B522D5BE}">
      <dsp:nvSpPr>
        <dsp:cNvPr id="0" name=""/>
        <dsp:cNvSpPr/>
      </dsp:nvSpPr>
      <dsp:spPr>
        <a:xfrm rot="16200000">
          <a:off x="358772" y="447781"/>
          <a:ext cx="379734" cy="1097280"/>
        </a:xfrm>
        <a:prstGeom prst="round2SameRect">
          <a:avLst>
            <a:gd name="adj1" fmla="val 10000"/>
            <a:gd name="adj2" fmla="val 0"/>
          </a:avLst>
        </a:prstGeom>
        <a:solidFill>
          <a:schemeClr val="accent1">
            <a:alpha val="90000"/>
            <a:hueOff val="0"/>
            <a:satOff val="0"/>
            <a:lumOff val="0"/>
            <a:alphaOff val="-11429"/>
          </a:schemeClr>
        </a:solidFill>
        <a:ln w="12700" cap="flat" cmpd="sng" algn="ctr">
          <a:solidFill>
            <a:schemeClr val="accent1">
              <a:alpha val="90000"/>
              <a:hueOff val="0"/>
              <a:satOff val="0"/>
              <a:lumOff val="0"/>
              <a:alphaOff val="-11429"/>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8064" tIns="37509" rIns="58064" bIns="37509" numCol="1" spcCol="1270" anchor="ctr" anchorCtr="0">
          <a:noAutofit/>
        </a:bodyPr>
        <a:lstStyle/>
        <a:p>
          <a:pPr marL="0" lvl="0" indent="0" algn="l" defTabSz="444500">
            <a:lnSpc>
              <a:spcPct val="90000"/>
            </a:lnSpc>
            <a:spcBef>
              <a:spcPct val="0"/>
            </a:spcBef>
            <a:spcAft>
              <a:spcPct val="35000"/>
            </a:spcAft>
            <a:buNone/>
          </a:pPr>
          <a:r>
            <a:rPr lang="en-GB" sz="1000" kern="1200"/>
            <a:t>Create a Vision</a:t>
          </a:r>
        </a:p>
      </dsp:txBody>
      <dsp:txXfrm rot="5400000">
        <a:off x="11121" y="817676"/>
        <a:ext cx="1086158" cy="357490"/>
      </dsp:txXfrm>
    </dsp:sp>
    <dsp:sp modelId="{9758794D-D009-422E-9F96-03FA2C57E5FF}">
      <dsp:nvSpPr>
        <dsp:cNvPr id="0" name=""/>
        <dsp:cNvSpPr/>
      </dsp:nvSpPr>
      <dsp:spPr>
        <a:xfrm rot="5400000">
          <a:off x="3074540" y="-823051"/>
          <a:ext cx="379734" cy="4443984"/>
        </a:xfrm>
        <a:prstGeom prst="round2SameRect">
          <a:avLst>
            <a:gd name="adj1" fmla="val 15000"/>
            <a:gd name="adj2" fmla="val 0"/>
          </a:avLst>
        </a:prstGeom>
        <a:solidFill>
          <a:schemeClr val="lt1">
            <a:alpha val="90000"/>
            <a:hueOff val="0"/>
            <a:satOff val="0"/>
            <a:lumOff val="0"/>
            <a:alphaOff val="0"/>
          </a:schemeClr>
        </a:solidFill>
        <a:ln w="12700" cap="flat" cmpd="sng" algn="ctr">
          <a:solidFill>
            <a:schemeClr val="accent1">
              <a:alpha val="90000"/>
              <a:hueOff val="0"/>
              <a:satOff val="0"/>
              <a:lumOff val="0"/>
              <a:alphaOff val="-17143"/>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064" tIns="37509" rIns="58064" bIns="37509" numCol="1" spcCol="1270" anchor="ctr" anchorCtr="0">
          <a:noAutofit/>
        </a:bodyPr>
        <a:lstStyle/>
        <a:p>
          <a:pPr marL="0" lvl="0" indent="0" algn="l" defTabSz="444500">
            <a:lnSpc>
              <a:spcPct val="90000"/>
            </a:lnSpc>
            <a:spcBef>
              <a:spcPct val="0"/>
            </a:spcBef>
            <a:spcAft>
              <a:spcPct val="35000"/>
            </a:spcAft>
            <a:buNone/>
          </a:pPr>
          <a:r>
            <a:rPr lang="en-GB" sz="1000" kern="1200"/>
            <a:t>Communicate the Vision</a:t>
          </a:r>
        </a:p>
      </dsp:txBody>
      <dsp:txXfrm rot="16200000">
        <a:off x="11121" y="1220195"/>
        <a:ext cx="1086158" cy="357490"/>
      </dsp:txXfrm>
    </dsp:sp>
    <dsp:sp modelId="{598D1E7C-A5B9-490C-AD8B-B12715A8F38E}">
      <dsp:nvSpPr>
        <dsp:cNvPr id="0" name=""/>
        <dsp:cNvSpPr/>
      </dsp:nvSpPr>
      <dsp:spPr>
        <a:xfrm>
          <a:off x="1097279" y="1209072"/>
          <a:ext cx="4389120" cy="379734"/>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92903" tIns="37509" rIns="92903" bIns="37509" numCol="1" spcCol="1270" anchor="ctr"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Communicate the vision consistently across the organisation.</a:t>
          </a:r>
        </a:p>
      </dsp:txBody>
      <dsp:txXfrm>
        <a:off x="1097279" y="1209072"/>
        <a:ext cx="4389120" cy="379734"/>
      </dsp:txXfrm>
    </dsp:sp>
    <dsp:sp modelId="{014AF648-0B0B-4383-97FE-9D2E2757CBD5}">
      <dsp:nvSpPr>
        <dsp:cNvPr id="0" name=""/>
        <dsp:cNvSpPr/>
      </dsp:nvSpPr>
      <dsp:spPr>
        <a:xfrm rot="16200000">
          <a:off x="358772" y="850300"/>
          <a:ext cx="379734" cy="1097280"/>
        </a:xfrm>
        <a:prstGeom prst="round2SameRect">
          <a:avLst>
            <a:gd name="adj1" fmla="val 10000"/>
            <a:gd name="adj2" fmla="val 0"/>
          </a:avLst>
        </a:prstGeom>
        <a:solidFill>
          <a:schemeClr val="accent1">
            <a:alpha val="90000"/>
            <a:hueOff val="0"/>
            <a:satOff val="0"/>
            <a:lumOff val="0"/>
            <a:alphaOff val="-17143"/>
          </a:schemeClr>
        </a:solidFill>
        <a:ln w="12700" cap="flat" cmpd="sng" algn="ctr">
          <a:solidFill>
            <a:schemeClr val="accent1">
              <a:alpha val="90000"/>
              <a:hueOff val="0"/>
              <a:satOff val="0"/>
              <a:lumOff val="0"/>
              <a:alphaOff val="-17143"/>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8064" tIns="37509" rIns="58064" bIns="37509" numCol="1" spcCol="1270" anchor="ctr" anchorCtr="0">
          <a:noAutofit/>
        </a:bodyPr>
        <a:lstStyle/>
        <a:p>
          <a:pPr marL="0" lvl="0" indent="0" algn="l" defTabSz="444500">
            <a:lnSpc>
              <a:spcPct val="90000"/>
            </a:lnSpc>
            <a:spcBef>
              <a:spcPct val="0"/>
            </a:spcBef>
            <a:spcAft>
              <a:spcPct val="35000"/>
            </a:spcAft>
            <a:buNone/>
          </a:pPr>
          <a:r>
            <a:rPr lang="en-GB" sz="1000" kern="1200"/>
            <a:t>Communicate the Vision</a:t>
          </a:r>
        </a:p>
      </dsp:txBody>
      <dsp:txXfrm rot="5400000">
        <a:off x="11121" y="1220195"/>
        <a:ext cx="1086158" cy="357490"/>
      </dsp:txXfrm>
    </dsp:sp>
    <dsp:sp modelId="{FDC05099-189F-41DB-A8E0-DEB576799326}">
      <dsp:nvSpPr>
        <dsp:cNvPr id="0" name=""/>
        <dsp:cNvSpPr/>
      </dsp:nvSpPr>
      <dsp:spPr>
        <a:xfrm rot="5400000">
          <a:off x="3074540" y="-420532"/>
          <a:ext cx="379734" cy="4443984"/>
        </a:xfrm>
        <a:prstGeom prst="round2SameRect">
          <a:avLst>
            <a:gd name="adj1" fmla="val 15000"/>
            <a:gd name="adj2" fmla="val 0"/>
          </a:avLst>
        </a:prstGeom>
        <a:solidFill>
          <a:schemeClr val="lt1">
            <a:alpha val="90000"/>
            <a:hueOff val="0"/>
            <a:satOff val="0"/>
            <a:lumOff val="0"/>
            <a:alphaOff val="0"/>
          </a:schemeClr>
        </a:solidFill>
        <a:ln w="12700" cap="flat" cmpd="sng" algn="ctr">
          <a:solidFill>
            <a:schemeClr val="accent1">
              <a:alpha val="90000"/>
              <a:hueOff val="0"/>
              <a:satOff val="0"/>
              <a:lumOff val="0"/>
              <a:alphaOff val="-22857"/>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064" tIns="37509" rIns="58064" bIns="37509" numCol="1" spcCol="1270" anchor="ctr" anchorCtr="0">
          <a:noAutofit/>
        </a:bodyPr>
        <a:lstStyle/>
        <a:p>
          <a:pPr marL="0" lvl="0" indent="0" algn="l" defTabSz="444500">
            <a:lnSpc>
              <a:spcPct val="90000"/>
            </a:lnSpc>
            <a:spcBef>
              <a:spcPct val="0"/>
            </a:spcBef>
            <a:spcAft>
              <a:spcPct val="35000"/>
            </a:spcAft>
            <a:buNone/>
          </a:pPr>
          <a:r>
            <a:rPr lang="en-GB" sz="1000" kern="1200"/>
            <a:t>Remove Barriers</a:t>
          </a:r>
        </a:p>
      </dsp:txBody>
      <dsp:txXfrm rot="16200000">
        <a:off x="11121" y="1622714"/>
        <a:ext cx="1086158" cy="357490"/>
      </dsp:txXfrm>
    </dsp:sp>
    <dsp:sp modelId="{0F125CF3-7CCF-4766-BE7F-C2FF477F5CBD}">
      <dsp:nvSpPr>
        <dsp:cNvPr id="0" name=""/>
        <dsp:cNvSpPr/>
      </dsp:nvSpPr>
      <dsp:spPr>
        <a:xfrm>
          <a:off x="1097279" y="1611592"/>
          <a:ext cx="4389120" cy="379734"/>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92903" tIns="37509" rIns="92903" bIns="37509" numCol="1" spcCol="1270" anchor="ctr"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Identify and remove obstacles that slow down change.</a:t>
          </a:r>
        </a:p>
      </dsp:txBody>
      <dsp:txXfrm>
        <a:off x="1097279" y="1611592"/>
        <a:ext cx="4389120" cy="379734"/>
      </dsp:txXfrm>
    </dsp:sp>
    <dsp:sp modelId="{99D9AD06-0B84-4B92-9E37-0E0C207C8E2A}">
      <dsp:nvSpPr>
        <dsp:cNvPr id="0" name=""/>
        <dsp:cNvSpPr/>
      </dsp:nvSpPr>
      <dsp:spPr>
        <a:xfrm rot="16200000">
          <a:off x="358772" y="1252819"/>
          <a:ext cx="379734" cy="1097280"/>
        </a:xfrm>
        <a:prstGeom prst="round2SameRect">
          <a:avLst>
            <a:gd name="adj1" fmla="val 10000"/>
            <a:gd name="adj2" fmla="val 0"/>
          </a:avLst>
        </a:prstGeom>
        <a:solidFill>
          <a:schemeClr val="accent1">
            <a:alpha val="90000"/>
            <a:hueOff val="0"/>
            <a:satOff val="0"/>
            <a:lumOff val="0"/>
            <a:alphaOff val="-22857"/>
          </a:schemeClr>
        </a:solidFill>
        <a:ln w="12700" cap="flat" cmpd="sng" algn="ctr">
          <a:solidFill>
            <a:schemeClr val="accent1">
              <a:alpha val="90000"/>
              <a:hueOff val="0"/>
              <a:satOff val="0"/>
              <a:lumOff val="0"/>
              <a:alphaOff val="-22857"/>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8064" tIns="37509" rIns="58064" bIns="37509" numCol="1" spcCol="1270" anchor="ctr" anchorCtr="0">
          <a:noAutofit/>
        </a:bodyPr>
        <a:lstStyle/>
        <a:p>
          <a:pPr marL="0" lvl="0" indent="0" algn="l" defTabSz="444500">
            <a:lnSpc>
              <a:spcPct val="90000"/>
            </a:lnSpc>
            <a:spcBef>
              <a:spcPct val="0"/>
            </a:spcBef>
            <a:spcAft>
              <a:spcPct val="35000"/>
            </a:spcAft>
            <a:buNone/>
          </a:pPr>
          <a:r>
            <a:rPr lang="en-GB" sz="1000" kern="1200"/>
            <a:t>Remove Barriers</a:t>
          </a:r>
        </a:p>
      </dsp:txBody>
      <dsp:txXfrm rot="5400000">
        <a:off x="11121" y="1622714"/>
        <a:ext cx="1086158" cy="357490"/>
      </dsp:txXfrm>
    </dsp:sp>
    <dsp:sp modelId="{D41A1047-6013-438D-A874-D11A4CC073F1}">
      <dsp:nvSpPr>
        <dsp:cNvPr id="0" name=""/>
        <dsp:cNvSpPr/>
      </dsp:nvSpPr>
      <dsp:spPr>
        <a:xfrm rot="5400000">
          <a:off x="3074540" y="-18013"/>
          <a:ext cx="379734" cy="4443984"/>
        </a:xfrm>
        <a:prstGeom prst="round2SameRect">
          <a:avLst>
            <a:gd name="adj1" fmla="val 15000"/>
            <a:gd name="adj2" fmla="val 0"/>
          </a:avLst>
        </a:prstGeom>
        <a:solidFill>
          <a:schemeClr val="lt1">
            <a:alpha val="90000"/>
            <a:hueOff val="0"/>
            <a:satOff val="0"/>
            <a:lumOff val="0"/>
            <a:alphaOff val="0"/>
          </a:schemeClr>
        </a:solidFill>
        <a:ln w="12700" cap="flat" cmpd="sng" algn="ctr">
          <a:solidFill>
            <a:schemeClr val="accent1">
              <a:alpha val="90000"/>
              <a:hueOff val="0"/>
              <a:satOff val="0"/>
              <a:lumOff val="0"/>
              <a:alphaOff val="-28571"/>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064" tIns="37509" rIns="58064" bIns="37509" numCol="1" spcCol="1270" anchor="ctr" anchorCtr="0">
          <a:noAutofit/>
        </a:bodyPr>
        <a:lstStyle/>
        <a:p>
          <a:pPr marL="0" lvl="0" indent="0" algn="l" defTabSz="444500">
            <a:lnSpc>
              <a:spcPct val="90000"/>
            </a:lnSpc>
            <a:spcBef>
              <a:spcPct val="0"/>
            </a:spcBef>
            <a:spcAft>
              <a:spcPct val="35000"/>
            </a:spcAft>
            <a:buNone/>
          </a:pPr>
          <a:r>
            <a:rPr lang="en-GB" sz="1000" kern="1200"/>
            <a:t>Create Short-term Wins</a:t>
          </a:r>
        </a:p>
      </dsp:txBody>
      <dsp:txXfrm rot="16200000">
        <a:off x="11121" y="2025233"/>
        <a:ext cx="1086158" cy="357490"/>
      </dsp:txXfrm>
    </dsp:sp>
    <dsp:sp modelId="{35580070-B89C-46C2-B15D-3F628A9CF302}">
      <dsp:nvSpPr>
        <dsp:cNvPr id="0" name=""/>
        <dsp:cNvSpPr/>
      </dsp:nvSpPr>
      <dsp:spPr>
        <a:xfrm>
          <a:off x="1097279" y="2014111"/>
          <a:ext cx="4389120" cy="379734"/>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92903" tIns="37509" rIns="92903" bIns="37509" numCol="1" spcCol="1270" anchor="ctr"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Plan for visible performance improvements to build momentum.</a:t>
          </a:r>
        </a:p>
      </dsp:txBody>
      <dsp:txXfrm>
        <a:off x="1097279" y="2014111"/>
        <a:ext cx="4389120" cy="379734"/>
      </dsp:txXfrm>
    </dsp:sp>
    <dsp:sp modelId="{77B07B2B-A3D4-4B74-B582-CC58E2E3A723}">
      <dsp:nvSpPr>
        <dsp:cNvPr id="0" name=""/>
        <dsp:cNvSpPr/>
      </dsp:nvSpPr>
      <dsp:spPr>
        <a:xfrm rot="16200000">
          <a:off x="358772" y="1655338"/>
          <a:ext cx="379734" cy="1097280"/>
        </a:xfrm>
        <a:prstGeom prst="round2SameRect">
          <a:avLst>
            <a:gd name="adj1" fmla="val 10000"/>
            <a:gd name="adj2" fmla="val 0"/>
          </a:avLst>
        </a:prstGeom>
        <a:solidFill>
          <a:schemeClr val="accent1">
            <a:alpha val="90000"/>
            <a:hueOff val="0"/>
            <a:satOff val="0"/>
            <a:lumOff val="0"/>
            <a:alphaOff val="-28571"/>
          </a:schemeClr>
        </a:solidFill>
        <a:ln w="12700" cap="flat" cmpd="sng" algn="ctr">
          <a:solidFill>
            <a:schemeClr val="accent1">
              <a:alpha val="90000"/>
              <a:hueOff val="0"/>
              <a:satOff val="0"/>
              <a:lumOff val="0"/>
              <a:alphaOff val="-28571"/>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8064" tIns="37509" rIns="58064" bIns="37509" numCol="1" spcCol="1270" anchor="ctr" anchorCtr="0">
          <a:noAutofit/>
        </a:bodyPr>
        <a:lstStyle/>
        <a:p>
          <a:pPr marL="0" lvl="0" indent="0" algn="l" defTabSz="444500">
            <a:lnSpc>
              <a:spcPct val="90000"/>
            </a:lnSpc>
            <a:spcBef>
              <a:spcPct val="0"/>
            </a:spcBef>
            <a:spcAft>
              <a:spcPct val="35000"/>
            </a:spcAft>
            <a:buNone/>
          </a:pPr>
          <a:r>
            <a:rPr lang="en-GB" sz="1000" kern="1200"/>
            <a:t>Create Short-term Wins</a:t>
          </a:r>
        </a:p>
      </dsp:txBody>
      <dsp:txXfrm rot="5400000">
        <a:off x="11121" y="2025233"/>
        <a:ext cx="1086158" cy="357490"/>
      </dsp:txXfrm>
    </dsp:sp>
    <dsp:sp modelId="{E9530E72-E49D-4FFA-8B60-AC052AC65668}">
      <dsp:nvSpPr>
        <dsp:cNvPr id="0" name=""/>
        <dsp:cNvSpPr/>
      </dsp:nvSpPr>
      <dsp:spPr>
        <a:xfrm rot="5400000">
          <a:off x="3074540" y="384505"/>
          <a:ext cx="379734" cy="4443984"/>
        </a:xfrm>
        <a:prstGeom prst="round2SameRect">
          <a:avLst>
            <a:gd name="adj1" fmla="val 15000"/>
            <a:gd name="adj2" fmla="val 0"/>
          </a:avLst>
        </a:prstGeom>
        <a:solidFill>
          <a:schemeClr val="lt1">
            <a:alpha val="90000"/>
            <a:hueOff val="0"/>
            <a:satOff val="0"/>
            <a:lumOff val="0"/>
            <a:alphaOff val="0"/>
          </a:schemeClr>
        </a:solidFill>
        <a:ln w="12700" cap="flat" cmpd="sng" algn="ctr">
          <a:solidFill>
            <a:schemeClr val="accent1">
              <a:alpha val="90000"/>
              <a:hueOff val="0"/>
              <a:satOff val="0"/>
              <a:lumOff val="0"/>
              <a:alphaOff val="-34286"/>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064" tIns="37509" rIns="58064" bIns="37509" numCol="1" spcCol="1270" anchor="ctr" anchorCtr="0">
          <a:noAutofit/>
        </a:bodyPr>
        <a:lstStyle/>
        <a:p>
          <a:pPr marL="0" lvl="0" indent="0" algn="l" defTabSz="444500">
            <a:lnSpc>
              <a:spcPct val="90000"/>
            </a:lnSpc>
            <a:spcBef>
              <a:spcPct val="0"/>
            </a:spcBef>
            <a:spcAft>
              <a:spcPct val="35000"/>
            </a:spcAft>
            <a:buNone/>
          </a:pPr>
          <a:r>
            <a:rPr lang="en-GB" sz="1000" kern="1200"/>
            <a:t>Sustain Change</a:t>
          </a:r>
        </a:p>
      </dsp:txBody>
      <dsp:txXfrm rot="16200000">
        <a:off x="11121" y="2427752"/>
        <a:ext cx="1086158" cy="357490"/>
      </dsp:txXfrm>
    </dsp:sp>
    <dsp:sp modelId="{ECAD18D5-EF36-4F27-BD7B-939A240E7BC0}">
      <dsp:nvSpPr>
        <dsp:cNvPr id="0" name=""/>
        <dsp:cNvSpPr/>
      </dsp:nvSpPr>
      <dsp:spPr>
        <a:xfrm>
          <a:off x="1097279" y="2416630"/>
          <a:ext cx="4389120" cy="379734"/>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92903" tIns="37509" rIns="92903" bIns="37509" numCol="1" spcCol="1270" anchor="ctr"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Use credibility to drive further change and keep improving.</a:t>
          </a:r>
        </a:p>
      </dsp:txBody>
      <dsp:txXfrm>
        <a:off x="1097279" y="2416630"/>
        <a:ext cx="4389120" cy="379734"/>
      </dsp:txXfrm>
    </dsp:sp>
    <dsp:sp modelId="{33A4BB9C-D4FC-4D17-B1CE-44C6564F19AD}">
      <dsp:nvSpPr>
        <dsp:cNvPr id="0" name=""/>
        <dsp:cNvSpPr/>
      </dsp:nvSpPr>
      <dsp:spPr>
        <a:xfrm rot="16200000">
          <a:off x="358772" y="2057857"/>
          <a:ext cx="379734" cy="1097280"/>
        </a:xfrm>
        <a:prstGeom prst="round2SameRect">
          <a:avLst>
            <a:gd name="adj1" fmla="val 10000"/>
            <a:gd name="adj2" fmla="val 0"/>
          </a:avLst>
        </a:prstGeom>
        <a:solidFill>
          <a:schemeClr val="accent1">
            <a:alpha val="90000"/>
            <a:hueOff val="0"/>
            <a:satOff val="0"/>
            <a:lumOff val="0"/>
            <a:alphaOff val="-34286"/>
          </a:schemeClr>
        </a:solidFill>
        <a:ln w="12700" cap="flat" cmpd="sng" algn="ctr">
          <a:solidFill>
            <a:schemeClr val="accent1">
              <a:alpha val="90000"/>
              <a:hueOff val="0"/>
              <a:satOff val="0"/>
              <a:lumOff val="0"/>
              <a:alphaOff val="-34286"/>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8064" tIns="37509" rIns="58064" bIns="37509" numCol="1" spcCol="1270" anchor="ctr" anchorCtr="0">
          <a:noAutofit/>
        </a:bodyPr>
        <a:lstStyle/>
        <a:p>
          <a:pPr marL="0" lvl="0" indent="0" algn="l" defTabSz="444500">
            <a:lnSpc>
              <a:spcPct val="90000"/>
            </a:lnSpc>
            <a:spcBef>
              <a:spcPct val="0"/>
            </a:spcBef>
            <a:spcAft>
              <a:spcPct val="35000"/>
            </a:spcAft>
            <a:buNone/>
          </a:pPr>
          <a:r>
            <a:rPr lang="en-GB" sz="1000" kern="1200"/>
            <a:t>Sustain Change</a:t>
          </a:r>
        </a:p>
      </dsp:txBody>
      <dsp:txXfrm rot="5400000">
        <a:off x="11121" y="2427752"/>
        <a:ext cx="1086158" cy="357490"/>
      </dsp:txXfrm>
    </dsp:sp>
    <dsp:sp modelId="{A024E706-862A-4CF6-9019-89AA1C3C559A}">
      <dsp:nvSpPr>
        <dsp:cNvPr id="0" name=""/>
        <dsp:cNvSpPr/>
      </dsp:nvSpPr>
      <dsp:spPr>
        <a:xfrm rot="5400000">
          <a:off x="3036455" y="787024"/>
          <a:ext cx="379734" cy="4443984"/>
        </a:xfrm>
        <a:prstGeom prst="round2SameRect">
          <a:avLst>
            <a:gd name="adj1" fmla="val 15000"/>
            <a:gd name="adj2" fmla="val 0"/>
          </a:avLst>
        </a:prstGeom>
        <a:solidFill>
          <a:schemeClr val="lt1">
            <a:alpha val="90000"/>
            <a:hueOff val="0"/>
            <a:satOff val="0"/>
            <a:lumOff val="0"/>
            <a:alphaOff val="0"/>
          </a:schemeClr>
        </a:solidFill>
        <a:ln w="12700" cap="flat" cmpd="sng" algn="ctr">
          <a:solidFill>
            <a:schemeClr val="accent1">
              <a:alpha val="90000"/>
              <a:hueOff val="0"/>
              <a:satOff val="0"/>
              <a:lumOff val="0"/>
              <a:alphaOff val="-4000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064" tIns="37509" rIns="58064" bIns="37509" numCol="1" spcCol="1270" anchor="ctr" anchorCtr="0">
          <a:noAutofit/>
        </a:bodyPr>
        <a:lstStyle/>
        <a:p>
          <a:pPr marL="0" lvl="0" indent="0" algn="l" defTabSz="444500">
            <a:lnSpc>
              <a:spcPct val="90000"/>
            </a:lnSpc>
            <a:spcBef>
              <a:spcPct val="0"/>
            </a:spcBef>
            <a:spcAft>
              <a:spcPct val="35000"/>
            </a:spcAft>
            <a:buNone/>
          </a:pPr>
          <a:r>
            <a:rPr lang="en-GB" sz="1000" kern="1200"/>
            <a:t>Embed Change into Culture</a:t>
          </a:r>
        </a:p>
      </dsp:txBody>
      <dsp:txXfrm rot="16200000">
        <a:off x="11121" y="2831786"/>
        <a:ext cx="1086158" cy="357490"/>
      </dsp:txXfrm>
    </dsp:sp>
    <dsp:sp modelId="{CBD34FFF-754C-44AA-B083-891D84754A07}">
      <dsp:nvSpPr>
        <dsp:cNvPr id="0" name=""/>
        <dsp:cNvSpPr/>
      </dsp:nvSpPr>
      <dsp:spPr>
        <a:xfrm>
          <a:off x="1097279" y="2819149"/>
          <a:ext cx="4389120" cy="379734"/>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92903" tIns="37509" rIns="92903" bIns="37509" numCol="1" spcCol="1270" anchor="ctr"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Ensure change becomes part the organization's culture</a:t>
          </a:r>
          <a:r>
            <a:rPr lang="en-GB" sz="800" kern="1200"/>
            <a:t>.</a:t>
          </a:r>
        </a:p>
      </dsp:txBody>
      <dsp:txXfrm>
        <a:off x="1097279" y="2819149"/>
        <a:ext cx="4389120" cy="379734"/>
      </dsp:txXfrm>
    </dsp:sp>
    <dsp:sp modelId="{1DC7107A-BB48-40BF-A177-D2F7FB95937C}">
      <dsp:nvSpPr>
        <dsp:cNvPr id="0" name=""/>
        <dsp:cNvSpPr/>
      </dsp:nvSpPr>
      <dsp:spPr>
        <a:xfrm rot="16200000">
          <a:off x="358772" y="2461891"/>
          <a:ext cx="379734" cy="1097280"/>
        </a:xfrm>
        <a:prstGeom prst="round2SameRect">
          <a:avLst>
            <a:gd name="adj1" fmla="val 10000"/>
            <a:gd name="adj2" fmla="val 0"/>
          </a:avLst>
        </a:prstGeom>
        <a:solidFill>
          <a:schemeClr val="accent1">
            <a:alpha val="90000"/>
            <a:hueOff val="0"/>
            <a:satOff val="0"/>
            <a:lumOff val="0"/>
            <a:alphaOff val="-40000"/>
          </a:schemeClr>
        </a:solidFill>
        <a:ln w="12700" cap="flat" cmpd="sng" algn="ctr">
          <a:solidFill>
            <a:schemeClr val="accent1">
              <a:alpha val="90000"/>
              <a:hueOff val="0"/>
              <a:satOff val="0"/>
              <a:lumOff val="0"/>
              <a:alphaOff val="-4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8064" tIns="37509" rIns="58064" bIns="37509" numCol="1" spcCol="1270" anchor="ctr" anchorCtr="0">
          <a:noAutofit/>
        </a:bodyPr>
        <a:lstStyle/>
        <a:p>
          <a:pPr marL="0" lvl="0" indent="0" algn="l" defTabSz="444500">
            <a:lnSpc>
              <a:spcPct val="90000"/>
            </a:lnSpc>
            <a:spcBef>
              <a:spcPct val="0"/>
            </a:spcBef>
            <a:spcAft>
              <a:spcPct val="35000"/>
            </a:spcAft>
            <a:buNone/>
          </a:pPr>
          <a:r>
            <a:rPr lang="en-GB" sz="1000" kern="1200"/>
            <a:t>Embed Change into Culture</a:t>
          </a:r>
        </a:p>
      </dsp:txBody>
      <dsp:txXfrm rot="5400000">
        <a:off x="11121" y="2831786"/>
        <a:ext cx="1086158" cy="357490"/>
      </dsp:txXfrm>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24/layout/VerticalActionList">
  <dgm:title val=""/>
  <dgm:desc val=""/>
  <dgm:catLst>
    <dgm:cat type="list" pri="82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 modelId="5">
          <dgm:prSet phldr="1"/>
        </dgm:pt>
        <dgm:pt modelId="51">
          <dgm:prSet phldr="1"/>
        </dgm:pt>
      </dgm:ptLst>
      <dgm:cxnLst>
        <dgm:cxn modelId="4" srcId="0" destId="1" srcOrd="0" destOrd="0"/>
        <dgm:cxn modelId="5" srcId="0" destId="2" srcOrd="1" destOrd="0"/>
        <dgm:cxn modelId="6" srcId="0" destId="3" srcOrd="2" destOrd="0"/>
        <dgm:cxn modelId="7" srcId="0" destId="4" srcOrd="3" destOrd="0"/>
        <dgm:cxn modelId="8" srcId="0" destId="5" srcOrd="4" destOrd="0"/>
        <dgm:cxn modelId="13" srcId="1" destId="11" srcOrd="0" destOrd="0"/>
        <dgm:cxn modelId="23" srcId="2" destId="21" srcOrd="0" destOrd="0"/>
        <dgm:cxn modelId="33" srcId="3" destId="31" srcOrd="0" destOrd="0"/>
        <dgm:cxn modelId="43" srcId="4" destId="41" srcOrd="0" destOrd="0"/>
        <dgm:cxn modelId="53" srcId="5" destId="5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dirChoose">
      <dgm:if name="dirNorm" func="var" arg="dir" op="equ" val="norm">
        <dgm:alg type="lin">
          <dgm:param type="linDir" val="fromT"/>
          <dgm:param type="nodeHorzAlign" val="l"/>
        </dgm:alg>
      </dgm:if>
      <dgm:else name="dirRev">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6"/>
      <dgm:constr type="primFontSz" for="des" forName="parentText" op="equ" val="28"/>
      <dgm:constr type="primFontSz" for="des" forName="descendantText" refType="primFontSz" refFor="des" refForName="parentText" op="lte" fact="0.82"/>
      <dgm:constr type="primFontSz" for="des" forName="parentText" refType="primFontSz" refFor="des" refForName="descendantText" op="lte" fact="1.25"/>
    </dgm:constrLst>
    <dgm:ruleLst/>
    <dgm:forEach name="Name4" axis="ch" ptType="node">
      <dgm:layoutNode name="linNode">
        <dgm:alg type="composite"/>
        <dgm:shape xmlns:r="http://schemas.openxmlformats.org/officeDocument/2006/relationships" r:blip="">
          <dgm:adjLst/>
        </dgm:shape>
        <dgm:presOf/>
        <dgm:choose name="compositeDir">
          <dgm:if name="compositeNorm" func="var" arg="dir" op="equ" val="norm">
            <dgm:constrLst>
              <dgm:constr type="l" for="ch" forName="bgOutline" refType="w" fact="0.19"/>
              <dgm:constr type="t" for="ch" forName="bgOutline"/>
              <dgm:constr type="w" for="ch" forName="bgOutline" refType="w" fact="0.81"/>
              <dgm:constr type="h" for="ch" forName="bgOutline" refType="h"/>
              <dgm:constr type="l" for="ch" forName="parentText"/>
              <dgm:constr type="t" for="ch" forName="parentText"/>
              <dgm:constr type="w" for="ch" forName="parentText" refType="w" fact="0.2"/>
              <dgm:constr type="h" for="ch" forName="parentText" refType="h"/>
              <dgm:constr type="l" for="ch" forName="descendantText" refType="w" fact="0.2"/>
              <dgm:constr type="t" for="ch" forName="descendantText"/>
              <dgm:constr type="w" for="ch" forName="descendantText" refType="w" fact="0.8"/>
              <dgm:constr type="h" for="ch" forName="descendantText" refType="h"/>
            </dgm:constrLst>
          </dgm:if>
          <dgm:else name="compositeRev">
            <dgm:constrLst>
              <dgm:constr type="l" for="ch" forName="bgOutline"/>
              <dgm:constr type="t" for="ch" forName="bgOutline"/>
              <dgm:constr type="w" for="ch" forName="bgOutline" refType="w" fact="0.81"/>
              <dgm:constr type="h" for="ch" forName="bgOutline" refType="h"/>
              <dgm:constr type="l" for="ch" forName="parentText" refType="w" fact="0.8"/>
              <dgm:constr type="t" for="ch" forName="parentText"/>
              <dgm:constr type="w" for="ch" forName="parentText" refType="w" fact="0.2"/>
              <dgm:constr type="h" for="ch" forName="parentText" refType="h"/>
              <dgm:constr type="l" for="ch" forName="descendantText"/>
              <dgm:constr type="t" for="ch" forName="descendantText"/>
              <dgm:constr type="w" for="ch" forName="descendantText" refType="w" fact="0.8"/>
              <dgm:constr type="h" for="ch" forName="descendantText" refType="h"/>
            </dgm:constrLst>
          </dgm:else>
        </dgm:choose>
        <dgm:ruleLst/>
        <dgm:layoutNode name="bgOutline" styleLbl="fgAcc1">
          <dgm:alg type="sp"/>
          <dgm:choose name="bgOutlineDir">
            <dgm:if name="bgOutlineNorm" func="var" arg="dir" op="equ" val="norm">
              <dgm:shape xmlns:r="http://schemas.openxmlformats.org/officeDocument/2006/relationships" rot="90" type="round2SameRect" r:blip="">
                <dgm:adjLst>
                  <dgm:adj idx="1" val="0.15"/>
                  <dgm:adj idx="2" val="0"/>
                </dgm:adjLst>
              </dgm:shape>
            </dgm:if>
            <dgm:else name="bgOutlineRev">
              <dgm:shape xmlns:r="http://schemas.openxmlformats.org/officeDocument/2006/relationships" rot="-90" type="round2SameRect" r:blip="">
                <dgm:adjLst>
                  <dgm:adj idx="1" val="0.15"/>
                  <dgm:adj idx="2" val="0"/>
                </dgm:adjLst>
              </dgm:shape>
            </dgm:else>
          </dgm:choose>
          <dgm:presOf axis="self"/>
          <dgm:constrLst/>
          <dgm:ruleLst/>
        </dgm:layoutNode>
        <dgm:layoutNode name="parentText" styleLbl="alignNode1">
          <dgm:varLst>
            <dgm:chMax val="1"/>
            <dgm:bulletEnabled/>
          </dgm:varLst>
          <dgm:alg type="tx">
            <dgm:param type="parTxLTRAlign" val="l"/>
            <dgm:param type="parTxRTLAlign" val="r"/>
          </dgm:alg>
          <dgm:choose name="parentShapeDir">
            <dgm:if name="parentShapeNorm" func="var" arg="dir" op="equ" val="norm">
              <dgm:shape xmlns:r="http://schemas.openxmlformats.org/officeDocument/2006/relationships" rot="-90" type="round2SameRect" r:blip="" zOrderOff="3">
                <dgm:adjLst>
                  <dgm:adj idx="1" val="0.1"/>
                </dgm:adjLst>
              </dgm:shape>
            </dgm:if>
            <dgm:else name="parentShapeRev">
              <dgm:shape xmlns:r="http://schemas.openxmlformats.org/officeDocument/2006/relationships" rot="90" type="round2SameRect" r:blip="" zOrderOff="3">
                <dgm:adjLst>
                  <dgm:adj idx="1" val="0.1"/>
                </dgm:adjLst>
              </dgm:shape>
            </dgm:else>
          </dgm:choose>
          <dgm:presOf axis="self" ptType="node"/>
          <dgm:constrLst>
            <dgm:constr type="tMarg" refType="h" fact="0.28"/>
            <dgm:constr type="bMarg" refType="h" fact="0.28"/>
            <dgm:constr type="lMarg" refType="w" fact="0.15"/>
            <dgm:constr type="rMarg" refType="w" fact="0.15"/>
          </dgm:constrLst>
          <dgm:ruleLst>
            <dgm:rule type="primFontSz" val="8" fact="NaN" max="NaN"/>
          </dgm:ruleLst>
        </dgm:layoutNode>
        <dgm:layoutNode name="descendantText" styleLbl="revTx">
          <dgm:varLst>
            <dgm:bulletEnabled/>
          </dgm:varLst>
          <dgm:alg type="tx">
            <dgm:param type="stBulletLvl" val="0"/>
            <dgm:param type="parTxLTRAlign" val="l"/>
            <dgm:param type="shpTxLTRAlignCh" val="l"/>
            <dgm:param type="parTxRTLAlign" val="r"/>
            <dgm:param type="shpTxRTLAlignCh" val="r"/>
          </dgm:alg>
          <dgm:shape xmlns:r="http://schemas.openxmlformats.org/officeDocument/2006/relationships" type="rect" r:blip="" hideGeom="1">
            <dgm:adjLst/>
          </dgm:shape>
          <dgm:presOf axis="des" ptType="node"/>
          <dgm:constrLst>
            <dgm:constr type="primFontSz" val="24"/>
            <dgm:constr type="lMarg" refType="w" fact="0.06"/>
            <dgm:constr type="rMarg" refType="w" fact="0.06"/>
            <dgm:constr type="tMarg" refType="h" fact="0.28"/>
            <dgm:constr type="bMarg" refType="h" fact="0.28"/>
          </dgm:constrLst>
          <dgm:ruleLst>
            <dgm:rule type="primFontSz" val="11" fact="NaN" max="NaN"/>
          </dgm:ruleLst>
        </dgm:layoutNod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24/layout/VerticalActionList">
  <dgm:title val=""/>
  <dgm:desc val=""/>
  <dgm:catLst>
    <dgm:cat type="list" pri="82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 modelId="5">
          <dgm:prSet phldr="1"/>
        </dgm:pt>
        <dgm:pt modelId="51">
          <dgm:prSet phldr="1"/>
        </dgm:pt>
      </dgm:ptLst>
      <dgm:cxnLst>
        <dgm:cxn modelId="4" srcId="0" destId="1" srcOrd="0" destOrd="0"/>
        <dgm:cxn modelId="5" srcId="0" destId="2" srcOrd="1" destOrd="0"/>
        <dgm:cxn modelId="6" srcId="0" destId="3" srcOrd="2" destOrd="0"/>
        <dgm:cxn modelId="7" srcId="0" destId="4" srcOrd="3" destOrd="0"/>
        <dgm:cxn modelId="8" srcId="0" destId="5" srcOrd="4" destOrd="0"/>
        <dgm:cxn modelId="13" srcId="1" destId="11" srcOrd="0" destOrd="0"/>
        <dgm:cxn modelId="23" srcId="2" destId="21" srcOrd="0" destOrd="0"/>
        <dgm:cxn modelId="33" srcId="3" destId="31" srcOrd="0" destOrd="0"/>
        <dgm:cxn modelId="43" srcId="4" destId="41" srcOrd="0" destOrd="0"/>
        <dgm:cxn modelId="53" srcId="5" destId="5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dirChoose">
      <dgm:if name="dirNorm" func="var" arg="dir" op="equ" val="norm">
        <dgm:alg type="lin">
          <dgm:param type="linDir" val="fromT"/>
          <dgm:param type="nodeHorzAlign" val="l"/>
        </dgm:alg>
      </dgm:if>
      <dgm:else name="dirRev">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6"/>
      <dgm:constr type="primFontSz" for="des" forName="parentText" op="equ" val="28"/>
      <dgm:constr type="primFontSz" for="des" forName="descendantText" refType="primFontSz" refFor="des" refForName="parentText" op="lte" fact="0.82"/>
      <dgm:constr type="primFontSz" for="des" forName="parentText" refType="primFontSz" refFor="des" refForName="descendantText" op="lte" fact="1.25"/>
    </dgm:constrLst>
    <dgm:ruleLst/>
    <dgm:forEach name="Name4" axis="ch" ptType="node">
      <dgm:layoutNode name="linNode">
        <dgm:alg type="composite"/>
        <dgm:shape xmlns:r="http://schemas.openxmlformats.org/officeDocument/2006/relationships" r:blip="">
          <dgm:adjLst/>
        </dgm:shape>
        <dgm:presOf/>
        <dgm:choose name="compositeDir">
          <dgm:if name="compositeNorm" func="var" arg="dir" op="equ" val="norm">
            <dgm:constrLst>
              <dgm:constr type="l" for="ch" forName="bgOutline" refType="w" fact="0.19"/>
              <dgm:constr type="t" for="ch" forName="bgOutline"/>
              <dgm:constr type="w" for="ch" forName="bgOutline" refType="w" fact="0.81"/>
              <dgm:constr type="h" for="ch" forName="bgOutline" refType="h"/>
              <dgm:constr type="l" for="ch" forName="parentText"/>
              <dgm:constr type="t" for="ch" forName="parentText"/>
              <dgm:constr type="w" for="ch" forName="parentText" refType="w" fact="0.2"/>
              <dgm:constr type="h" for="ch" forName="parentText" refType="h"/>
              <dgm:constr type="l" for="ch" forName="descendantText" refType="w" fact="0.2"/>
              <dgm:constr type="t" for="ch" forName="descendantText"/>
              <dgm:constr type="w" for="ch" forName="descendantText" refType="w" fact="0.8"/>
              <dgm:constr type="h" for="ch" forName="descendantText" refType="h"/>
            </dgm:constrLst>
          </dgm:if>
          <dgm:else name="compositeRev">
            <dgm:constrLst>
              <dgm:constr type="l" for="ch" forName="bgOutline"/>
              <dgm:constr type="t" for="ch" forName="bgOutline"/>
              <dgm:constr type="w" for="ch" forName="bgOutline" refType="w" fact="0.81"/>
              <dgm:constr type="h" for="ch" forName="bgOutline" refType="h"/>
              <dgm:constr type="l" for="ch" forName="parentText" refType="w" fact="0.8"/>
              <dgm:constr type="t" for="ch" forName="parentText"/>
              <dgm:constr type="w" for="ch" forName="parentText" refType="w" fact="0.2"/>
              <dgm:constr type="h" for="ch" forName="parentText" refType="h"/>
              <dgm:constr type="l" for="ch" forName="descendantText"/>
              <dgm:constr type="t" for="ch" forName="descendantText"/>
              <dgm:constr type="w" for="ch" forName="descendantText" refType="w" fact="0.8"/>
              <dgm:constr type="h" for="ch" forName="descendantText" refType="h"/>
            </dgm:constrLst>
          </dgm:else>
        </dgm:choose>
        <dgm:ruleLst/>
        <dgm:layoutNode name="bgOutline" styleLbl="fgAcc1">
          <dgm:alg type="sp"/>
          <dgm:choose name="bgOutlineDir">
            <dgm:if name="bgOutlineNorm" func="var" arg="dir" op="equ" val="norm">
              <dgm:shape xmlns:r="http://schemas.openxmlformats.org/officeDocument/2006/relationships" rot="90" type="round2SameRect" r:blip="">
                <dgm:adjLst>
                  <dgm:adj idx="1" val="0.15"/>
                  <dgm:adj idx="2" val="0"/>
                </dgm:adjLst>
              </dgm:shape>
            </dgm:if>
            <dgm:else name="bgOutlineRev">
              <dgm:shape xmlns:r="http://schemas.openxmlformats.org/officeDocument/2006/relationships" rot="-90" type="round2SameRect" r:blip="">
                <dgm:adjLst>
                  <dgm:adj idx="1" val="0.15"/>
                  <dgm:adj idx="2" val="0"/>
                </dgm:adjLst>
              </dgm:shape>
            </dgm:else>
          </dgm:choose>
          <dgm:presOf axis="self"/>
          <dgm:constrLst/>
          <dgm:ruleLst/>
        </dgm:layoutNode>
        <dgm:layoutNode name="parentText" styleLbl="alignNode1">
          <dgm:varLst>
            <dgm:chMax val="1"/>
            <dgm:bulletEnabled/>
          </dgm:varLst>
          <dgm:alg type="tx">
            <dgm:param type="parTxLTRAlign" val="l"/>
            <dgm:param type="parTxRTLAlign" val="r"/>
          </dgm:alg>
          <dgm:choose name="parentShapeDir">
            <dgm:if name="parentShapeNorm" func="var" arg="dir" op="equ" val="norm">
              <dgm:shape xmlns:r="http://schemas.openxmlformats.org/officeDocument/2006/relationships" rot="-90" type="round2SameRect" r:blip="" zOrderOff="3">
                <dgm:adjLst>
                  <dgm:adj idx="1" val="0.1"/>
                </dgm:adjLst>
              </dgm:shape>
            </dgm:if>
            <dgm:else name="parentShapeRev">
              <dgm:shape xmlns:r="http://schemas.openxmlformats.org/officeDocument/2006/relationships" rot="90" type="round2SameRect" r:blip="" zOrderOff="3">
                <dgm:adjLst>
                  <dgm:adj idx="1" val="0.1"/>
                </dgm:adjLst>
              </dgm:shape>
            </dgm:else>
          </dgm:choose>
          <dgm:presOf axis="self" ptType="node"/>
          <dgm:constrLst>
            <dgm:constr type="tMarg" refType="h" fact="0.28"/>
            <dgm:constr type="bMarg" refType="h" fact="0.28"/>
            <dgm:constr type="lMarg" refType="w" fact="0.15"/>
            <dgm:constr type="rMarg" refType="w" fact="0.15"/>
          </dgm:constrLst>
          <dgm:ruleLst>
            <dgm:rule type="primFontSz" val="8" fact="NaN" max="NaN"/>
          </dgm:ruleLst>
        </dgm:layoutNode>
        <dgm:layoutNode name="descendantText" styleLbl="revTx">
          <dgm:varLst>
            <dgm:bulletEnabled/>
          </dgm:varLst>
          <dgm:alg type="tx">
            <dgm:param type="stBulletLvl" val="0"/>
            <dgm:param type="parTxLTRAlign" val="l"/>
            <dgm:param type="shpTxLTRAlignCh" val="l"/>
            <dgm:param type="parTxRTLAlign" val="r"/>
            <dgm:param type="shpTxRTLAlignCh" val="r"/>
          </dgm:alg>
          <dgm:shape xmlns:r="http://schemas.openxmlformats.org/officeDocument/2006/relationships" type="rect" r:blip="" hideGeom="1">
            <dgm:adjLst/>
          </dgm:shape>
          <dgm:presOf axis="des" ptType="node"/>
          <dgm:constrLst>
            <dgm:constr type="primFontSz" val="24"/>
            <dgm:constr type="lMarg" refType="w" fact="0.06"/>
            <dgm:constr type="rMarg" refType="w" fact="0.06"/>
            <dgm:constr type="tMarg" refType="h" fact="0.28"/>
            <dgm:constr type="bMarg" refType="h" fact="0.28"/>
          </dgm:constrLst>
          <dgm:ruleLst>
            <dgm:rule type="primFontSz" val="11" fact="NaN" max="NaN"/>
          </dgm:ruleLst>
        </dgm:layoutNod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11638-876D-40F6-BAF9-AE874A58F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5931</TotalTime>
  <Pages>14</Pages>
  <Words>3539</Words>
  <Characters>20175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Kyrcz</dc:creator>
  <cp:keywords/>
  <dc:description/>
  <cp:lastModifiedBy>Anita Kyrcz</cp:lastModifiedBy>
  <cp:revision>30</cp:revision>
  <dcterms:created xsi:type="dcterms:W3CDTF">2026-07-13T06:15:00Z</dcterms:created>
  <dcterms:modified xsi:type="dcterms:W3CDTF">2026-07-19T19:13:00Z</dcterms:modified>
</cp:coreProperties>
</file>