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E91D6D" w14:textId="77777777" w:rsidR="004B62B2" w:rsidRDefault="004B62B2" w:rsidP="004B62B2"/>
    <w:p w14:paraId="7F1AE936" w14:textId="77777777" w:rsidR="004B62B2" w:rsidRDefault="004B62B2" w:rsidP="004B62B2"/>
    <w:p w14:paraId="4671BE51" w14:textId="77777777" w:rsidR="004B62B2" w:rsidRDefault="004B62B2" w:rsidP="004B62B2">
      <w:pPr>
        <w:jc w:val="center"/>
      </w:pPr>
    </w:p>
    <w:p w14:paraId="149F1374" w14:textId="77777777" w:rsidR="004B62B2" w:rsidRDefault="004B62B2" w:rsidP="004B62B2">
      <w:pPr>
        <w:jc w:val="center"/>
      </w:pPr>
      <w:r>
        <w:rPr>
          <w:noProof/>
        </w:rPr>
        <w:drawing>
          <wp:anchor distT="0" distB="0" distL="114300" distR="114300" simplePos="0" relativeHeight="251659264" behindDoc="0" locked="0" layoutInCell="1" allowOverlap="1" wp14:anchorId="0ECDA46A" wp14:editId="02293F44">
            <wp:simplePos x="0" y="0"/>
            <wp:positionH relativeFrom="column">
              <wp:posOffset>78740</wp:posOffset>
            </wp:positionH>
            <wp:positionV relativeFrom="paragraph">
              <wp:posOffset>215265</wp:posOffset>
            </wp:positionV>
            <wp:extent cx="5731510" cy="2258060"/>
            <wp:effectExtent l="0" t="0" r="2540" b="8890"/>
            <wp:wrapSquare wrapText="bothSides"/>
            <wp:docPr id="1" name="Picture 1" descr="Image result for university trinity s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trinity s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2580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5B9FD71" w14:textId="77777777" w:rsidR="004B62B2" w:rsidRDefault="004B62B2" w:rsidP="004B62B2">
      <w:pPr>
        <w:jc w:val="center"/>
      </w:pPr>
    </w:p>
    <w:p w14:paraId="3B3CA9A6" w14:textId="77777777" w:rsidR="004B62B2" w:rsidRDefault="004B62B2" w:rsidP="004B62B2">
      <w:pPr>
        <w:jc w:val="center"/>
      </w:pPr>
    </w:p>
    <w:p w14:paraId="214517BA" w14:textId="50DC8181" w:rsidR="004B62B2" w:rsidRDefault="00FA3150" w:rsidP="004B62B2">
      <w:pPr>
        <w:jc w:val="center"/>
      </w:pPr>
      <w:r>
        <w:t>Figure 1-1 – University of Wales Trinity Saint David Logo (UWTSD, 2017)</w:t>
      </w:r>
    </w:p>
    <w:p w14:paraId="72AC0CEA" w14:textId="77777777" w:rsidR="004B62B2" w:rsidRDefault="004B62B2" w:rsidP="004B62B2">
      <w:pPr>
        <w:jc w:val="center"/>
      </w:pPr>
    </w:p>
    <w:p w14:paraId="4D785EC0" w14:textId="578F4EB6" w:rsidR="004B62B2" w:rsidRDefault="004B62B2" w:rsidP="004B62B2">
      <w:pPr>
        <w:jc w:val="center"/>
      </w:pPr>
      <w:r>
        <w:t>Assignment title: Vehicle Systems Report</w:t>
      </w:r>
    </w:p>
    <w:p w14:paraId="1DD7BB67" w14:textId="77777777" w:rsidR="004B62B2" w:rsidRDefault="004B62B2" w:rsidP="004B62B2">
      <w:pPr>
        <w:jc w:val="center"/>
      </w:pPr>
      <w:r>
        <w:t>Student name: Bradley Thomas</w:t>
      </w:r>
    </w:p>
    <w:p w14:paraId="783D151D" w14:textId="77777777" w:rsidR="004B62B2" w:rsidRDefault="004B62B2" w:rsidP="004B62B2">
      <w:pPr>
        <w:jc w:val="center"/>
      </w:pPr>
      <w:r>
        <w:t>Student number: 1901066</w:t>
      </w:r>
    </w:p>
    <w:p w14:paraId="5A5FEA4D" w14:textId="647A0D04" w:rsidR="004B62B2" w:rsidRDefault="004B62B2" w:rsidP="004B62B2">
      <w:pPr>
        <w:jc w:val="center"/>
      </w:pPr>
      <w:r>
        <w:t xml:space="preserve">Course module: Vehicle Systems </w:t>
      </w:r>
    </w:p>
    <w:p w14:paraId="2CAC740D" w14:textId="3AEF9D99" w:rsidR="004B62B2" w:rsidRDefault="004B62B2" w:rsidP="004B62B2">
      <w:pPr>
        <w:jc w:val="center"/>
      </w:pPr>
      <w:r>
        <w:t>Couse code: M4X02198</w:t>
      </w:r>
    </w:p>
    <w:p w14:paraId="6EECD5A9" w14:textId="0D2018BD" w:rsidR="004B62B2" w:rsidRDefault="004B62B2" w:rsidP="004B62B2">
      <w:pPr>
        <w:jc w:val="center"/>
      </w:pPr>
      <w:r>
        <w:t>Lecture: Dr Kerry Tutor</w:t>
      </w:r>
    </w:p>
    <w:p w14:paraId="1717868D" w14:textId="036CD57F" w:rsidR="004B62B2" w:rsidRDefault="004B62B2"/>
    <w:p w14:paraId="014708B0" w14:textId="1D24FE1B" w:rsidR="004B62B2" w:rsidRDefault="004B62B2"/>
    <w:p w14:paraId="2F35028B" w14:textId="1FAF5771" w:rsidR="004B62B2" w:rsidRDefault="004B62B2"/>
    <w:p w14:paraId="24BA4A14" w14:textId="19B8B00E" w:rsidR="004B62B2" w:rsidRDefault="004B62B2"/>
    <w:p w14:paraId="5D46CF8E" w14:textId="00956134" w:rsidR="004B62B2" w:rsidRDefault="004B62B2"/>
    <w:p w14:paraId="7DBEC52E" w14:textId="1A9F65E2" w:rsidR="004B62B2" w:rsidRDefault="004B62B2"/>
    <w:p w14:paraId="70144AF7" w14:textId="558CEAF4" w:rsidR="004B62B2" w:rsidRDefault="004B62B2"/>
    <w:p w14:paraId="1A1E6AFC" w14:textId="1BFAFEF2" w:rsidR="004B62B2" w:rsidRDefault="004B62B2"/>
    <w:p w14:paraId="071342A3" w14:textId="08F02DF3" w:rsidR="004B62B2" w:rsidRDefault="004B62B2"/>
    <w:p w14:paraId="011F88BD" w14:textId="31CD7CC0" w:rsidR="004B62B2" w:rsidRDefault="004B62B2"/>
    <w:p w14:paraId="33378D2C" w14:textId="752F9188" w:rsidR="004B62B2" w:rsidRDefault="004B62B2"/>
    <w:p w14:paraId="3CEF0DF9" w14:textId="39F7D98E" w:rsidR="004B62B2" w:rsidRDefault="004B62B2"/>
    <w:p w14:paraId="7461FD17" w14:textId="6E3759C2" w:rsidR="004B62B2" w:rsidRDefault="004B62B2"/>
    <w:p w14:paraId="024D84BC" w14:textId="1E8B1279" w:rsidR="004B62B2" w:rsidRDefault="004B62B2" w:rsidP="004B62B2">
      <w:pPr>
        <w:pStyle w:val="Heading1"/>
      </w:pPr>
      <w:bookmarkStart w:id="0" w:name="_Toc35697307"/>
      <w:r>
        <w:t>Table of contents</w:t>
      </w:r>
      <w:bookmarkEnd w:id="0"/>
      <w:r>
        <w:t xml:space="preserve"> </w:t>
      </w:r>
    </w:p>
    <w:sdt>
      <w:sdtPr>
        <w:rPr>
          <w:rFonts w:asciiTheme="minorHAnsi" w:eastAsiaTheme="minorHAnsi" w:hAnsiTheme="minorHAnsi" w:cstheme="minorBidi"/>
          <w:color w:val="auto"/>
          <w:sz w:val="22"/>
          <w:szCs w:val="22"/>
          <w:lang w:val="en-GB"/>
        </w:rPr>
        <w:id w:val="-1479300130"/>
        <w:docPartObj>
          <w:docPartGallery w:val="Table of Contents"/>
          <w:docPartUnique/>
        </w:docPartObj>
      </w:sdtPr>
      <w:sdtEndPr>
        <w:rPr>
          <w:b/>
          <w:bCs/>
          <w:noProof/>
        </w:rPr>
      </w:sdtEndPr>
      <w:sdtContent>
        <w:p w14:paraId="3FFD4372" w14:textId="33ACCF63" w:rsidR="008344B6" w:rsidRDefault="008344B6">
          <w:pPr>
            <w:pStyle w:val="TOCHeading"/>
          </w:pPr>
          <w:r>
            <w:t>Contents</w:t>
          </w:r>
        </w:p>
        <w:p w14:paraId="4D9AAC10" w14:textId="1D99CEA0" w:rsidR="005826AD" w:rsidRDefault="008344B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5697307" w:history="1">
            <w:r w:rsidR="005826AD" w:rsidRPr="008505D3">
              <w:rPr>
                <w:rStyle w:val="Hyperlink"/>
                <w:noProof/>
              </w:rPr>
              <w:t>Table of contents</w:t>
            </w:r>
            <w:r w:rsidR="005826AD">
              <w:rPr>
                <w:noProof/>
                <w:webHidden/>
              </w:rPr>
              <w:tab/>
            </w:r>
            <w:r w:rsidR="005826AD">
              <w:rPr>
                <w:noProof/>
                <w:webHidden/>
              </w:rPr>
              <w:fldChar w:fldCharType="begin"/>
            </w:r>
            <w:r w:rsidR="005826AD">
              <w:rPr>
                <w:noProof/>
                <w:webHidden/>
              </w:rPr>
              <w:instrText xml:space="preserve"> PAGEREF _Toc35697307 \h </w:instrText>
            </w:r>
            <w:r w:rsidR="005826AD">
              <w:rPr>
                <w:noProof/>
                <w:webHidden/>
              </w:rPr>
            </w:r>
            <w:r w:rsidR="005826AD">
              <w:rPr>
                <w:noProof/>
                <w:webHidden/>
              </w:rPr>
              <w:fldChar w:fldCharType="separate"/>
            </w:r>
            <w:r w:rsidR="005826AD">
              <w:rPr>
                <w:noProof/>
                <w:webHidden/>
              </w:rPr>
              <w:t>2</w:t>
            </w:r>
            <w:r w:rsidR="005826AD">
              <w:rPr>
                <w:noProof/>
                <w:webHidden/>
              </w:rPr>
              <w:fldChar w:fldCharType="end"/>
            </w:r>
          </w:hyperlink>
        </w:p>
        <w:p w14:paraId="41C7CF5C" w14:textId="6A61F3F9" w:rsidR="005826AD" w:rsidRDefault="00AF5C04">
          <w:pPr>
            <w:pStyle w:val="TOC1"/>
            <w:tabs>
              <w:tab w:val="right" w:leader="dot" w:pos="9016"/>
            </w:tabs>
            <w:rPr>
              <w:rFonts w:eastAsiaTheme="minorEastAsia"/>
              <w:noProof/>
              <w:lang w:eastAsia="en-GB"/>
            </w:rPr>
          </w:pPr>
          <w:hyperlink w:anchor="_Toc35697308" w:history="1">
            <w:r w:rsidR="005826AD" w:rsidRPr="008505D3">
              <w:rPr>
                <w:rStyle w:val="Hyperlink"/>
                <w:noProof/>
              </w:rPr>
              <w:t>Introduction</w:t>
            </w:r>
            <w:r w:rsidR="005826AD">
              <w:rPr>
                <w:noProof/>
                <w:webHidden/>
              </w:rPr>
              <w:tab/>
            </w:r>
            <w:r w:rsidR="005826AD">
              <w:rPr>
                <w:noProof/>
                <w:webHidden/>
              </w:rPr>
              <w:fldChar w:fldCharType="begin"/>
            </w:r>
            <w:r w:rsidR="005826AD">
              <w:rPr>
                <w:noProof/>
                <w:webHidden/>
              </w:rPr>
              <w:instrText xml:space="preserve"> PAGEREF _Toc35697308 \h </w:instrText>
            </w:r>
            <w:r w:rsidR="005826AD">
              <w:rPr>
                <w:noProof/>
                <w:webHidden/>
              </w:rPr>
            </w:r>
            <w:r w:rsidR="005826AD">
              <w:rPr>
                <w:noProof/>
                <w:webHidden/>
              </w:rPr>
              <w:fldChar w:fldCharType="separate"/>
            </w:r>
            <w:r w:rsidR="005826AD">
              <w:rPr>
                <w:noProof/>
                <w:webHidden/>
              </w:rPr>
              <w:t>3</w:t>
            </w:r>
            <w:r w:rsidR="005826AD">
              <w:rPr>
                <w:noProof/>
                <w:webHidden/>
              </w:rPr>
              <w:fldChar w:fldCharType="end"/>
            </w:r>
          </w:hyperlink>
        </w:p>
        <w:p w14:paraId="296AC554" w14:textId="4225E8EA" w:rsidR="005826AD" w:rsidRDefault="00AF5C04">
          <w:pPr>
            <w:pStyle w:val="TOC1"/>
            <w:tabs>
              <w:tab w:val="right" w:leader="dot" w:pos="9016"/>
            </w:tabs>
            <w:rPr>
              <w:rFonts w:eastAsiaTheme="minorEastAsia"/>
              <w:noProof/>
              <w:lang w:eastAsia="en-GB"/>
            </w:rPr>
          </w:pPr>
          <w:hyperlink w:anchor="_Toc35697309" w:history="1">
            <w:r w:rsidR="005826AD" w:rsidRPr="008505D3">
              <w:rPr>
                <w:rStyle w:val="Hyperlink"/>
                <w:noProof/>
              </w:rPr>
              <w:t>Research into handling and comfort</w:t>
            </w:r>
            <w:r w:rsidR="005826AD">
              <w:rPr>
                <w:noProof/>
                <w:webHidden/>
              </w:rPr>
              <w:tab/>
            </w:r>
            <w:r w:rsidR="005826AD">
              <w:rPr>
                <w:noProof/>
                <w:webHidden/>
              </w:rPr>
              <w:fldChar w:fldCharType="begin"/>
            </w:r>
            <w:r w:rsidR="005826AD">
              <w:rPr>
                <w:noProof/>
                <w:webHidden/>
              </w:rPr>
              <w:instrText xml:space="preserve"> PAGEREF _Toc35697309 \h </w:instrText>
            </w:r>
            <w:r w:rsidR="005826AD">
              <w:rPr>
                <w:noProof/>
                <w:webHidden/>
              </w:rPr>
            </w:r>
            <w:r w:rsidR="005826AD">
              <w:rPr>
                <w:noProof/>
                <w:webHidden/>
              </w:rPr>
              <w:fldChar w:fldCharType="separate"/>
            </w:r>
            <w:r w:rsidR="005826AD">
              <w:rPr>
                <w:noProof/>
                <w:webHidden/>
              </w:rPr>
              <w:t>3</w:t>
            </w:r>
            <w:r w:rsidR="005826AD">
              <w:rPr>
                <w:noProof/>
                <w:webHidden/>
              </w:rPr>
              <w:fldChar w:fldCharType="end"/>
            </w:r>
          </w:hyperlink>
        </w:p>
        <w:p w14:paraId="0020F73E" w14:textId="192AB6ED" w:rsidR="005826AD" w:rsidRDefault="00AF5C04">
          <w:pPr>
            <w:pStyle w:val="TOC2"/>
            <w:tabs>
              <w:tab w:val="right" w:leader="dot" w:pos="9016"/>
            </w:tabs>
            <w:rPr>
              <w:rFonts w:eastAsiaTheme="minorEastAsia"/>
              <w:noProof/>
              <w:lang w:eastAsia="en-GB"/>
            </w:rPr>
          </w:pPr>
          <w:hyperlink w:anchor="_Toc35697310" w:history="1">
            <w:r w:rsidR="005826AD" w:rsidRPr="008505D3">
              <w:rPr>
                <w:rStyle w:val="Hyperlink"/>
                <w:noProof/>
              </w:rPr>
              <w:t>Different vehicle setups</w:t>
            </w:r>
            <w:r w:rsidR="005826AD">
              <w:rPr>
                <w:noProof/>
                <w:webHidden/>
              </w:rPr>
              <w:tab/>
            </w:r>
            <w:r w:rsidR="005826AD">
              <w:rPr>
                <w:noProof/>
                <w:webHidden/>
              </w:rPr>
              <w:fldChar w:fldCharType="begin"/>
            </w:r>
            <w:r w:rsidR="005826AD">
              <w:rPr>
                <w:noProof/>
                <w:webHidden/>
              </w:rPr>
              <w:instrText xml:space="preserve"> PAGEREF _Toc35697310 \h </w:instrText>
            </w:r>
            <w:r w:rsidR="005826AD">
              <w:rPr>
                <w:noProof/>
                <w:webHidden/>
              </w:rPr>
            </w:r>
            <w:r w:rsidR="005826AD">
              <w:rPr>
                <w:noProof/>
                <w:webHidden/>
              </w:rPr>
              <w:fldChar w:fldCharType="separate"/>
            </w:r>
            <w:r w:rsidR="005826AD">
              <w:rPr>
                <w:noProof/>
                <w:webHidden/>
              </w:rPr>
              <w:t>3</w:t>
            </w:r>
            <w:r w:rsidR="005826AD">
              <w:rPr>
                <w:noProof/>
                <w:webHidden/>
              </w:rPr>
              <w:fldChar w:fldCharType="end"/>
            </w:r>
          </w:hyperlink>
        </w:p>
        <w:p w14:paraId="0BB9C331" w14:textId="161EB1EE" w:rsidR="005826AD" w:rsidRDefault="00AF5C04">
          <w:pPr>
            <w:pStyle w:val="TOC2"/>
            <w:tabs>
              <w:tab w:val="right" w:leader="dot" w:pos="9016"/>
            </w:tabs>
            <w:rPr>
              <w:rFonts w:eastAsiaTheme="minorEastAsia"/>
              <w:noProof/>
              <w:lang w:eastAsia="en-GB"/>
            </w:rPr>
          </w:pPr>
          <w:hyperlink w:anchor="_Toc35697311" w:history="1">
            <w:r w:rsidR="005826AD" w:rsidRPr="008505D3">
              <w:rPr>
                <w:rStyle w:val="Hyperlink"/>
                <w:noProof/>
              </w:rPr>
              <w:t>Caster and camber</w:t>
            </w:r>
            <w:r w:rsidR="005826AD">
              <w:rPr>
                <w:noProof/>
                <w:webHidden/>
              </w:rPr>
              <w:tab/>
            </w:r>
            <w:r w:rsidR="005826AD">
              <w:rPr>
                <w:noProof/>
                <w:webHidden/>
              </w:rPr>
              <w:fldChar w:fldCharType="begin"/>
            </w:r>
            <w:r w:rsidR="005826AD">
              <w:rPr>
                <w:noProof/>
                <w:webHidden/>
              </w:rPr>
              <w:instrText xml:space="preserve"> PAGEREF _Toc35697311 \h </w:instrText>
            </w:r>
            <w:r w:rsidR="005826AD">
              <w:rPr>
                <w:noProof/>
                <w:webHidden/>
              </w:rPr>
            </w:r>
            <w:r w:rsidR="005826AD">
              <w:rPr>
                <w:noProof/>
                <w:webHidden/>
              </w:rPr>
              <w:fldChar w:fldCharType="separate"/>
            </w:r>
            <w:r w:rsidR="005826AD">
              <w:rPr>
                <w:noProof/>
                <w:webHidden/>
              </w:rPr>
              <w:t>3</w:t>
            </w:r>
            <w:r w:rsidR="005826AD">
              <w:rPr>
                <w:noProof/>
                <w:webHidden/>
              </w:rPr>
              <w:fldChar w:fldCharType="end"/>
            </w:r>
          </w:hyperlink>
        </w:p>
        <w:p w14:paraId="7081F515" w14:textId="6288185F" w:rsidR="005826AD" w:rsidRDefault="00AF5C04">
          <w:pPr>
            <w:pStyle w:val="TOC2"/>
            <w:tabs>
              <w:tab w:val="right" w:leader="dot" w:pos="9016"/>
            </w:tabs>
            <w:rPr>
              <w:rFonts w:eastAsiaTheme="minorEastAsia"/>
              <w:noProof/>
              <w:lang w:eastAsia="en-GB"/>
            </w:rPr>
          </w:pPr>
          <w:hyperlink w:anchor="_Toc35697312" w:history="1">
            <w:r w:rsidR="005826AD" w:rsidRPr="008505D3">
              <w:rPr>
                <w:rStyle w:val="Hyperlink"/>
                <w:noProof/>
              </w:rPr>
              <w:t>Vehicle ride height</w:t>
            </w:r>
            <w:r w:rsidR="005826AD">
              <w:rPr>
                <w:noProof/>
                <w:webHidden/>
              </w:rPr>
              <w:tab/>
            </w:r>
            <w:r w:rsidR="005826AD">
              <w:rPr>
                <w:noProof/>
                <w:webHidden/>
              </w:rPr>
              <w:fldChar w:fldCharType="begin"/>
            </w:r>
            <w:r w:rsidR="005826AD">
              <w:rPr>
                <w:noProof/>
                <w:webHidden/>
              </w:rPr>
              <w:instrText xml:space="preserve"> PAGEREF _Toc35697312 \h </w:instrText>
            </w:r>
            <w:r w:rsidR="005826AD">
              <w:rPr>
                <w:noProof/>
                <w:webHidden/>
              </w:rPr>
            </w:r>
            <w:r w:rsidR="005826AD">
              <w:rPr>
                <w:noProof/>
                <w:webHidden/>
              </w:rPr>
              <w:fldChar w:fldCharType="separate"/>
            </w:r>
            <w:r w:rsidR="005826AD">
              <w:rPr>
                <w:noProof/>
                <w:webHidden/>
              </w:rPr>
              <w:t>3</w:t>
            </w:r>
            <w:r w:rsidR="005826AD">
              <w:rPr>
                <w:noProof/>
                <w:webHidden/>
              </w:rPr>
              <w:fldChar w:fldCharType="end"/>
            </w:r>
          </w:hyperlink>
        </w:p>
        <w:p w14:paraId="44A41D62" w14:textId="23D159A7" w:rsidR="005826AD" w:rsidRDefault="00AF5C04">
          <w:pPr>
            <w:pStyle w:val="TOC2"/>
            <w:tabs>
              <w:tab w:val="right" w:leader="dot" w:pos="9016"/>
            </w:tabs>
            <w:rPr>
              <w:rFonts w:eastAsiaTheme="minorEastAsia"/>
              <w:noProof/>
              <w:lang w:eastAsia="en-GB"/>
            </w:rPr>
          </w:pPr>
          <w:hyperlink w:anchor="_Toc35697313" w:history="1">
            <w:r w:rsidR="005826AD" w:rsidRPr="008505D3">
              <w:rPr>
                <w:rStyle w:val="Hyperlink"/>
                <w:noProof/>
              </w:rPr>
              <w:t>Vehicle suspension type</w:t>
            </w:r>
            <w:r w:rsidR="005826AD">
              <w:rPr>
                <w:noProof/>
                <w:webHidden/>
              </w:rPr>
              <w:tab/>
            </w:r>
            <w:r w:rsidR="005826AD">
              <w:rPr>
                <w:noProof/>
                <w:webHidden/>
              </w:rPr>
              <w:fldChar w:fldCharType="begin"/>
            </w:r>
            <w:r w:rsidR="005826AD">
              <w:rPr>
                <w:noProof/>
                <w:webHidden/>
              </w:rPr>
              <w:instrText xml:space="preserve"> PAGEREF _Toc35697313 \h </w:instrText>
            </w:r>
            <w:r w:rsidR="005826AD">
              <w:rPr>
                <w:noProof/>
                <w:webHidden/>
              </w:rPr>
            </w:r>
            <w:r w:rsidR="005826AD">
              <w:rPr>
                <w:noProof/>
                <w:webHidden/>
              </w:rPr>
              <w:fldChar w:fldCharType="separate"/>
            </w:r>
            <w:r w:rsidR="005826AD">
              <w:rPr>
                <w:noProof/>
                <w:webHidden/>
              </w:rPr>
              <w:t>3</w:t>
            </w:r>
            <w:r w:rsidR="005826AD">
              <w:rPr>
                <w:noProof/>
                <w:webHidden/>
              </w:rPr>
              <w:fldChar w:fldCharType="end"/>
            </w:r>
          </w:hyperlink>
        </w:p>
        <w:p w14:paraId="6707FF68" w14:textId="31A58FE5" w:rsidR="005826AD" w:rsidRDefault="00AF5C04">
          <w:pPr>
            <w:pStyle w:val="TOC2"/>
            <w:tabs>
              <w:tab w:val="right" w:leader="dot" w:pos="9016"/>
            </w:tabs>
            <w:rPr>
              <w:rFonts w:eastAsiaTheme="minorEastAsia"/>
              <w:noProof/>
              <w:lang w:eastAsia="en-GB"/>
            </w:rPr>
          </w:pPr>
          <w:hyperlink w:anchor="_Toc35697314" w:history="1">
            <w:r w:rsidR="005826AD" w:rsidRPr="008505D3">
              <w:rPr>
                <w:rStyle w:val="Hyperlink"/>
                <w:noProof/>
              </w:rPr>
              <w:t>Anti-squat, anti-dive</w:t>
            </w:r>
            <w:r w:rsidR="005826AD">
              <w:rPr>
                <w:noProof/>
                <w:webHidden/>
              </w:rPr>
              <w:tab/>
            </w:r>
            <w:r w:rsidR="005826AD">
              <w:rPr>
                <w:noProof/>
                <w:webHidden/>
              </w:rPr>
              <w:fldChar w:fldCharType="begin"/>
            </w:r>
            <w:r w:rsidR="005826AD">
              <w:rPr>
                <w:noProof/>
                <w:webHidden/>
              </w:rPr>
              <w:instrText xml:space="preserve"> PAGEREF _Toc35697314 \h </w:instrText>
            </w:r>
            <w:r w:rsidR="005826AD">
              <w:rPr>
                <w:noProof/>
                <w:webHidden/>
              </w:rPr>
            </w:r>
            <w:r w:rsidR="005826AD">
              <w:rPr>
                <w:noProof/>
                <w:webHidden/>
              </w:rPr>
              <w:fldChar w:fldCharType="separate"/>
            </w:r>
            <w:r w:rsidR="005826AD">
              <w:rPr>
                <w:noProof/>
                <w:webHidden/>
              </w:rPr>
              <w:t>4</w:t>
            </w:r>
            <w:r w:rsidR="005826AD">
              <w:rPr>
                <w:noProof/>
                <w:webHidden/>
              </w:rPr>
              <w:fldChar w:fldCharType="end"/>
            </w:r>
          </w:hyperlink>
        </w:p>
        <w:p w14:paraId="38DE2B92" w14:textId="3B1CF98C" w:rsidR="005826AD" w:rsidRDefault="00AF5C04">
          <w:pPr>
            <w:pStyle w:val="TOC1"/>
            <w:tabs>
              <w:tab w:val="right" w:leader="dot" w:pos="9016"/>
            </w:tabs>
            <w:rPr>
              <w:rFonts w:eastAsiaTheme="minorEastAsia"/>
              <w:noProof/>
              <w:lang w:eastAsia="en-GB"/>
            </w:rPr>
          </w:pPr>
          <w:hyperlink w:anchor="_Toc35697315" w:history="1">
            <w:r w:rsidR="005826AD" w:rsidRPr="008505D3">
              <w:rPr>
                <w:rStyle w:val="Hyperlink"/>
                <w:noProof/>
              </w:rPr>
              <w:t>Results table</w:t>
            </w:r>
            <w:r w:rsidR="005826AD">
              <w:rPr>
                <w:noProof/>
                <w:webHidden/>
              </w:rPr>
              <w:tab/>
            </w:r>
            <w:r w:rsidR="005826AD">
              <w:rPr>
                <w:noProof/>
                <w:webHidden/>
              </w:rPr>
              <w:fldChar w:fldCharType="begin"/>
            </w:r>
            <w:r w:rsidR="005826AD">
              <w:rPr>
                <w:noProof/>
                <w:webHidden/>
              </w:rPr>
              <w:instrText xml:space="preserve"> PAGEREF _Toc35697315 \h </w:instrText>
            </w:r>
            <w:r w:rsidR="005826AD">
              <w:rPr>
                <w:noProof/>
                <w:webHidden/>
              </w:rPr>
            </w:r>
            <w:r w:rsidR="005826AD">
              <w:rPr>
                <w:noProof/>
                <w:webHidden/>
              </w:rPr>
              <w:fldChar w:fldCharType="separate"/>
            </w:r>
            <w:r w:rsidR="005826AD">
              <w:rPr>
                <w:noProof/>
                <w:webHidden/>
              </w:rPr>
              <w:t>4</w:t>
            </w:r>
            <w:r w:rsidR="005826AD">
              <w:rPr>
                <w:noProof/>
                <w:webHidden/>
              </w:rPr>
              <w:fldChar w:fldCharType="end"/>
            </w:r>
          </w:hyperlink>
        </w:p>
        <w:p w14:paraId="3E3A645E" w14:textId="284D350F" w:rsidR="005826AD" w:rsidRDefault="00AF5C04">
          <w:pPr>
            <w:pStyle w:val="TOC1"/>
            <w:tabs>
              <w:tab w:val="right" w:leader="dot" w:pos="9016"/>
            </w:tabs>
            <w:rPr>
              <w:rFonts w:eastAsiaTheme="minorEastAsia"/>
              <w:noProof/>
              <w:lang w:eastAsia="en-GB"/>
            </w:rPr>
          </w:pPr>
          <w:hyperlink w:anchor="_Toc35697316" w:history="1">
            <w:r w:rsidR="005826AD" w:rsidRPr="008505D3">
              <w:rPr>
                <w:rStyle w:val="Hyperlink"/>
                <w:noProof/>
              </w:rPr>
              <w:t>Analysis</w:t>
            </w:r>
            <w:r w:rsidR="005826AD">
              <w:rPr>
                <w:noProof/>
                <w:webHidden/>
              </w:rPr>
              <w:tab/>
            </w:r>
            <w:r w:rsidR="005826AD">
              <w:rPr>
                <w:noProof/>
                <w:webHidden/>
              </w:rPr>
              <w:fldChar w:fldCharType="begin"/>
            </w:r>
            <w:r w:rsidR="005826AD">
              <w:rPr>
                <w:noProof/>
                <w:webHidden/>
              </w:rPr>
              <w:instrText xml:space="preserve"> PAGEREF _Toc35697316 \h </w:instrText>
            </w:r>
            <w:r w:rsidR="005826AD">
              <w:rPr>
                <w:noProof/>
                <w:webHidden/>
              </w:rPr>
            </w:r>
            <w:r w:rsidR="005826AD">
              <w:rPr>
                <w:noProof/>
                <w:webHidden/>
              </w:rPr>
              <w:fldChar w:fldCharType="separate"/>
            </w:r>
            <w:r w:rsidR="005826AD">
              <w:rPr>
                <w:noProof/>
                <w:webHidden/>
              </w:rPr>
              <w:t>4</w:t>
            </w:r>
            <w:r w:rsidR="005826AD">
              <w:rPr>
                <w:noProof/>
                <w:webHidden/>
              </w:rPr>
              <w:fldChar w:fldCharType="end"/>
            </w:r>
          </w:hyperlink>
        </w:p>
        <w:p w14:paraId="61294C4E" w14:textId="75A50B6D" w:rsidR="005826AD" w:rsidRDefault="00AF5C04">
          <w:pPr>
            <w:pStyle w:val="TOC1"/>
            <w:tabs>
              <w:tab w:val="right" w:leader="dot" w:pos="9016"/>
            </w:tabs>
            <w:rPr>
              <w:rFonts w:eastAsiaTheme="minorEastAsia"/>
              <w:noProof/>
              <w:lang w:eastAsia="en-GB"/>
            </w:rPr>
          </w:pPr>
          <w:hyperlink w:anchor="_Toc35697317" w:history="1">
            <w:r w:rsidR="005826AD" w:rsidRPr="008505D3">
              <w:rPr>
                <w:rStyle w:val="Hyperlink"/>
                <w:noProof/>
              </w:rPr>
              <w:t>Conclusion</w:t>
            </w:r>
            <w:r w:rsidR="005826AD">
              <w:rPr>
                <w:noProof/>
                <w:webHidden/>
              </w:rPr>
              <w:tab/>
            </w:r>
            <w:r w:rsidR="005826AD">
              <w:rPr>
                <w:noProof/>
                <w:webHidden/>
              </w:rPr>
              <w:fldChar w:fldCharType="begin"/>
            </w:r>
            <w:r w:rsidR="005826AD">
              <w:rPr>
                <w:noProof/>
                <w:webHidden/>
              </w:rPr>
              <w:instrText xml:space="preserve"> PAGEREF _Toc35697317 \h </w:instrText>
            </w:r>
            <w:r w:rsidR="005826AD">
              <w:rPr>
                <w:noProof/>
                <w:webHidden/>
              </w:rPr>
            </w:r>
            <w:r w:rsidR="005826AD">
              <w:rPr>
                <w:noProof/>
                <w:webHidden/>
              </w:rPr>
              <w:fldChar w:fldCharType="separate"/>
            </w:r>
            <w:r w:rsidR="005826AD">
              <w:rPr>
                <w:noProof/>
                <w:webHidden/>
              </w:rPr>
              <w:t>4</w:t>
            </w:r>
            <w:r w:rsidR="005826AD">
              <w:rPr>
                <w:noProof/>
                <w:webHidden/>
              </w:rPr>
              <w:fldChar w:fldCharType="end"/>
            </w:r>
          </w:hyperlink>
        </w:p>
        <w:p w14:paraId="0861243B" w14:textId="3D552E43" w:rsidR="005826AD" w:rsidRDefault="00AF5C04">
          <w:pPr>
            <w:pStyle w:val="TOC1"/>
            <w:tabs>
              <w:tab w:val="right" w:leader="dot" w:pos="9016"/>
            </w:tabs>
            <w:rPr>
              <w:rFonts w:eastAsiaTheme="minorEastAsia"/>
              <w:noProof/>
              <w:lang w:eastAsia="en-GB"/>
            </w:rPr>
          </w:pPr>
          <w:hyperlink w:anchor="_Toc35697318" w:history="1">
            <w:r w:rsidR="005826AD" w:rsidRPr="008505D3">
              <w:rPr>
                <w:rStyle w:val="Hyperlink"/>
                <w:noProof/>
              </w:rPr>
              <w:t>Bibliography</w:t>
            </w:r>
            <w:r w:rsidR="005826AD">
              <w:rPr>
                <w:noProof/>
                <w:webHidden/>
              </w:rPr>
              <w:tab/>
            </w:r>
            <w:r w:rsidR="005826AD">
              <w:rPr>
                <w:noProof/>
                <w:webHidden/>
              </w:rPr>
              <w:fldChar w:fldCharType="begin"/>
            </w:r>
            <w:r w:rsidR="005826AD">
              <w:rPr>
                <w:noProof/>
                <w:webHidden/>
              </w:rPr>
              <w:instrText xml:space="preserve"> PAGEREF _Toc35697318 \h </w:instrText>
            </w:r>
            <w:r w:rsidR="005826AD">
              <w:rPr>
                <w:noProof/>
                <w:webHidden/>
              </w:rPr>
            </w:r>
            <w:r w:rsidR="005826AD">
              <w:rPr>
                <w:noProof/>
                <w:webHidden/>
              </w:rPr>
              <w:fldChar w:fldCharType="separate"/>
            </w:r>
            <w:r w:rsidR="005826AD">
              <w:rPr>
                <w:noProof/>
                <w:webHidden/>
              </w:rPr>
              <w:t>4</w:t>
            </w:r>
            <w:r w:rsidR="005826AD">
              <w:rPr>
                <w:noProof/>
                <w:webHidden/>
              </w:rPr>
              <w:fldChar w:fldCharType="end"/>
            </w:r>
          </w:hyperlink>
        </w:p>
        <w:p w14:paraId="72113AF0" w14:textId="11B7A163" w:rsidR="008344B6" w:rsidRDefault="008344B6">
          <w:r>
            <w:rPr>
              <w:b/>
              <w:bCs/>
              <w:noProof/>
            </w:rPr>
            <w:fldChar w:fldCharType="end"/>
          </w:r>
        </w:p>
      </w:sdtContent>
    </w:sdt>
    <w:p w14:paraId="61D816B4" w14:textId="39EBE84F" w:rsidR="004B62B2" w:rsidRDefault="004B62B2"/>
    <w:p w14:paraId="2A3BEE46" w14:textId="5830C985" w:rsidR="004B62B2" w:rsidRDefault="004B62B2"/>
    <w:p w14:paraId="62AFE834" w14:textId="116BFA85" w:rsidR="004B62B2" w:rsidRDefault="004B62B2"/>
    <w:p w14:paraId="76767BCE" w14:textId="3A789695" w:rsidR="004B62B2" w:rsidRDefault="004B62B2"/>
    <w:p w14:paraId="3F3598A3" w14:textId="062D7C23" w:rsidR="004B62B2" w:rsidRDefault="004B62B2"/>
    <w:p w14:paraId="19FFF2CE" w14:textId="0B128322" w:rsidR="004B62B2" w:rsidRDefault="004B62B2"/>
    <w:p w14:paraId="603D6EF7" w14:textId="2FD6DBBD" w:rsidR="004B62B2" w:rsidRDefault="004B62B2"/>
    <w:p w14:paraId="60B8AB9D" w14:textId="279C8A97" w:rsidR="004B62B2" w:rsidRDefault="004B62B2"/>
    <w:p w14:paraId="3B7D938E" w14:textId="5B927A1D" w:rsidR="004B62B2" w:rsidRDefault="004B62B2"/>
    <w:p w14:paraId="1D6387F9" w14:textId="0E642258" w:rsidR="004B62B2" w:rsidRDefault="004B62B2"/>
    <w:p w14:paraId="32863700" w14:textId="61F8DB35" w:rsidR="004B62B2" w:rsidRDefault="004B62B2"/>
    <w:p w14:paraId="2620AB42" w14:textId="4E56D253" w:rsidR="004B62B2" w:rsidRDefault="004B62B2"/>
    <w:p w14:paraId="73CFA1B3" w14:textId="2A15375C" w:rsidR="004B62B2" w:rsidRDefault="004B62B2" w:rsidP="004B62B2">
      <w:pPr>
        <w:pStyle w:val="Heading1"/>
      </w:pPr>
      <w:bookmarkStart w:id="1" w:name="_Toc35697308"/>
      <w:r>
        <w:lastRenderedPageBreak/>
        <w:t>Introduction</w:t>
      </w:r>
      <w:bookmarkEnd w:id="1"/>
      <w:r>
        <w:t xml:space="preserve"> </w:t>
      </w:r>
    </w:p>
    <w:p w14:paraId="0AF97FD8" w14:textId="29CA94BA" w:rsidR="004B62B2" w:rsidRDefault="00D079C2">
      <w:r>
        <w:t>This report will look into research on handling and comfort and how that differs depending on the vehicle and the application, once that section is covered then the next area of the report will look at the spreadsheet of results from the vehicle data shown in the assignment brief.</w:t>
      </w:r>
      <w:r w:rsidR="00882E2D">
        <w:t xml:space="preserve"> When the research has been looked at and calculated, then the analysis will look at the data gathered, after that a conclusion of the overall report will be set out at the end. </w:t>
      </w:r>
    </w:p>
    <w:p w14:paraId="4D9469C8" w14:textId="28297D7F" w:rsidR="00C51A16" w:rsidRDefault="00C51A16" w:rsidP="00C51A16">
      <w:pPr>
        <w:pStyle w:val="Heading1"/>
      </w:pPr>
      <w:bookmarkStart w:id="2" w:name="_Toc35697309"/>
      <w:r>
        <w:t>Research into handling and comfort</w:t>
      </w:r>
      <w:bookmarkEnd w:id="2"/>
      <w:r>
        <w:t xml:space="preserve"> </w:t>
      </w:r>
    </w:p>
    <w:p w14:paraId="5AC03C4A" w14:textId="36A5731F" w:rsidR="00C51A16" w:rsidRDefault="00214E96" w:rsidP="00214E96">
      <w:pPr>
        <w:pStyle w:val="Heading2"/>
      </w:pPr>
      <w:bookmarkStart w:id="3" w:name="_Toc35697310"/>
      <w:r>
        <w:t>Different vehicle setups</w:t>
      </w:r>
      <w:bookmarkEnd w:id="3"/>
      <w:r>
        <w:t xml:space="preserve"> </w:t>
      </w:r>
    </w:p>
    <w:p w14:paraId="043E3159" w14:textId="6A6D4FA6" w:rsidR="00214E96" w:rsidRDefault="00214E96" w:rsidP="00214E96">
      <w:r>
        <w:t xml:space="preserve">Different types of vehicles can be adjusted in a variety of ways to suit a curtain style of driving or to suit a curtain application of use. </w:t>
      </w:r>
      <w:r w:rsidR="00BC7CEE">
        <w:t xml:space="preserve">Below will look at different setups and how they </w:t>
      </w:r>
      <w:r w:rsidR="00435807">
        <w:t>affect</w:t>
      </w:r>
      <w:r w:rsidR="00BC7CEE">
        <w:t xml:space="preserve"> handling and comfort.</w:t>
      </w:r>
    </w:p>
    <w:p w14:paraId="3785D1C3" w14:textId="6783D508" w:rsidR="00EA6802" w:rsidRDefault="00EA6802" w:rsidP="00214E96">
      <w:bookmarkStart w:id="4" w:name="_Toc35697311"/>
      <w:r w:rsidRPr="00D079C2">
        <w:rPr>
          <w:rStyle w:val="Heading2Char"/>
        </w:rPr>
        <w:t>Caster and camber</w:t>
      </w:r>
      <w:bookmarkEnd w:id="4"/>
      <w:r>
        <w:t xml:space="preserve">: </w:t>
      </w:r>
      <w:r w:rsidR="009C7959">
        <w:t xml:space="preserve">The first area of the handling and </w:t>
      </w:r>
      <w:r w:rsidR="00BF0062">
        <w:t xml:space="preserve">comfort that will be looked at is caster and camber. This is when the vehicles </w:t>
      </w:r>
      <w:r w:rsidR="00E576A5">
        <w:t xml:space="preserve">wheel angle is adjusted to different </w:t>
      </w:r>
      <w:r w:rsidR="00192ECB">
        <w:t>positions in</w:t>
      </w:r>
      <w:r w:rsidR="0094469D">
        <w:t xml:space="preserve"> order to suit </w:t>
      </w:r>
      <w:r w:rsidR="000D365A">
        <w:t>an</w:t>
      </w:r>
      <w:r w:rsidR="0094469D">
        <w:t xml:space="preserve"> application or style. </w:t>
      </w:r>
      <w:r w:rsidR="00BD5175">
        <w:t xml:space="preserve">In terms of comfort and handling, this can be seen by where the tyre contact patch is, </w:t>
      </w:r>
      <w:r w:rsidR="003B02FF">
        <w:t xml:space="preserve">depending on where the wheels are sitting on the vehicle is where the ware will occur, this can have a uncomfortable effect on comfort and make handling difficult as the vehicle will pull to the side that has the most positive camber. </w:t>
      </w:r>
      <w:r w:rsidR="00F90F80">
        <w:t xml:space="preserve">In a racing vehicle setup you would need to have the caster and camber setup correctly to prevent steering issues during a race, </w:t>
      </w:r>
      <w:r w:rsidR="00425011">
        <w:t xml:space="preserve">with regards to </w:t>
      </w:r>
      <w:r w:rsidR="005B3231">
        <w:t xml:space="preserve">supercars and road vehicles </w:t>
      </w:r>
      <w:r w:rsidR="00E93E0A">
        <w:t xml:space="preserve">caster and camber are adjusted by manufacturers to preform certain task, whether that </w:t>
      </w:r>
      <w:r w:rsidR="00C820DE">
        <w:t xml:space="preserve">would </w:t>
      </w:r>
      <w:r w:rsidR="00E93E0A">
        <w:t xml:space="preserve">be day to day driving on the road or out </w:t>
      </w:r>
      <w:r w:rsidR="00C820DE">
        <w:t xml:space="preserve">on race track. </w:t>
      </w:r>
    </w:p>
    <w:p w14:paraId="4733A12A" w14:textId="45FCC02E" w:rsidR="00BD5175" w:rsidRDefault="00AF5C04" w:rsidP="00214E96">
      <w:sdt>
        <w:sdtPr>
          <w:id w:val="-2091849489"/>
          <w:citation/>
        </w:sdtPr>
        <w:sdtEndPr/>
        <w:sdtContent>
          <w:r w:rsidR="00BD5175">
            <w:fldChar w:fldCharType="begin"/>
          </w:r>
          <w:r w:rsidR="00BD5175">
            <w:instrText xml:space="preserve"> CITATION Cas \l 2057 </w:instrText>
          </w:r>
          <w:r w:rsidR="00BD5175">
            <w:fldChar w:fldCharType="separate"/>
          </w:r>
          <w:r w:rsidR="00382114">
            <w:rPr>
              <w:noProof/>
            </w:rPr>
            <w:t>(Caster,Camber &amp; Toe Explaned, 2020)</w:t>
          </w:r>
          <w:r w:rsidR="00BD5175">
            <w:fldChar w:fldCharType="end"/>
          </w:r>
        </w:sdtContent>
      </w:sdt>
    </w:p>
    <w:p w14:paraId="19C4B91C" w14:textId="7BF42F3A" w:rsidR="00EA6802" w:rsidRDefault="00EA6802" w:rsidP="00214E96">
      <w:bookmarkStart w:id="5" w:name="_Toc35697312"/>
      <w:r w:rsidRPr="00D079C2">
        <w:rPr>
          <w:rStyle w:val="Heading2Char"/>
        </w:rPr>
        <w:t>Vehicle ride height</w:t>
      </w:r>
      <w:bookmarkEnd w:id="5"/>
      <w:r>
        <w:t xml:space="preserve">: </w:t>
      </w:r>
      <w:r w:rsidR="008753ED">
        <w:t>The ride hight of a vehicle can cause huge factors with a vehicles handling and comfort</w:t>
      </w:r>
      <w:r w:rsidR="00784660">
        <w:t xml:space="preserve"> especially when there is load. </w:t>
      </w:r>
      <w:r w:rsidR="00466D4F">
        <w:t xml:space="preserve">In terms of racing vehicle ride high is important as </w:t>
      </w:r>
      <w:r w:rsidR="00793BE3">
        <w:t xml:space="preserve">depending on where the centre of gravity is will impact cornering and braking forces on the track. </w:t>
      </w:r>
      <w:r w:rsidR="00FD583C">
        <w:t xml:space="preserve">There is a high amount of down force created with race vehicles, therefor </w:t>
      </w:r>
      <w:r w:rsidR="007751E2">
        <w:t xml:space="preserve">decreasing ride high for this application is positive as there is </w:t>
      </w:r>
      <w:r w:rsidR="001622C6">
        <w:t xml:space="preserve">less body roll to compete, due to the less weight travel. </w:t>
      </w:r>
      <w:r w:rsidR="00EA7FE7">
        <w:t xml:space="preserve">this setup is acceptable as it optimises performance out on the track. </w:t>
      </w:r>
      <w:r w:rsidR="00752A35">
        <w:t xml:space="preserve">For normal road vehicles and supercars, ride height is be looked at for more comfort, but does keep handling in mind. </w:t>
      </w:r>
      <w:r w:rsidR="001E21F9">
        <w:t xml:space="preserve">Most modern vehicles now use what’s known as partially loaded and fully loaded systems. Through electronic means of </w:t>
      </w:r>
      <w:r w:rsidR="00953F5B">
        <w:t>sensors</w:t>
      </w:r>
      <w:r w:rsidR="00943231">
        <w:t>,</w:t>
      </w:r>
      <w:r w:rsidR="00953F5B">
        <w:t xml:space="preserve"> hydropneumatic springs are used </w:t>
      </w:r>
      <w:r w:rsidR="00943231">
        <w:t>on partially loaded systems to control ride height through air bellows</w:t>
      </w:r>
      <w:r w:rsidR="004A3D6C">
        <w:t xml:space="preserve">. This is done to help handling when traversing over rough or poor road surfaces. </w:t>
      </w:r>
    </w:p>
    <w:p w14:paraId="67904E23" w14:textId="7D23BC98" w:rsidR="003F486D" w:rsidRDefault="00AF5C04" w:rsidP="00214E96">
      <w:sdt>
        <w:sdtPr>
          <w:id w:val="1517818722"/>
          <w:citation/>
        </w:sdtPr>
        <w:sdtEndPr/>
        <w:sdtContent>
          <w:r w:rsidR="005F0FAE">
            <w:fldChar w:fldCharType="begin"/>
          </w:r>
          <w:r w:rsidR="005F0FAE">
            <w:instrText xml:space="preserve"> CITATION RBO18 \l 2057 </w:instrText>
          </w:r>
          <w:r w:rsidR="005F0FAE">
            <w:fldChar w:fldCharType="separate"/>
          </w:r>
          <w:r w:rsidR="00382114">
            <w:rPr>
              <w:noProof/>
            </w:rPr>
            <w:t>(GMBH, 2018)</w:t>
          </w:r>
          <w:r w:rsidR="005F0FAE">
            <w:fldChar w:fldCharType="end"/>
          </w:r>
        </w:sdtContent>
      </w:sdt>
    </w:p>
    <w:p w14:paraId="542F4070" w14:textId="0FE42771" w:rsidR="00AC5668" w:rsidRDefault="00F73558" w:rsidP="00214E96">
      <w:bookmarkStart w:id="6" w:name="_Toc35697313"/>
      <w:r w:rsidRPr="00D079C2">
        <w:rPr>
          <w:rStyle w:val="Heading2Char"/>
        </w:rPr>
        <w:t>Vehicle suspension</w:t>
      </w:r>
      <w:r w:rsidR="00C84A58">
        <w:rPr>
          <w:rStyle w:val="Heading2Char"/>
        </w:rPr>
        <w:t xml:space="preserve"> type</w:t>
      </w:r>
      <w:bookmarkEnd w:id="6"/>
      <w:r>
        <w:t xml:space="preserve">: </w:t>
      </w:r>
      <w:r w:rsidR="007B63CC">
        <w:t>D</w:t>
      </w:r>
      <w:r w:rsidR="00FB5888">
        <w:t xml:space="preserve">epending on the type of vehicle suspension setup that your vehicle has will have differing effects on handling and comfort. </w:t>
      </w:r>
      <w:r w:rsidR="00A04A7F">
        <w:t xml:space="preserve">For </w:t>
      </w:r>
      <w:r w:rsidR="008C6365">
        <w:t>example,</w:t>
      </w:r>
      <w:r w:rsidR="00A04A7F">
        <w:t xml:space="preserve"> hav</w:t>
      </w:r>
      <w:r w:rsidR="00DA56A3">
        <w:t>ing</w:t>
      </w:r>
      <w:r w:rsidR="00A04A7F">
        <w:t xml:space="preserve"> </w:t>
      </w:r>
      <w:r w:rsidR="008C6365">
        <w:t xml:space="preserve">steel springs such as leaf or coil springs, then </w:t>
      </w:r>
      <w:r w:rsidR="009D02EB">
        <w:t>their</w:t>
      </w:r>
      <w:r w:rsidR="00023363">
        <w:t xml:space="preserve"> comfort when driving can be </w:t>
      </w:r>
      <w:r w:rsidR="009D02EB">
        <w:t>affected</w:t>
      </w:r>
      <w:r w:rsidR="00023363">
        <w:t xml:space="preserve"> by load. In a racing vehicle </w:t>
      </w:r>
      <w:r w:rsidR="0027092A">
        <w:t xml:space="preserve">the suspension type will be subject to application, e.g. rally race, drag race, NASCAR racing. </w:t>
      </w:r>
      <w:r w:rsidR="005A2DC1">
        <w:t xml:space="preserve">For each of these applications the </w:t>
      </w:r>
      <w:r w:rsidR="008C274F">
        <w:t xml:space="preserve">suspension will have different setup to help with handling when out on the track, specifically with </w:t>
      </w:r>
      <w:r w:rsidR="00D471CB">
        <w:t xml:space="preserve">rallying coil springs with dampeners will be applied </w:t>
      </w:r>
      <w:r w:rsidR="00F84C0C">
        <w:t xml:space="preserve">as they can be adjusted to be stiffer and stronger to withstand bump and rebound of the road. </w:t>
      </w:r>
      <w:r w:rsidR="00D20C9D">
        <w:t>With regards to road vehicles and supercars</w:t>
      </w:r>
      <w:r w:rsidR="006C63C4">
        <w:t xml:space="preserve">, </w:t>
      </w:r>
      <w:r w:rsidR="00765997">
        <w:t xml:space="preserve">the suspension type used will be subject to the manufacturer of the vehicle. This means that more common vehicles will have simple setups </w:t>
      </w:r>
      <w:r w:rsidR="00A145CD">
        <w:t xml:space="preserve">such as leaf springs. </w:t>
      </w:r>
    </w:p>
    <w:p w14:paraId="3EC9D9D1" w14:textId="22CB7CA7" w:rsidR="00EF4C9B" w:rsidRDefault="00AF5C04" w:rsidP="00214E96">
      <w:sdt>
        <w:sdtPr>
          <w:id w:val="382136806"/>
          <w:citation/>
        </w:sdtPr>
        <w:sdtEndPr/>
        <w:sdtContent>
          <w:r w:rsidR="00EF4C9B">
            <w:fldChar w:fldCharType="begin"/>
          </w:r>
          <w:r w:rsidR="00EF4C9B">
            <w:instrText xml:space="preserve"> CITATION Zam87 \l 2057 </w:instrText>
          </w:r>
          <w:r w:rsidR="00EF4C9B">
            <w:fldChar w:fldCharType="separate"/>
          </w:r>
          <w:r w:rsidR="00382114">
            <w:rPr>
              <w:noProof/>
            </w:rPr>
            <w:t>(Zammit, 1987)</w:t>
          </w:r>
          <w:r w:rsidR="00EF4C9B">
            <w:fldChar w:fldCharType="end"/>
          </w:r>
        </w:sdtContent>
      </w:sdt>
    </w:p>
    <w:p w14:paraId="485528F0" w14:textId="407BE924" w:rsidR="00AC5668" w:rsidRDefault="00AC5668" w:rsidP="00214E96">
      <w:bookmarkStart w:id="7" w:name="_Toc35697314"/>
      <w:r w:rsidRPr="00AC5668">
        <w:rPr>
          <w:rStyle w:val="Heading2Char"/>
        </w:rPr>
        <w:t>Anti-squat, anti-dive</w:t>
      </w:r>
      <w:bookmarkEnd w:id="7"/>
      <w:r>
        <w:t xml:space="preserve">: </w:t>
      </w:r>
      <w:r w:rsidR="00CD55A5">
        <w:t>These terms are more centred around racing vehicles but can factor into road cars and supercars too.</w:t>
      </w:r>
      <w:r w:rsidR="001E47F8">
        <w:t xml:space="preserve"> </w:t>
      </w:r>
      <w:r w:rsidR="00CD55A5">
        <w:t>Anti-</w:t>
      </w:r>
      <w:r w:rsidR="003167A5">
        <w:t>dive</w:t>
      </w:r>
      <w:r w:rsidR="00CD55A5">
        <w:t xml:space="preserve"> </w:t>
      </w:r>
      <w:r w:rsidR="007F2BC9">
        <w:t>is</w:t>
      </w:r>
      <w:r w:rsidR="005E6854">
        <w:t xml:space="preserve"> how much the vehicles front end travels when braking force is applied.</w:t>
      </w:r>
      <w:r w:rsidR="003D42E6">
        <w:t xml:space="preserve"> Th</w:t>
      </w:r>
      <w:r w:rsidR="00792000">
        <w:t xml:space="preserve">e centre of gravity height will </w:t>
      </w:r>
      <w:r w:rsidR="00F54CBA">
        <w:t>affect</w:t>
      </w:r>
      <w:r w:rsidR="00792000">
        <w:t xml:space="preserve"> this as the weight from the rear </w:t>
      </w:r>
      <w:r w:rsidR="00F54CBA">
        <w:t>wheel’s</w:t>
      </w:r>
      <w:r w:rsidR="00792000">
        <w:t xml:space="preserve"> transfers to the front when braking</w:t>
      </w:r>
      <w:r w:rsidR="00CA2AB2">
        <w:t xml:space="preserve">. </w:t>
      </w:r>
      <w:r w:rsidR="00F54CBA">
        <w:t xml:space="preserve">Anti-squat is the opposite </w:t>
      </w:r>
      <w:r w:rsidR="00FD1116">
        <w:t xml:space="preserve">as it is the amount the rear area of the car travels under acceleration lift. </w:t>
      </w:r>
      <w:r w:rsidR="009C12C7">
        <w:t xml:space="preserve">If there was 100% </w:t>
      </w:r>
      <w:r w:rsidR="00640D8F">
        <w:t>Anti-</w:t>
      </w:r>
      <w:r w:rsidR="001E4982">
        <w:t>squat,</w:t>
      </w:r>
      <w:r w:rsidR="009C12C7">
        <w:t xml:space="preserve"> then the vehicles suspension could be damage with would make it uncomfortable to drive and handling would be a lot </w:t>
      </w:r>
      <w:r w:rsidR="00D632F2">
        <w:t xml:space="preserve">loose which would make the vehicle harder to control. </w:t>
      </w:r>
    </w:p>
    <w:p w14:paraId="28DB0E92" w14:textId="53C79069" w:rsidR="00204D9A" w:rsidRDefault="00AF5C04" w:rsidP="00214E96">
      <w:sdt>
        <w:sdtPr>
          <w:id w:val="-208575168"/>
          <w:citation/>
        </w:sdtPr>
        <w:sdtEndPr/>
        <w:sdtContent>
          <w:r w:rsidR="00815D5D">
            <w:fldChar w:fldCharType="begin"/>
          </w:r>
          <w:r w:rsidR="00815D5D">
            <w:instrText xml:space="preserve"> CITATION Raj19 \l 2057 </w:instrText>
          </w:r>
          <w:r w:rsidR="00815D5D">
            <w:fldChar w:fldCharType="separate"/>
          </w:r>
          <w:r w:rsidR="00382114">
            <w:rPr>
              <w:noProof/>
            </w:rPr>
            <w:t>(Raj, 2019)</w:t>
          </w:r>
          <w:r w:rsidR="00815D5D">
            <w:fldChar w:fldCharType="end"/>
          </w:r>
        </w:sdtContent>
      </w:sdt>
    </w:p>
    <w:p w14:paraId="6939F4EC" w14:textId="77777777" w:rsidR="00842E74" w:rsidRDefault="00842E74" w:rsidP="0085470F">
      <w:pPr>
        <w:pStyle w:val="Heading1"/>
      </w:pPr>
      <w:bookmarkStart w:id="8" w:name="_Toc35697315"/>
      <w:r>
        <w:t>Results table</w:t>
      </w:r>
      <w:bookmarkEnd w:id="8"/>
      <w:r>
        <w:t xml:space="preserve"> </w:t>
      </w:r>
    </w:p>
    <w:p w14:paraId="193E7384" w14:textId="3BB6D8DF" w:rsidR="00842E74" w:rsidRDefault="0092792C" w:rsidP="00214E96">
      <w:r>
        <w:t xml:space="preserve">Stage 1 </w:t>
      </w:r>
    </w:p>
    <w:p w14:paraId="70AAAADE" w14:textId="71380076" w:rsidR="0092792C" w:rsidRDefault="00597842" w:rsidP="00214E96">
      <w:r>
        <w:t xml:space="preserve">The first stage of results looks at calculating static vertical loads for each contact patch for all four wheels. Using the data this is what was produced when </w:t>
      </w:r>
      <w:r w:rsidR="002D6926">
        <w:t xml:space="preserve">calculating. </w:t>
      </w:r>
    </w:p>
    <w:tbl>
      <w:tblPr>
        <w:tblW w:w="8600" w:type="dxa"/>
        <w:tblLook w:val="04A0" w:firstRow="1" w:lastRow="0" w:firstColumn="1" w:lastColumn="0" w:noHBand="0" w:noVBand="1"/>
      </w:tblPr>
      <w:tblGrid>
        <w:gridCol w:w="1620"/>
        <w:gridCol w:w="1760"/>
        <w:gridCol w:w="1580"/>
        <w:gridCol w:w="1580"/>
        <w:gridCol w:w="2060"/>
      </w:tblGrid>
      <w:tr w:rsidR="00020B87" w:rsidRPr="00020B87" w14:paraId="1D068152" w14:textId="77777777" w:rsidTr="00020B87">
        <w:trPr>
          <w:trHeight w:val="300"/>
        </w:trPr>
        <w:tc>
          <w:tcPr>
            <w:tcW w:w="1620" w:type="dxa"/>
            <w:tcBorders>
              <w:top w:val="single" w:sz="4" w:space="0" w:color="auto"/>
              <w:left w:val="single" w:sz="4" w:space="0" w:color="auto"/>
              <w:bottom w:val="single" w:sz="4" w:space="0" w:color="auto"/>
              <w:right w:val="single" w:sz="4" w:space="0" w:color="auto"/>
            </w:tcBorders>
            <w:shd w:val="clear" w:color="000000" w:fill="A9D08E"/>
            <w:noWrap/>
            <w:vAlign w:val="bottom"/>
            <w:hideMark/>
          </w:tcPr>
          <w:p w14:paraId="5B3AC8C7" w14:textId="77777777" w:rsidR="00020B87" w:rsidRPr="00020B87" w:rsidRDefault="00020B87" w:rsidP="00020B87">
            <w:pPr>
              <w:spacing w:after="0" w:line="240" w:lineRule="auto"/>
              <w:rPr>
                <w:rFonts w:ascii="Calibri" w:eastAsia="Times New Roman" w:hAnsi="Calibri" w:cs="Calibri"/>
                <w:color w:val="000000"/>
                <w:lang w:eastAsia="en-GB"/>
              </w:rPr>
            </w:pPr>
            <w:r w:rsidRPr="00020B87">
              <w:rPr>
                <w:rFonts w:ascii="Calibri" w:eastAsia="Times New Roman" w:hAnsi="Calibri" w:cs="Calibri"/>
                <w:color w:val="000000"/>
                <w:lang w:eastAsia="en-GB"/>
              </w:rPr>
              <w:t xml:space="preserve">SL Front left </w:t>
            </w:r>
          </w:p>
        </w:tc>
        <w:tc>
          <w:tcPr>
            <w:tcW w:w="1760" w:type="dxa"/>
            <w:tcBorders>
              <w:top w:val="single" w:sz="4" w:space="0" w:color="auto"/>
              <w:left w:val="nil"/>
              <w:bottom w:val="single" w:sz="4" w:space="0" w:color="auto"/>
              <w:right w:val="single" w:sz="4" w:space="0" w:color="auto"/>
            </w:tcBorders>
            <w:shd w:val="clear" w:color="000000" w:fill="A9D08E"/>
            <w:noWrap/>
            <w:vAlign w:val="bottom"/>
            <w:hideMark/>
          </w:tcPr>
          <w:p w14:paraId="793571F3" w14:textId="77777777" w:rsidR="00020B87" w:rsidRPr="00020B87" w:rsidRDefault="00020B87" w:rsidP="00020B87">
            <w:pPr>
              <w:spacing w:after="0" w:line="240" w:lineRule="auto"/>
              <w:rPr>
                <w:rFonts w:ascii="Calibri" w:eastAsia="Times New Roman" w:hAnsi="Calibri" w:cs="Calibri"/>
                <w:color w:val="000000"/>
                <w:lang w:eastAsia="en-GB"/>
              </w:rPr>
            </w:pPr>
            <w:r w:rsidRPr="00020B87">
              <w:rPr>
                <w:rFonts w:ascii="Calibri" w:eastAsia="Times New Roman" w:hAnsi="Calibri" w:cs="Calibri"/>
                <w:color w:val="000000"/>
                <w:lang w:eastAsia="en-GB"/>
              </w:rPr>
              <w:t xml:space="preserve">SL Front Right </w:t>
            </w:r>
          </w:p>
        </w:tc>
        <w:tc>
          <w:tcPr>
            <w:tcW w:w="1580" w:type="dxa"/>
            <w:tcBorders>
              <w:top w:val="single" w:sz="4" w:space="0" w:color="auto"/>
              <w:left w:val="nil"/>
              <w:bottom w:val="single" w:sz="4" w:space="0" w:color="auto"/>
              <w:right w:val="single" w:sz="4" w:space="0" w:color="auto"/>
            </w:tcBorders>
            <w:shd w:val="clear" w:color="000000" w:fill="A9D08E"/>
            <w:noWrap/>
            <w:vAlign w:val="bottom"/>
            <w:hideMark/>
          </w:tcPr>
          <w:p w14:paraId="12617A8E" w14:textId="77777777" w:rsidR="00020B87" w:rsidRPr="00020B87" w:rsidRDefault="00020B87" w:rsidP="00020B87">
            <w:pPr>
              <w:spacing w:after="0" w:line="240" w:lineRule="auto"/>
              <w:rPr>
                <w:rFonts w:ascii="Calibri" w:eastAsia="Times New Roman" w:hAnsi="Calibri" w:cs="Calibri"/>
                <w:color w:val="000000"/>
                <w:lang w:eastAsia="en-GB"/>
              </w:rPr>
            </w:pPr>
            <w:r w:rsidRPr="00020B87">
              <w:rPr>
                <w:rFonts w:ascii="Calibri" w:eastAsia="Times New Roman" w:hAnsi="Calibri" w:cs="Calibri"/>
                <w:color w:val="000000"/>
                <w:lang w:eastAsia="en-GB"/>
              </w:rPr>
              <w:t xml:space="preserve">SL Rear left </w:t>
            </w:r>
          </w:p>
        </w:tc>
        <w:tc>
          <w:tcPr>
            <w:tcW w:w="1580" w:type="dxa"/>
            <w:tcBorders>
              <w:top w:val="single" w:sz="4" w:space="0" w:color="auto"/>
              <w:left w:val="nil"/>
              <w:bottom w:val="single" w:sz="4" w:space="0" w:color="auto"/>
              <w:right w:val="single" w:sz="4" w:space="0" w:color="auto"/>
            </w:tcBorders>
            <w:shd w:val="clear" w:color="000000" w:fill="A9D08E"/>
            <w:noWrap/>
            <w:vAlign w:val="bottom"/>
            <w:hideMark/>
          </w:tcPr>
          <w:p w14:paraId="40A7560E" w14:textId="77777777" w:rsidR="00020B87" w:rsidRPr="00020B87" w:rsidRDefault="00020B87" w:rsidP="00020B87">
            <w:pPr>
              <w:spacing w:after="0" w:line="240" w:lineRule="auto"/>
              <w:rPr>
                <w:rFonts w:ascii="Calibri" w:eastAsia="Times New Roman" w:hAnsi="Calibri" w:cs="Calibri"/>
                <w:color w:val="000000"/>
                <w:lang w:eastAsia="en-GB"/>
              </w:rPr>
            </w:pPr>
            <w:r w:rsidRPr="00020B87">
              <w:rPr>
                <w:rFonts w:ascii="Calibri" w:eastAsia="Times New Roman" w:hAnsi="Calibri" w:cs="Calibri"/>
                <w:color w:val="000000"/>
                <w:lang w:eastAsia="en-GB"/>
              </w:rPr>
              <w:t xml:space="preserve">SL Rear Right </w:t>
            </w:r>
          </w:p>
        </w:tc>
        <w:tc>
          <w:tcPr>
            <w:tcW w:w="2060" w:type="dxa"/>
            <w:tcBorders>
              <w:top w:val="single" w:sz="4" w:space="0" w:color="auto"/>
              <w:left w:val="nil"/>
              <w:bottom w:val="single" w:sz="4" w:space="0" w:color="auto"/>
              <w:right w:val="single" w:sz="4" w:space="0" w:color="auto"/>
            </w:tcBorders>
            <w:shd w:val="clear" w:color="000000" w:fill="A9D08E"/>
            <w:noWrap/>
            <w:vAlign w:val="bottom"/>
            <w:hideMark/>
          </w:tcPr>
          <w:p w14:paraId="6E9D20F6" w14:textId="77777777" w:rsidR="00020B87" w:rsidRPr="00020B87" w:rsidRDefault="00020B87" w:rsidP="00020B87">
            <w:pPr>
              <w:spacing w:after="0" w:line="240" w:lineRule="auto"/>
              <w:rPr>
                <w:rFonts w:ascii="Calibri" w:eastAsia="Times New Roman" w:hAnsi="Calibri" w:cs="Calibri"/>
                <w:color w:val="000000"/>
                <w:lang w:eastAsia="en-GB"/>
              </w:rPr>
            </w:pPr>
            <w:r w:rsidRPr="00020B87">
              <w:rPr>
                <w:rFonts w:ascii="Calibri" w:eastAsia="Times New Roman" w:hAnsi="Calibri" w:cs="Calibri"/>
                <w:color w:val="000000"/>
                <w:lang w:eastAsia="en-GB"/>
              </w:rPr>
              <w:t>Unit</w:t>
            </w:r>
          </w:p>
        </w:tc>
      </w:tr>
      <w:tr w:rsidR="00020B87" w:rsidRPr="00020B87" w14:paraId="1D102007" w14:textId="77777777" w:rsidTr="00020B87">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1D9BD552" w14:textId="77777777" w:rsidR="00020B87" w:rsidRPr="00020B87" w:rsidRDefault="00020B87" w:rsidP="00020B87">
            <w:pPr>
              <w:spacing w:after="0" w:line="240" w:lineRule="auto"/>
              <w:jc w:val="right"/>
              <w:rPr>
                <w:rFonts w:ascii="Calibri" w:eastAsia="Times New Roman" w:hAnsi="Calibri" w:cs="Calibri"/>
                <w:color w:val="000000"/>
                <w:lang w:eastAsia="en-GB"/>
              </w:rPr>
            </w:pPr>
            <w:r w:rsidRPr="00020B87">
              <w:rPr>
                <w:rFonts w:ascii="Calibri" w:eastAsia="Times New Roman" w:hAnsi="Calibri" w:cs="Calibri"/>
                <w:color w:val="000000"/>
                <w:lang w:eastAsia="en-GB"/>
              </w:rPr>
              <w:t>1476.714996</w:t>
            </w:r>
          </w:p>
        </w:tc>
        <w:tc>
          <w:tcPr>
            <w:tcW w:w="1760" w:type="dxa"/>
            <w:tcBorders>
              <w:top w:val="nil"/>
              <w:left w:val="nil"/>
              <w:bottom w:val="single" w:sz="4" w:space="0" w:color="auto"/>
              <w:right w:val="single" w:sz="4" w:space="0" w:color="auto"/>
            </w:tcBorders>
            <w:shd w:val="clear" w:color="auto" w:fill="auto"/>
            <w:noWrap/>
            <w:vAlign w:val="bottom"/>
            <w:hideMark/>
          </w:tcPr>
          <w:p w14:paraId="7E537CE8" w14:textId="77777777" w:rsidR="00020B87" w:rsidRPr="00020B87" w:rsidRDefault="00020B87" w:rsidP="00020B87">
            <w:pPr>
              <w:spacing w:after="0" w:line="240" w:lineRule="auto"/>
              <w:jc w:val="right"/>
              <w:rPr>
                <w:rFonts w:ascii="Calibri" w:eastAsia="Times New Roman" w:hAnsi="Calibri" w:cs="Calibri"/>
                <w:color w:val="000000"/>
                <w:lang w:eastAsia="en-GB"/>
              </w:rPr>
            </w:pPr>
            <w:r w:rsidRPr="00020B87">
              <w:rPr>
                <w:rFonts w:ascii="Calibri" w:eastAsia="Times New Roman" w:hAnsi="Calibri" w:cs="Calibri"/>
                <w:color w:val="000000"/>
                <w:lang w:eastAsia="en-GB"/>
              </w:rPr>
              <w:t>1418.8</w:t>
            </w:r>
          </w:p>
        </w:tc>
        <w:tc>
          <w:tcPr>
            <w:tcW w:w="1580" w:type="dxa"/>
            <w:tcBorders>
              <w:top w:val="nil"/>
              <w:left w:val="nil"/>
              <w:bottom w:val="single" w:sz="4" w:space="0" w:color="auto"/>
              <w:right w:val="single" w:sz="4" w:space="0" w:color="auto"/>
            </w:tcBorders>
            <w:shd w:val="clear" w:color="auto" w:fill="auto"/>
            <w:noWrap/>
            <w:vAlign w:val="bottom"/>
            <w:hideMark/>
          </w:tcPr>
          <w:p w14:paraId="63EBD37B" w14:textId="77777777" w:rsidR="00020B87" w:rsidRPr="00020B87" w:rsidRDefault="00020B87" w:rsidP="00020B87">
            <w:pPr>
              <w:spacing w:after="0" w:line="240" w:lineRule="auto"/>
              <w:jc w:val="right"/>
              <w:rPr>
                <w:rFonts w:ascii="Calibri" w:eastAsia="Times New Roman" w:hAnsi="Calibri" w:cs="Calibri"/>
                <w:color w:val="000000"/>
                <w:lang w:eastAsia="en-GB"/>
              </w:rPr>
            </w:pPr>
            <w:r w:rsidRPr="00020B87">
              <w:rPr>
                <w:rFonts w:ascii="Calibri" w:eastAsia="Times New Roman" w:hAnsi="Calibri" w:cs="Calibri"/>
                <w:color w:val="000000"/>
                <w:lang w:eastAsia="en-GB"/>
              </w:rPr>
              <w:t>1665.23</w:t>
            </w:r>
          </w:p>
        </w:tc>
        <w:tc>
          <w:tcPr>
            <w:tcW w:w="1580" w:type="dxa"/>
            <w:tcBorders>
              <w:top w:val="nil"/>
              <w:left w:val="nil"/>
              <w:bottom w:val="single" w:sz="4" w:space="0" w:color="auto"/>
              <w:right w:val="single" w:sz="4" w:space="0" w:color="auto"/>
            </w:tcBorders>
            <w:shd w:val="clear" w:color="auto" w:fill="auto"/>
            <w:noWrap/>
            <w:vAlign w:val="bottom"/>
            <w:hideMark/>
          </w:tcPr>
          <w:p w14:paraId="691CF19E" w14:textId="77777777" w:rsidR="00020B87" w:rsidRPr="00020B87" w:rsidRDefault="00020B87" w:rsidP="00020B87">
            <w:pPr>
              <w:spacing w:after="0" w:line="240" w:lineRule="auto"/>
              <w:jc w:val="right"/>
              <w:rPr>
                <w:rFonts w:ascii="Calibri" w:eastAsia="Times New Roman" w:hAnsi="Calibri" w:cs="Calibri"/>
                <w:color w:val="000000"/>
                <w:lang w:eastAsia="en-GB"/>
              </w:rPr>
            </w:pPr>
            <w:r w:rsidRPr="00020B87">
              <w:rPr>
                <w:rFonts w:ascii="Calibri" w:eastAsia="Times New Roman" w:hAnsi="Calibri" w:cs="Calibri"/>
                <w:color w:val="000000"/>
                <w:lang w:eastAsia="en-GB"/>
              </w:rPr>
              <w:t>1599.93</w:t>
            </w:r>
          </w:p>
        </w:tc>
        <w:tc>
          <w:tcPr>
            <w:tcW w:w="2060" w:type="dxa"/>
            <w:tcBorders>
              <w:top w:val="nil"/>
              <w:left w:val="nil"/>
              <w:bottom w:val="single" w:sz="4" w:space="0" w:color="auto"/>
              <w:right w:val="single" w:sz="4" w:space="0" w:color="auto"/>
            </w:tcBorders>
            <w:shd w:val="clear" w:color="auto" w:fill="auto"/>
            <w:noWrap/>
            <w:vAlign w:val="bottom"/>
            <w:hideMark/>
          </w:tcPr>
          <w:p w14:paraId="166E35BC" w14:textId="32830224" w:rsidR="00EA13B6" w:rsidRPr="00020B87" w:rsidRDefault="00020B87" w:rsidP="00020B87">
            <w:pPr>
              <w:spacing w:after="0" w:line="240" w:lineRule="auto"/>
              <w:rPr>
                <w:rFonts w:ascii="Calibri" w:eastAsia="Times New Roman" w:hAnsi="Calibri" w:cs="Calibri"/>
                <w:color w:val="000000"/>
                <w:lang w:eastAsia="en-GB"/>
              </w:rPr>
            </w:pPr>
            <w:r w:rsidRPr="00020B87">
              <w:rPr>
                <w:rFonts w:ascii="Calibri" w:eastAsia="Times New Roman" w:hAnsi="Calibri" w:cs="Calibri"/>
                <w:color w:val="000000"/>
                <w:lang w:eastAsia="en-GB"/>
              </w:rPr>
              <w:t>N</w:t>
            </w:r>
          </w:p>
        </w:tc>
      </w:tr>
    </w:tbl>
    <w:p w14:paraId="029AE0BB" w14:textId="0568BE0C" w:rsidR="00EA13B6" w:rsidRDefault="00EA13B6" w:rsidP="00214E96">
      <w:r>
        <w:t xml:space="preserve">Figure 2-1 Static vertical loads at each contact patch table (Bradley, T. 2020)  </w:t>
      </w:r>
    </w:p>
    <w:p w14:paraId="1FF2806E" w14:textId="66F5E68F" w:rsidR="0092792C" w:rsidRDefault="0092792C" w:rsidP="00214E96">
      <w:r>
        <w:t xml:space="preserve">Stage 2 </w:t>
      </w:r>
    </w:p>
    <w:p w14:paraId="47B71AB1" w14:textId="1F33414B" w:rsidR="0092792C" w:rsidRDefault="00BC54CC" w:rsidP="00214E96">
      <w:r>
        <w:t xml:space="preserve">The second stage which looks at aero load acting on the vehicle produced the following figure. </w:t>
      </w:r>
    </w:p>
    <w:tbl>
      <w:tblPr>
        <w:tblW w:w="3380" w:type="dxa"/>
        <w:tblLook w:val="04A0" w:firstRow="1" w:lastRow="0" w:firstColumn="1" w:lastColumn="0" w:noHBand="0" w:noVBand="1"/>
      </w:tblPr>
      <w:tblGrid>
        <w:gridCol w:w="1620"/>
        <w:gridCol w:w="1760"/>
      </w:tblGrid>
      <w:tr w:rsidR="00C53E58" w:rsidRPr="00C53E58" w14:paraId="5D3427FB" w14:textId="77777777" w:rsidTr="00C53E58">
        <w:trPr>
          <w:trHeight w:val="300"/>
        </w:trPr>
        <w:tc>
          <w:tcPr>
            <w:tcW w:w="1620" w:type="dxa"/>
            <w:tcBorders>
              <w:top w:val="single" w:sz="4" w:space="0" w:color="auto"/>
              <w:left w:val="single" w:sz="4" w:space="0" w:color="auto"/>
              <w:bottom w:val="single" w:sz="4" w:space="0" w:color="auto"/>
              <w:right w:val="single" w:sz="4" w:space="0" w:color="auto"/>
            </w:tcBorders>
            <w:shd w:val="clear" w:color="000000" w:fill="A9D08E"/>
            <w:noWrap/>
            <w:vAlign w:val="bottom"/>
            <w:hideMark/>
          </w:tcPr>
          <w:p w14:paraId="033FE04C" w14:textId="77777777" w:rsidR="00C53E58" w:rsidRPr="00C53E58" w:rsidRDefault="00C53E58" w:rsidP="00C53E58">
            <w:pPr>
              <w:spacing w:after="0" w:line="240" w:lineRule="auto"/>
              <w:rPr>
                <w:rFonts w:ascii="Calibri" w:eastAsia="Times New Roman" w:hAnsi="Calibri" w:cs="Calibri"/>
                <w:color w:val="000000"/>
                <w:lang w:eastAsia="en-GB"/>
              </w:rPr>
            </w:pPr>
            <w:r w:rsidRPr="00C53E58">
              <w:rPr>
                <w:rFonts w:ascii="Calibri" w:eastAsia="Times New Roman" w:hAnsi="Calibri" w:cs="Calibri"/>
                <w:color w:val="000000"/>
                <w:lang w:eastAsia="en-GB"/>
              </w:rPr>
              <w:t xml:space="preserve">Aero load </w:t>
            </w:r>
          </w:p>
        </w:tc>
        <w:tc>
          <w:tcPr>
            <w:tcW w:w="1760" w:type="dxa"/>
            <w:tcBorders>
              <w:top w:val="single" w:sz="4" w:space="0" w:color="auto"/>
              <w:left w:val="nil"/>
              <w:bottom w:val="single" w:sz="4" w:space="0" w:color="auto"/>
              <w:right w:val="single" w:sz="4" w:space="0" w:color="auto"/>
            </w:tcBorders>
            <w:shd w:val="clear" w:color="000000" w:fill="FFFFFF"/>
            <w:noWrap/>
            <w:vAlign w:val="bottom"/>
            <w:hideMark/>
          </w:tcPr>
          <w:p w14:paraId="448C80C0" w14:textId="77777777" w:rsidR="00C53E58" w:rsidRPr="00C53E58" w:rsidRDefault="00C53E58" w:rsidP="00C53E58">
            <w:pPr>
              <w:spacing w:after="0" w:line="240" w:lineRule="auto"/>
              <w:jc w:val="right"/>
              <w:rPr>
                <w:rFonts w:ascii="Calibri" w:eastAsia="Times New Roman" w:hAnsi="Calibri" w:cs="Calibri"/>
                <w:color w:val="000000"/>
                <w:lang w:eastAsia="en-GB"/>
              </w:rPr>
            </w:pPr>
            <w:r w:rsidRPr="00C53E58">
              <w:rPr>
                <w:rFonts w:ascii="Calibri" w:eastAsia="Times New Roman" w:hAnsi="Calibri" w:cs="Calibri"/>
                <w:color w:val="000000"/>
                <w:lang w:eastAsia="en-GB"/>
              </w:rPr>
              <w:t>-409.46</w:t>
            </w:r>
          </w:p>
        </w:tc>
      </w:tr>
    </w:tbl>
    <w:p w14:paraId="18C4EBDF" w14:textId="3EB820D4" w:rsidR="00D56300" w:rsidRDefault="00D56300" w:rsidP="00D56300">
      <w:r>
        <w:t xml:space="preserve">Figure 2-2 Aerodynamic load (Bradley, T. 2020)  </w:t>
      </w:r>
    </w:p>
    <w:p w14:paraId="3250AF5D" w14:textId="49069AE1" w:rsidR="0092792C" w:rsidRDefault="0092792C" w:rsidP="00214E96">
      <w:r>
        <w:t xml:space="preserve">Stage 3 </w:t>
      </w:r>
    </w:p>
    <w:p w14:paraId="544E08EC" w14:textId="78CF8142" w:rsidR="0092792C" w:rsidRDefault="00BA6BE1" w:rsidP="00214E96">
      <w:r>
        <w:t xml:space="preserve">The third stage of the data is broken into Four different graphs, the </w:t>
      </w:r>
      <w:r w:rsidR="002A396A">
        <w:t xml:space="preserve">first two look at the vertical load both lateral and longitudinal compared against G force. The last two graphs are again vertical load both lateral and </w:t>
      </w:r>
      <w:r w:rsidR="009A60CF">
        <w:t>longitudinal,</w:t>
      </w:r>
      <w:r w:rsidR="002A396A">
        <w:t xml:space="preserve"> but they are compared against velocity. </w:t>
      </w:r>
    </w:p>
    <w:p w14:paraId="1B6E869D" w14:textId="06A58A02" w:rsidR="009A60CF" w:rsidRDefault="00CB5660" w:rsidP="00214E96">
      <w:r>
        <w:rPr>
          <w:noProof/>
        </w:rPr>
        <w:drawing>
          <wp:inline distT="0" distB="0" distL="0" distR="0" wp14:anchorId="0B9DCBF2" wp14:editId="09972650">
            <wp:extent cx="5731510" cy="2358390"/>
            <wp:effectExtent l="0" t="0" r="2540" b="3810"/>
            <wp:docPr id="2" name="Chart 2">
              <a:extLst xmlns:a="http://schemas.openxmlformats.org/drawingml/2006/main">
                <a:ext uri="{FF2B5EF4-FFF2-40B4-BE49-F238E27FC236}">
                  <a16:creationId xmlns:a16="http://schemas.microsoft.com/office/drawing/2014/main" id="{A3487355-4226-4D98-AD84-25758BABC5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7AC1205" w14:textId="6C354A26" w:rsidR="00CB5660" w:rsidRDefault="00CB5660" w:rsidP="00214E96">
      <w:r>
        <w:t xml:space="preserve">Figure 2-3 The vertical load (Lateral) Compared against G force (Bradley, T. 2020) </w:t>
      </w:r>
    </w:p>
    <w:p w14:paraId="536A7702" w14:textId="4A6DF91B" w:rsidR="00340B6C" w:rsidRDefault="00340B6C" w:rsidP="00214E96">
      <w:r>
        <w:rPr>
          <w:noProof/>
        </w:rPr>
        <w:lastRenderedPageBreak/>
        <w:drawing>
          <wp:inline distT="0" distB="0" distL="0" distR="0" wp14:anchorId="77FA4D3B" wp14:editId="18545FC5">
            <wp:extent cx="5731510" cy="2700020"/>
            <wp:effectExtent l="0" t="0" r="2540" b="5080"/>
            <wp:docPr id="3" name="Chart 3">
              <a:extLst xmlns:a="http://schemas.openxmlformats.org/drawingml/2006/main">
                <a:ext uri="{FF2B5EF4-FFF2-40B4-BE49-F238E27FC236}">
                  <a16:creationId xmlns:a16="http://schemas.microsoft.com/office/drawing/2014/main" id="{F28921A8-3483-4B52-8BE5-F3C6F3FF2B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6D428C2" w14:textId="0793D699" w:rsidR="00340B6C" w:rsidRDefault="00340B6C" w:rsidP="00214E96">
      <w:r>
        <w:t xml:space="preserve">Figure 2-4 The vertical </w:t>
      </w:r>
      <w:r w:rsidR="00310091">
        <w:t>l</w:t>
      </w:r>
      <w:r>
        <w:t xml:space="preserve">oad (Longitudinal) Vs G force (Bradley, T. 2020) </w:t>
      </w:r>
    </w:p>
    <w:p w14:paraId="069B672C" w14:textId="503F0DE2" w:rsidR="00310091" w:rsidRDefault="00310091" w:rsidP="00214E96">
      <w:r>
        <w:rPr>
          <w:noProof/>
        </w:rPr>
        <w:drawing>
          <wp:inline distT="0" distB="0" distL="0" distR="0" wp14:anchorId="1E046554" wp14:editId="3A540017">
            <wp:extent cx="5731510" cy="2675890"/>
            <wp:effectExtent l="0" t="0" r="2540" b="10160"/>
            <wp:docPr id="4" name="Chart 4">
              <a:extLst xmlns:a="http://schemas.openxmlformats.org/drawingml/2006/main">
                <a:ext uri="{FF2B5EF4-FFF2-40B4-BE49-F238E27FC236}">
                  <a16:creationId xmlns:a16="http://schemas.microsoft.com/office/drawing/2014/main" id="{2707824F-EA5E-47B3-B278-3F92AD0BF21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F8E7E5B" w14:textId="53EB2B50" w:rsidR="00310091" w:rsidRDefault="00310091" w:rsidP="00214E96">
      <w:r>
        <w:t xml:space="preserve">Figure 2-5 The vertical load (lateral) Vs Velocity (Bradley, T. 2020) </w:t>
      </w:r>
    </w:p>
    <w:p w14:paraId="4ABEEA06" w14:textId="63CFE879" w:rsidR="00310091" w:rsidRDefault="0095137E" w:rsidP="00214E96">
      <w:r>
        <w:rPr>
          <w:noProof/>
        </w:rPr>
        <w:drawing>
          <wp:inline distT="0" distB="0" distL="0" distR="0" wp14:anchorId="3A1667FD" wp14:editId="6B89B8B3">
            <wp:extent cx="5731510" cy="2357120"/>
            <wp:effectExtent l="0" t="0" r="2540" b="5080"/>
            <wp:docPr id="5" name="Chart 5">
              <a:extLst xmlns:a="http://schemas.openxmlformats.org/drawingml/2006/main">
                <a:ext uri="{FF2B5EF4-FFF2-40B4-BE49-F238E27FC236}">
                  <a16:creationId xmlns:a16="http://schemas.microsoft.com/office/drawing/2014/main" id="{22EEA16C-9512-4E6B-8C9D-B7CC6939AC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3703D43" w14:textId="07B1CBA5" w:rsidR="00310091" w:rsidRDefault="00DF0E85" w:rsidP="00214E96">
      <w:r>
        <w:t xml:space="preserve">Figure 2-6 The vertical load (longitudinal) Vs Velocity (Bradley, T. 2020) </w:t>
      </w:r>
    </w:p>
    <w:p w14:paraId="6CD9EF95" w14:textId="60946E5D" w:rsidR="0092792C" w:rsidRDefault="0092792C" w:rsidP="00214E96">
      <w:r>
        <w:lastRenderedPageBreak/>
        <w:t xml:space="preserve">Stage 4 </w:t>
      </w:r>
    </w:p>
    <w:p w14:paraId="395ACF49" w14:textId="64552F1C" w:rsidR="0092792C" w:rsidRDefault="000E4D5B" w:rsidP="00214E96">
      <w:r>
        <w:rPr>
          <w:noProof/>
        </w:rPr>
        <w:drawing>
          <wp:anchor distT="0" distB="0" distL="114300" distR="114300" simplePos="0" relativeHeight="251660288" behindDoc="0" locked="0" layoutInCell="1" allowOverlap="1" wp14:anchorId="0E51139D" wp14:editId="5EBFF870">
            <wp:simplePos x="0" y="0"/>
            <wp:positionH relativeFrom="column">
              <wp:posOffset>0</wp:posOffset>
            </wp:positionH>
            <wp:positionV relativeFrom="paragraph">
              <wp:posOffset>471170</wp:posOffset>
            </wp:positionV>
            <wp:extent cx="6121400" cy="2468880"/>
            <wp:effectExtent l="0" t="0" r="0" b="762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12414" t="26628" r="62971" b="32778"/>
                    <a:stretch/>
                  </pic:blipFill>
                  <pic:spPr bwMode="auto">
                    <a:xfrm>
                      <a:off x="0" y="0"/>
                      <a:ext cx="6121400" cy="24688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C2715">
        <w:t>The fourth stage looks at the traction circle diagram and how different Acceleration values produce different vertical loads</w:t>
      </w:r>
      <w:r w:rsidR="00F25746">
        <w:t>.</w:t>
      </w:r>
      <w:r w:rsidR="001C2715">
        <w:t xml:space="preserve"> </w:t>
      </w:r>
    </w:p>
    <w:p w14:paraId="5D060DEB" w14:textId="1F58E987" w:rsidR="000E4D5B" w:rsidRDefault="004036F7" w:rsidP="00214E96">
      <w:r>
        <w:t>Figure 2-7 Traction circle diagram and 2 data tables looking at lateral and longitudinal vertical loads (Bradley, T. 2020)</w:t>
      </w:r>
    </w:p>
    <w:p w14:paraId="7D6A94A5" w14:textId="0401C910" w:rsidR="0092792C" w:rsidRDefault="0092792C" w:rsidP="00214E96">
      <w:r>
        <w:t xml:space="preserve">Stage 5 </w:t>
      </w:r>
    </w:p>
    <w:tbl>
      <w:tblPr>
        <w:tblW w:w="8600" w:type="dxa"/>
        <w:tblLook w:val="04A0" w:firstRow="1" w:lastRow="0" w:firstColumn="1" w:lastColumn="0" w:noHBand="0" w:noVBand="1"/>
      </w:tblPr>
      <w:tblGrid>
        <w:gridCol w:w="1620"/>
        <w:gridCol w:w="1760"/>
        <w:gridCol w:w="1580"/>
        <w:gridCol w:w="1580"/>
        <w:gridCol w:w="2060"/>
      </w:tblGrid>
      <w:tr w:rsidR="00547446" w:rsidRPr="00547446" w14:paraId="53736797" w14:textId="77777777" w:rsidTr="00547446">
        <w:trPr>
          <w:trHeight w:val="300"/>
        </w:trPr>
        <w:tc>
          <w:tcPr>
            <w:tcW w:w="1620" w:type="dxa"/>
            <w:tcBorders>
              <w:top w:val="single" w:sz="4" w:space="0" w:color="auto"/>
              <w:left w:val="single" w:sz="4" w:space="0" w:color="auto"/>
              <w:bottom w:val="single" w:sz="4" w:space="0" w:color="auto"/>
              <w:right w:val="single" w:sz="4" w:space="0" w:color="auto"/>
            </w:tcBorders>
            <w:shd w:val="clear" w:color="000000" w:fill="7030A0"/>
            <w:noWrap/>
            <w:vAlign w:val="bottom"/>
            <w:hideMark/>
          </w:tcPr>
          <w:p w14:paraId="13288B11" w14:textId="67E14DCB" w:rsidR="00547446" w:rsidRPr="00547446" w:rsidRDefault="00547446" w:rsidP="00547446">
            <w:pPr>
              <w:spacing w:after="0" w:line="240" w:lineRule="auto"/>
              <w:rPr>
                <w:rFonts w:ascii="Calibri" w:eastAsia="Times New Roman" w:hAnsi="Calibri" w:cs="Calibri"/>
                <w:color w:val="000000"/>
                <w:lang w:eastAsia="en-GB"/>
              </w:rPr>
            </w:pPr>
            <w:r w:rsidRPr="00547446">
              <w:rPr>
                <w:rFonts w:ascii="Calibri" w:eastAsia="Times New Roman" w:hAnsi="Calibri" w:cs="Calibri"/>
                <w:color w:val="000000"/>
                <w:lang w:eastAsia="en-GB"/>
              </w:rPr>
              <w:t xml:space="preserve">Wheelbase </w:t>
            </w:r>
          </w:p>
        </w:tc>
        <w:tc>
          <w:tcPr>
            <w:tcW w:w="1760" w:type="dxa"/>
            <w:tcBorders>
              <w:top w:val="nil"/>
              <w:left w:val="nil"/>
              <w:bottom w:val="nil"/>
              <w:right w:val="nil"/>
            </w:tcBorders>
            <w:shd w:val="clear" w:color="auto" w:fill="auto"/>
            <w:noWrap/>
            <w:vAlign w:val="bottom"/>
            <w:hideMark/>
          </w:tcPr>
          <w:p w14:paraId="156BC8EB" w14:textId="77777777" w:rsidR="00547446" w:rsidRPr="00547446" w:rsidRDefault="00547446" w:rsidP="00547446">
            <w:pPr>
              <w:spacing w:after="0" w:line="240" w:lineRule="auto"/>
              <w:rPr>
                <w:rFonts w:ascii="Calibri" w:eastAsia="Times New Roman" w:hAnsi="Calibri" w:cs="Calibri"/>
                <w:color w:val="000000"/>
                <w:lang w:eastAsia="en-GB"/>
              </w:rPr>
            </w:pPr>
          </w:p>
        </w:tc>
        <w:tc>
          <w:tcPr>
            <w:tcW w:w="1580" w:type="dxa"/>
            <w:tcBorders>
              <w:top w:val="single" w:sz="4" w:space="0" w:color="auto"/>
              <w:left w:val="single" w:sz="4" w:space="0" w:color="auto"/>
              <w:bottom w:val="single" w:sz="4" w:space="0" w:color="auto"/>
              <w:right w:val="single" w:sz="4" w:space="0" w:color="auto"/>
            </w:tcBorders>
            <w:shd w:val="clear" w:color="000000" w:fill="7030A0"/>
            <w:noWrap/>
            <w:vAlign w:val="bottom"/>
            <w:hideMark/>
          </w:tcPr>
          <w:p w14:paraId="6307AC9F" w14:textId="77777777" w:rsidR="00547446" w:rsidRPr="00547446" w:rsidRDefault="00547446" w:rsidP="00547446">
            <w:pPr>
              <w:spacing w:after="0" w:line="240" w:lineRule="auto"/>
              <w:rPr>
                <w:rFonts w:ascii="Calibri" w:eastAsia="Times New Roman" w:hAnsi="Calibri" w:cs="Calibri"/>
                <w:color w:val="000000"/>
                <w:lang w:eastAsia="en-GB"/>
              </w:rPr>
            </w:pPr>
            <w:r w:rsidRPr="00547446">
              <w:rPr>
                <w:rFonts w:ascii="Calibri" w:eastAsia="Times New Roman" w:hAnsi="Calibri" w:cs="Calibri"/>
                <w:color w:val="000000"/>
                <w:lang w:eastAsia="en-GB"/>
              </w:rPr>
              <w:t>CoG Height</w:t>
            </w:r>
          </w:p>
        </w:tc>
        <w:tc>
          <w:tcPr>
            <w:tcW w:w="1580" w:type="dxa"/>
            <w:tcBorders>
              <w:top w:val="nil"/>
              <w:left w:val="nil"/>
              <w:bottom w:val="nil"/>
              <w:right w:val="nil"/>
            </w:tcBorders>
            <w:shd w:val="clear" w:color="auto" w:fill="auto"/>
            <w:noWrap/>
            <w:vAlign w:val="bottom"/>
            <w:hideMark/>
          </w:tcPr>
          <w:p w14:paraId="38763404" w14:textId="77777777" w:rsidR="00547446" w:rsidRPr="00547446" w:rsidRDefault="00547446" w:rsidP="00547446">
            <w:pPr>
              <w:spacing w:after="0" w:line="240" w:lineRule="auto"/>
              <w:rPr>
                <w:rFonts w:ascii="Calibri" w:eastAsia="Times New Roman" w:hAnsi="Calibri" w:cs="Calibri"/>
                <w:color w:val="000000"/>
                <w:lang w:eastAsia="en-GB"/>
              </w:rPr>
            </w:pPr>
          </w:p>
        </w:tc>
        <w:tc>
          <w:tcPr>
            <w:tcW w:w="2060" w:type="dxa"/>
            <w:tcBorders>
              <w:top w:val="single" w:sz="4" w:space="0" w:color="auto"/>
              <w:left w:val="single" w:sz="4" w:space="0" w:color="auto"/>
              <w:bottom w:val="single" w:sz="4" w:space="0" w:color="auto"/>
              <w:right w:val="single" w:sz="4" w:space="0" w:color="auto"/>
            </w:tcBorders>
            <w:shd w:val="clear" w:color="000000" w:fill="7030A0"/>
            <w:noWrap/>
            <w:vAlign w:val="bottom"/>
            <w:hideMark/>
          </w:tcPr>
          <w:p w14:paraId="29B658A4" w14:textId="77777777" w:rsidR="00547446" w:rsidRPr="00547446" w:rsidRDefault="00547446" w:rsidP="00547446">
            <w:pPr>
              <w:spacing w:after="0" w:line="240" w:lineRule="auto"/>
              <w:rPr>
                <w:rFonts w:ascii="Calibri" w:eastAsia="Times New Roman" w:hAnsi="Calibri" w:cs="Calibri"/>
                <w:color w:val="000000"/>
                <w:lang w:eastAsia="en-GB"/>
              </w:rPr>
            </w:pPr>
            <w:r w:rsidRPr="00547446">
              <w:rPr>
                <w:rFonts w:ascii="Calibri" w:eastAsia="Times New Roman" w:hAnsi="Calibri" w:cs="Calibri"/>
                <w:color w:val="000000"/>
                <w:lang w:eastAsia="en-GB"/>
              </w:rPr>
              <w:t>Average track</w:t>
            </w:r>
          </w:p>
        </w:tc>
      </w:tr>
      <w:tr w:rsidR="00547446" w:rsidRPr="00547446" w14:paraId="7A6FA42C" w14:textId="77777777" w:rsidTr="00547446">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0D59E7CC" w14:textId="77777777" w:rsidR="00547446" w:rsidRPr="00547446" w:rsidRDefault="00547446" w:rsidP="00547446">
            <w:pPr>
              <w:spacing w:after="0" w:line="240" w:lineRule="auto"/>
              <w:jc w:val="right"/>
              <w:rPr>
                <w:rFonts w:ascii="Calibri" w:eastAsia="Times New Roman" w:hAnsi="Calibri" w:cs="Calibri"/>
                <w:color w:val="000000"/>
                <w:lang w:eastAsia="en-GB"/>
              </w:rPr>
            </w:pPr>
            <w:r w:rsidRPr="00547446">
              <w:rPr>
                <w:rFonts w:ascii="Calibri" w:eastAsia="Times New Roman" w:hAnsi="Calibri" w:cs="Calibri"/>
                <w:color w:val="000000"/>
                <w:lang w:eastAsia="en-GB"/>
              </w:rPr>
              <w:t>1.8</w:t>
            </w:r>
          </w:p>
        </w:tc>
        <w:tc>
          <w:tcPr>
            <w:tcW w:w="1760" w:type="dxa"/>
            <w:tcBorders>
              <w:top w:val="nil"/>
              <w:left w:val="nil"/>
              <w:bottom w:val="nil"/>
              <w:right w:val="nil"/>
            </w:tcBorders>
            <w:shd w:val="clear" w:color="auto" w:fill="auto"/>
            <w:noWrap/>
            <w:vAlign w:val="bottom"/>
            <w:hideMark/>
          </w:tcPr>
          <w:p w14:paraId="4D1E2BB7" w14:textId="77777777" w:rsidR="00547446" w:rsidRPr="00547446" w:rsidRDefault="00547446" w:rsidP="00547446">
            <w:pPr>
              <w:spacing w:after="0" w:line="240" w:lineRule="auto"/>
              <w:jc w:val="right"/>
              <w:rPr>
                <w:rFonts w:ascii="Calibri" w:eastAsia="Times New Roman" w:hAnsi="Calibri" w:cs="Calibri"/>
                <w:color w:val="000000"/>
                <w:lang w:eastAsia="en-GB"/>
              </w:rPr>
            </w:pPr>
          </w:p>
        </w:tc>
        <w:tc>
          <w:tcPr>
            <w:tcW w:w="1580" w:type="dxa"/>
            <w:tcBorders>
              <w:top w:val="nil"/>
              <w:left w:val="single" w:sz="4" w:space="0" w:color="auto"/>
              <w:bottom w:val="single" w:sz="4" w:space="0" w:color="auto"/>
              <w:right w:val="single" w:sz="4" w:space="0" w:color="auto"/>
            </w:tcBorders>
            <w:shd w:val="clear" w:color="auto" w:fill="auto"/>
            <w:noWrap/>
            <w:vAlign w:val="bottom"/>
            <w:hideMark/>
          </w:tcPr>
          <w:p w14:paraId="197FE493" w14:textId="77777777" w:rsidR="00547446" w:rsidRPr="00547446" w:rsidRDefault="00547446" w:rsidP="00547446">
            <w:pPr>
              <w:spacing w:after="0" w:line="240" w:lineRule="auto"/>
              <w:jc w:val="right"/>
              <w:rPr>
                <w:rFonts w:ascii="Calibri" w:eastAsia="Times New Roman" w:hAnsi="Calibri" w:cs="Calibri"/>
                <w:color w:val="000000"/>
                <w:lang w:eastAsia="en-GB"/>
              </w:rPr>
            </w:pPr>
            <w:r w:rsidRPr="00547446">
              <w:rPr>
                <w:rFonts w:ascii="Calibri" w:eastAsia="Times New Roman" w:hAnsi="Calibri" w:cs="Calibri"/>
                <w:color w:val="000000"/>
                <w:lang w:eastAsia="en-GB"/>
              </w:rPr>
              <w:t>0.26</w:t>
            </w:r>
          </w:p>
        </w:tc>
        <w:tc>
          <w:tcPr>
            <w:tcW w:w="1580" w:type="dxa"/>
            <w:tcBorders>
              <w:top w:val="nil"/>
              <w:left w:val="nil"/>
              <w:bottom w:val="nil"/>
              <w:right w:val="nil"/>
            </w:tcBorders>
            <w:shd w:val="clear" w:color="auto" w:fill="auto"/>
            <w:noWrap/>
            <w:vAlign w:val="bottom"/>
            <w:hideMark/>
          </w:tcPr>
          <w:p w14:paraId="5A708DC1" w14:textId="77777777" w:rsidR="00547446" w:rsidRPr="00547446" w:rsidRDefault="00547446" w:rsidP="00547446">
            <w:pPr>
              <w:spacing w:after="0" w:line="240" w:lineRule="auto"/>
              <w:jc w:val="right"/>
              <w:rPr>
                <w:rFonts w:ascii="Calibri" w:eastAsia="Times New Roman" w:hAnsi="Calibri" w:cs="Calibri"/>
                <w:color w:val="000000"/>
                <w:lang w:eastAsia="en-GB"/>
              </w:rPr>
            </w:pPr>
          </w:p>
        </w:tc>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2AFB015A" w14:textId="77777777" w:rsidR="00547446" w:rsidRPr="00547446" w:rsidRDefault="00547446" w:rsidP="00547446">
            <w:pPr>
              <w:spacing w:after="0" w:line="240" w:lineRule="auto"/>
              <w:jc w:val="right"/>
              <w:rPr>
                <w:rFonts w:ascii="Calibri" w:eastAsia="Times New Roman" w:hAnsi="Calibri" w:cs="Calibri"/>
                <w:color w:val="000000"/>
                <w:lang w:eastAsia="en-GB"/>
              </w:rPr>
            </w:pPr>
            <w:r w:rsidRPr="00547446">
              <w:rPr>
                <w:rFonts w:ascii="Calibri" w:eastAsia="Times New Roman" w:hAnsi="Calibri" w:cs="Calibri"/>
                <w:color w:val="000000"/>
                <w:lang w:eastAsia="en-GB"/>
              </w:rPr>
              <w:t>1.52</w:t>
            </w:r>
          </w:p>
        </w:tc>
      </w:tr>
      <w:tr w:rsidR="00547446" w:rsidRPr="00547446" w14:paraId="4BCAD854" w14:textId="77777777" w:rsidTr="00547446">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27FA1AF4" w14:textId="77777777" w:rsidR="00547446" w:rsidRPr="00547446" w:rsidRDefault="00547446" w:rsidP="00547446">
            <w:pPr>
              <w:spacing w:after="0" w:line="240" w:lineRule="auto"/>
              <w:jc w:val="right"/>
              <w:rPr>
                <w:rFonts w:ascii="Calibri" w:eastAsia="Times New Roman" w:hAnsi="Calibri" w:cs="Calibri"/>
                <w:color w:val="000000"/>
                <w:lang w:eastAsia="en-GB"/>
              </w:rPr>
            </w:pPr>
            <w:r w:rsidRPr="00547446">
              <w:rPr>
                <w:rFonts w:ascii="Calibri" w:eastAsia="Times New Roman" w:hAnsi="Calibri" w:cs="Calibri"/>
                <w:color w:val="000000"/>
                <w:lang w:eastAsia="en-GB"/>
              </w:rPr>
              <w:t>2.0</w:t>
            </w:r>
          </w:p>
        </w:tc>
        <w:tc>
          <w:tcPr>
            <w:tcW w:w="1760" w:type="dxa"/>
            <w:tcBorders>
              <w:top w:val="nil"/>
              <w:left w:val="nil"/>
              <w:bottom w:val="nil"/>
              <w:right w:val="nil"/>
            </w:tcBorders>
            <w:shd w:val="clear" w:color="auto" w:fill="auto"/>
            <w:noWrap/>
            <w:vAlign w:val="bottom"/>
            <w:hideMark/>
          </w:tcPr>
          <w:p w14:paraId="40E8DCEE" w14:textId="77777777" w:rsidR="00547446" w:rsidRPr="00547446" w:rsidRDefault="00547446" w:rsidP="00547446">
            <w:pPr>
              <w:spacing w:after="0" w:line="240" w:lineRule="auto"/>
              <w:jc w:val="right"/>
              <w:rPr>
                <w:rFonts w:ascii="Calibri" w:eastAsia="Times New Roman" w:hAnsi="Calibri" w:cs="Calibri"/>
                <w:color w:val="000000"/>
                <w:lang w:eastAsia="en-GB"/>
              </w:rPr>
            </w:pPr>
          </w:p>
        </w:tc>
        <w:tc>
          <w:tcPr>
            <w:tcW w:w="1580" w:type="dxa"/>
            <w:tcBorders>
              <w:top w:val="nil"/>
              <w:left w:val="single" w:sz="4" w:space="0" w:color="auto"/>
              <w:bottom w:val="single" w:sz="4" w:space="0" w:color="auto"/>
              <w:right w:val="single" w:sz="4" w:space="0" w:color="auto"/>
            </w:tcBorders>
            <w:shd w:val="clear" w:color="auto" w:fill="auto"/>
            <w:noWrap/>
            <w:vAlign w:val="bottom"/>
            <w:hideMark/>
          </w:tcPr>
          <w:p w14:paraId="40706B94" w14:textId="77777777" w:rsidR="00547446" w:rsidRPr="00547446" w:rsidRDefault="00547446" w:rsidP="00547446">
            <w:pPr>
              <w:spacing w:after="0" w:line="240" w:lineRule="auto"/>
              <w:jc w:val="right"/>
              <w:rPr>
                <w:rFonts w:ascii="Calibri" w:eastAsia="Times New Roman" w:hAnsi="Calibri" w:cs="Calibri"/>
                <w:color w:val="000000"/>
                <w:lang w:eastAsia="en-GB"/>
              </w:rPr>
            </w:pPr>
            <w:r w:rsidRPr="00547446">
              <w:rPr>
                <w:rFonts w:ascii="Calibri" w:eastAsia="Times New Roman" w:hAnsi="Calibri" w:cs="Calibri"/>
                <w:color w:val="000000"/>
                <w:lang w:eastAsia="en-GB"/>
              </w:rPr>
              <w:t>0.28</w:t>
            </w:r>
          </w:p>
        </w:tc>
        <w:tc>
          <w:tcPr>
            <w:tcW w:w="1580" w:type="dxa"/>
            <w:tcBorders>
              <w:top w:val="nil"/>
              <w:left w:val="nil"/>
              <w:bottom w:val="nil"/>
              <w:right w:val="nil"/>
            </w:tcBorders>
            <w:shd w:val="clear" w:color="auto" w:fill="auto"/>
            <w:noWrap/>
            <w:vAlign w:val="bottom"/>
            <w:hideMark/>
          </w:tcPr>
          <w:p w14:paraId="33DBF3CB" w14:textId="77777777" w:rsidR="00547446" w:rsidRPr="00547446" w:rsidRDefault="00547446" w:rsidP="00547446">
            <w:pPr>
              <w:spacing w:after="0" w:line="240" w:lineRule="auto"/>
              <w:jc w:val="right"/>
              <w:rPr>
                <w:rFonts w:ascii="Calibri" w:eastAsia="Times New Roman" w:hAnsi="Calibri" w:cs="Calibri"/>
                <w:color w:val="000000"/>
                <w:lang w:eastAsia="en-GB"/>
              </w:rPr>
            </w:pPr>
          </w:p>
        </w:tc>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18248339" w14:textId="77777777" w:rsidR="00547446" w:rsidRPr="00547446" w:rsidRDefault="00547446" w:rsidP="00547446">
            <w:pPr>
              <w:spacing w:after="0" w:line="240" w:lineRule="auto"/>
              <w:jc w:val="right"/>
              <w:rPr>
                <w:rFonts w:ascii="Calibri" w:eastAsia="Times New Roman" w:hAnsi="Calibri" w:cs="Calibri"/>
                <w:color w:val="000000"/>
                <w:lang w:eastAsia="en-GB"/>
              </w:rPr>
            </w:pPr>
            <w:r w:rsidRPr="00547446">
              <w:rPr>
                <w:rFonts w:ascii="Calibri" w:eastAsia="Times New Roman" w:hAnsi="Calibri" w:cs="Calibri"/>
                <w:color w:val="000000"/>
                <w:lang w:eastAsia="en-GB"/>
              </w:rPr>
              <w:t>1.54</w:t>
            </w:r>
          </w:p>
        </w:tc>
      </w:tr>
      <w:tr w:rsidR="00547446" w:rsidRPr="00547446" w14:paraId="46AA9053" w14:textId="77777777" w:rsidTr="00547446">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3FD9F851" w14:textId="77777777" w:rsidR="00547446" w:rsidRPr="00547446" w:rsidRDefault="00547446" w:rsidP="00547446">
            <w:pPr>
              <w:spacing w:after="0" w:line="240" w:lineRule="auto"/>
              <w:jc w:val="right"/>
              <w:rPr>
                <w:rFonts w:ascii="Calibri" w:eastAsia="Times New Roman" w:hAnsi="Calibri" w:cs="Calibri"/>
                <w:color w:val="000000"/>
                <w:lang w:eastAsia="en-GB"/>
              </w:rPr>
            </w:pPr>
            <w:r w:rsidRPr="00547446">
              <w:rPr>
                <w:rFonts w:ascii="Calibri" w:eastAsia="Times New Roman" w:hAnsi="Calibri" w:cs="Calibri"/>
                <w:color w:val="000000"/>
                <w:lang w:eastAsia="en-GB"/>
              </w:rPr>
              <w:t>2.2</w:t>
            </w:r>
          </w:p>
        </w:tc>
        <w:tc>
          <w:tcPr>
            <w:tcW w:w="1760" w:type="dxa"/>
            <w:tcBorders>
              <w:top w:val="nil"/>
              <w:left w:val="nil"/>
              <w:bottom w:val="nil"/>
              <w:right w:val="nil"/>
            </w:tcBorders>
            <w:shd w:val="clear" w:color="auto" w:fill="auto"/>
            <w:noWrap/>
            <w:vAlign w:val="bottom"/>
            <w:hideMark/>
          </w:tcPr>
          <w:p w14:paraId="28180130" w14:textId="77777777" w:rsidR="00547446" w:rsidRPr="00547446" w:rsidRDefault="00547446" w:rsidP="00547446">
            <w:pPr>
              <w:spacing w:after="0" w:line="240" w:lineRule="auto"/>
              <w:jc w:val="right"/>
              <w:rPr>
                <w:rFonts w:ascii="Calibri" w:eastAsia="Times New Roman" w:hAnsi="Calibri" w:cs="Calibri"/>
                <w:color w:val="000000"/>
                <w:lang w:eastAsia="en-GB"/>
              </w:rPr>
            </w:pPr>
          </w:p>
        </w:tc>
        <w:tc>
          <w:tcPr>
            <w:tcW w:w="1580" w:type="dxa"/>
            <w:tcBorders>
              <w:top w:val="nil"/>
              <w:left w:val="single" w:sz="4" w:space="0" w:color="auto"/>
              <w:bottom w:val="single" w:sz="4" w:space="0" w:color="auto"/>
              <w:right w:val="single" w:sz="4" w:space="0" w:color="auto"/>
            </w:tcBorders>
            <w:shd w:val="clear" w:color="auto" w:fill="auto"/>
            <w:noWrap/>
            <w:vAlign w:val="bottom"/>
            <w:hideMark/>
          </w:tcPr>
          <w:p w14:paraId="3BF24609" w14:textId="77777777" w:rsidR="00547446" w:rsidRPr="00547446" w:rsidRDefault="00547446" w:rsidP="00547446">
            <w:pPr>
              <w:spacing w:after="0" w:line="240" w:lineRule="auto"/>
              <w:jc w:val="right"/>
              <w:rPr>
                <w:rFonts w:ascii="Calibri" w:eastAsia="Times New Roman" w:hAnsi="Calibri" w:cs="Calibri"/>
                <w:color w:val="000000"/>
                <w:lang w:eastAsia="en-GB"/>
              </w:rPr>
            </w:pPr>
            <w:r w:rsidRPr="00547446">
              <w:rPr>
                <w:rFonts w:ascii="Calibri" w:eastAsia="Times New Roman" w:hAnsi="Calibri" w:cs="Calibri"/>
                <w:color w:val="000000"/>
                <w:lang w:eastAsia="en-GB"/>
              </w:rPr>
              <w:t>0.30</w:t>
            </w:r>
          </w:p>
        </w:tc>
        <w:tc>
          <w:tcPr>
            <w:tcW w:w="1580" w:type="dxa"/>
            <w:tcBorders>
              <w:top w:val="nil"/>
              <w:left w:val="nil"/>
              <w:bottom w:val="nil"/>
              <w:right w:val="nil"/>
            </w:tcBorders>
            <w:shd w:val="clear" w:color="auto" w:fill="auto"/>
            <w:noWrap/>
            <w:vAlign w:val="bottom"/>
            <w:hideMark/>
          </w:tcPr>
          <w:p w14:paraId="58759891" w14:textId="77777777" w:rsidR="00547446" w:rsidRPr="00547446" w:rsidRDefault="00547446" w:rsidP="00547446">
            <w:pPr>
              <w:spacing w:after="0" w:line="240" w:lineRule="auto"/>
              <w:jc w:val="right"/>
              <w:rPr>
                <w:rFonts w:ascii="Calibri" w:eastAsia="Times New Roman" w:hAnsi="Calibri" w:cs="Calibri"/>
                <w:color w:val="000000"/>
                <w:lang w:eastAsia="en-GB"/>
              </w:rPr>
            </w:pPr>
          </w:p>
        </w:tc>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326ACF97" w14:textId="77777777" w:rsidR="00547446" w:rsidRPr="00547446" w:rsidRDefault="00547446" w:rsidP="00547446">
            <w:pPr>
              <w:spacing w:after="0" w:line="240" w:lineRule="auto"/>
              <w:jc w:val="right"/>
              <w:rPr>
                <w:rFonts w:ascii="Calibri" w:eastAsia="Times New Roman" w:hAnsi="Calibri" w:cs="Calibri"/>
                <w:color w:val="000000"/>
                <w:lang w:eastAsia="en-GB"/>
              </w:rPr>
            </w:pPr>
            <w:r w:rsidRPr="00547446">
              <w:rPr>
                <w:rFonts w:ascii="Calibri" w:eastAsia="Times New Roman" w:hAnsi="Calibri" w:cs="Calibri"/>
                <w:color w:val="000000"/>
                <w:lang w:eastAsia="en-GB"/>
              </w:rPr>
              <w:t>1.56</w:t>
            </w:r>
          </w:p>
        </w:tc>
      </w:tr>
      <w:tr w:rsidR="00547446" w:rsidRPr="00547446" w14:paraId="5D526214" w14:textId="77777777" w:rsidTr="00547446">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186F8A09" w14:textId="77777777" w:rsidR="00547446" w:rsidRPr="00547446" w:rsidRDefault="00547446" w:rsidP="00547446">
            <w:pPr>
              <w:spacing w:after="0" w:line="240" w:lineRule="auto"/>
              <w:jc w:val="right"/>
              <w:rPr>
                <w:rFonts w:ascii="Calibri" w:eastAsia="Times New Roman" w:hAnsi="Calibri" w:cs="Calibri"/>
                <w:color w:val="000000"/>
                <w:lang w:eastAsia="en-GB"/>
              </w:rPr>
            </w:pPr>
            <w:r w:rsidRPr="00547446">
              <w:rPr>
                <w:rFonts w:ascii="Calibri" w:eastAsia="Times New Roman" w:hAnsi="Calibri" w:cs="Calibri"/>
                <w:color w:val="000000"/>
                <w:lang w:eastAsia="en-GB"/>
              </w:rPr>
              <w:t>2.4</w:t>
            </w:r>
          </w:p>
        </w:tc>
        <w:tc>
          <w:tcPr>
            <w:tcW w:w="1760" w:type="dxa"/>
            <w:tcBorders>
              <w:top w:val="nil"/>
              <w:left w:val="nil"/>
              <w:bottom w:val="nil"/>
              <w:right w:val="nil"/>
            </w:tcBorders>
            <w:shd w:val="clear" w:color="auto" w:fill="auto"/>
            <w:noWrap/>
            <w:vAlign w:val="bottom"/>
            <w:hideMark/>
          </w:tcPr>
          <w:p w14:paraId="0A0F327F" w14:textId="77777777" w:rsidR="00547446" w:rsidRPr="00547446" w:rsidRDefault="00547446" w:rsidP="00547446">
            <w:pPr>
              <w:spacing w:after="0" w:line="240" w:lineRule="auto"/>
              <w:jc w:val="right"/>
              <w:rPr>
                <w:rFonts w:ascii="Calibri" w:eastAsia="Times New Roman" w:hAnsi="Calibri" w:cs="Calibri"/>
                <w:color w:val="000000"/>
                <w:lang w:eastAsia="en-GB"/>
              </w:rPr>
            </w:pPr>
          </w:p>
        </w:tc>
        <w:tc>
          <w:tcPr>
            <w:tcW w:w="1580" w:type="dxa"/>
            <w:tcBorders>
              <w:top w:val="nil"/>
              <w:left w:val="single" w:sz="4" w:space="0" w:color="auto"/>
              <w:bottom w:val="single" w:sz="4" w:space="0" w:color="auto"/>
              <w:right w:val="single" w:sz="4" w:space="0" w:color="auto"/>
            </w:tcBorders>
            <w:shd w:val="clear" w:color="auto" w:fill="auto"/>
            <w:noWrap/>
            <w:vAlign w:val="bottom"/>
            <w:hideMark/>
          </w:tcPr>
          <w:p w14:paraId="0410E099" w14:textId="77777777" w:rsidR="00547446" w:rsidRPr="00547446" w:rsidRDefault="00547446" w:rsidP="00547446">
            <w:pPr>
              <w:spacing w:after="0" w:line="240" w:lineRule="auto"/>
              <w:jc w:val="right"/>
              <w:rPr>
                <w:rFonts w:ascii="Calibri" w:eastAsia="Times New Roman" w:hAnsi="Calibri" w:cs="Calibri"/>
                <w:color w:val="000000"/>
                <w:lang w:eastAsia="en-GB"/>
              </w:rPr>
            </w:pPr>
            <w:r w:rsidRPr="00547446">
              <w:rPr>
                <w:rFonts w:ascii="Calibri" w:eastAsia="Times New Roman" w:hAnsi="Calibri" w:cs="Calibri"/>
                <w:color w:val="000000"/>
                <w:lang w:eastAsia="en-GB"/>
              </w:rPr>
              <w:t>0.32</w:t>
            </w:r>
          </w:p>
        </w:tc>
        <w:tc>
          <w:tcPr>
            <w:tcW w:w="1580" w:type="dxa"/>
            <w:tcBorders>
              <w:top w:val="nil"/>
              <w:left w:val="nil"/>
              <w:bottom w:val="nil"/>
              <w:right w:val="nil"/>
            </w:tcBorders>
            <w:shd w:val="clear" w:color="auto" w:fill="auto"/>
            <w:noWrap/>
            <w:vAlign w:val="bottom"/>
            <w:hideMark/>
          </w:tcPr>
          <w:p w14:paraId="1684F260" w14:textId="77777777" w:rsidR="00547446" w:rsidRPr="00547446" w:rsidRDefault="00547446" w:rsidP="00547446">
            <w:pPr>
              <w:spacing w:after="0" w:line="240" w:lineRule="auto"/>
              <w:jc w:val="right"/>
              <w:rPr>
                <w:rFonts w:ascii="Calibri" w:eastAsia="Times New Roman" w:hAnsi="Calibri" w:cs="Calibri"/>
                <w:color w:val="000000"/>
                <w:lang w:eastAsia="en-GB"/>
              </w:rPr>
            </w:pPr>
          </w:p>
        </w:tc>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05530779" w14:textId="77777777" w:rsidR="00547446" w:rsidRPr="00547446" w:rsidRDefault="00547446" w:rsidP="00547446">
            <w:pPr>
              <w:spacing w:after="0" w:line="240" w:lineRule="auto"/>
              <w:jc w:val="right"/>
              <w:rPr>
                <w:rFonts w:ascii="Calibri" w:eastAsia="Times New Roman" w:hAnsi="Calibri" w:cs="Calibri"/>
                <w:color w:val="000000"/>
                <w:lang w:eastAsia="en-GB"/>
              </w:rPr>
            </w:pPr>
            <w:r w:rsidRPr="00547446">
              <w:rPr>
                <w:rFonts w:ascii="Calibri" w:eastAsia="Times New Roman" w:hAnsi="Calibri" w:cs="Calibri"/>
                <w:color w:val="000000"/>
                <w:lang w:eastAsia="en-GB"/>
              </w:rPr>
              <w:t>1.58</w:t>
            </w:r>
          </w:p>
        </w:tc>
      </w:tr>
      <w:tr w:rsidR="00547446" w:rsidRPr="00547446" w14:paraId="58AF065A" w14:textId="77777777" w:rsidTr="00547446">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3C899127" w14:textId="77777777" w:rsidR="00547446" w:rsidRPr="00547446" w:rsidRDefault="00547446" w:rsidP="00547446">
            <w:pPr>
              <w:spacing w:after="0" w:line="240" w:lineRule="auto"/>
              <w:jc w:val="right"/>
              <w:rPr>
                <w:rFonts w:ascii="Calibri" w:eastAsia="Times New Roman" w:hAnsi="Calibri" w:cs="Calibri"/>
                <w:color w:val="000000"/>
                <w:lang w:eastAsia="en-GB"/>
              </w:rPr>
            </w:pPr>
            <w:r w:rsidRPr="00547446">
              <w:rPr>
                <w:rFonts w:ascii="Calibri" w:eastAsia="Times New Roman" w:hAnsi="Calibri" w:cs="Calibri"/>
                <w:color w:val="000000"/>
                <w:lang w:eastAsia="en-GB"/>
              </w:rPr>
              <w:t>2.6</w:t>
            </w:r>
          </w:p>
        </w:tc>
        <w:tc>
          <w:tcPr>
            <w:tcW w:w="1760" w:type="dxa"/>
            <w:tcBorders>
              <w:top w:val="nil"/>
              <w:left w:val="nil"/>
              <w:bottom w:val="nil"/>
              <w:right w:val="nil"/>
            </w:tcBorders>
            <w:shd w:val="clear" w:color="auto" w:fill="auto"/>
            <w:noWrap/>
            <w:vAlign w:val="bottom"/>
            <w:hideMark/>
          </w:tcPr>
          <w:p w14:paraId="049250A0" w14:textId="77777777" w:rsidR="00547446" w:rsidRPr="00547446" w:rsidRDefault="00547446" w:rsidP="00547446">
            <w:pPr>
              <w:spacing w:after="0" w:line="240" w:lineRule="auto"/>
              <w:jc w:val="right"/>
              <w:rPr>
                <w:rFonts w:ascii="Calibri" w:eastAsia="Times New Roman" w:hAnsi="Calibri" w:cs="Calibri"/>
                <w:color w:val="000000"/>
                <w:lang w:eastAsia="en-GB"/>
              </w:rPr>
            </w:pPr>
          </w:p>
        </w:tc>
        <w:tc>
          <w:tcPr>
            <w:tcW w:w="1580" w:type="dxa"/>
            <w:tcBorders>
              <w:top w:val="nil"/>
              <w:left w:val="single" w:sz="4" w:space="0" w:color="auto"/>
              <w:bottom w:val="single" w:sz="4" w:space="0" w:color="auto"/>
              <w:right w:val="single" w:sz="4" w:space="0" w:color="auto"/>
            </w:tcBorders>
            <w:shd w:val="clear" w:color="auto" w:fill="auto"/>
            <w:noWrap/>
            <w:vAlign w:val="bottom"/>
            <w:hideMark/>
          </w:tcPr>
          <w:p w14:paraId="7C2BBA3A" w14:textId="77777777" w:rsidR="00547446" w:rsidRPr="00547446" w:rsidRDefault="00547446" w:rsidP="00547446">
            <w:pPr>
              <w:spacing w:after="0" w:line="240" w:lineRule="auto"/>
              <w:jc w:val="right"/>
              <w:rPr>
                <w:rFonts w:ascii="Calibri" w:eastAsia="Times New Roman" w:hAnsi="Calibri" w:cs="Calibri"/>
                <w:color w:val="000000"/>
                <w:lang w:eastAsia="en-GB"/>
              </w:rPr>
            </w:pPr>
            <w:r w:rsidRPr="00547446">
              <w:rPr>
                <w:rFonts w:ascii="Calibri" w:eastAsia="Times New Roman" w:hAnsi="Calibri" w:cs="Calibri"/>
                <w:color w:val="000000"/>
                <w:lang w:eastAsia="en-GB"/>
              </w:rPr>
              <w:t>0.34</w:t>
            </w:r>
          </w:p>
        </w:tc>
        <w:tc>
          <w:tcPr>
            <w:tcW w:w="1580" w:type="dxa"/>
            <w:tcBorders>
              <w:top w:val="nil"/>
              <w:left w:val="nil"/>
              <w:bottom w:val="nil"/>
              <w:right w:val="nil"/>
            </w:tcBorders>
            <w:shd w:val="clear" w:color="auto" w:fill="auto"/>
            <w:noWrap/>
            <w:vAlign w:val="bottom"/>
            <w:hideMark/>
          </w:tcPr>
          <w:p w14:paraId="34943470" w14:textId="77777777" w:rsidR="00547446" w:rsidRPr="00547446" w:rsidRDefault="00547446" w:rsidP="00547446">
            <w:pPr>
              <w:spacing w:after="0" w:line="240" w:lineRule="auto"/>
              <w:jc w:val="right"/>
              <w:rPr>
                <w:rFonts w:ascii="Calibri" w:eastAsia="Times New Roman" w:hAnsi="Calibri" w:cs="Calibri"/>
                <w:color w:val="000000"/>
                <w:lang w:eastAsia="en-GB"/>
              </w:rPr>
            </w:pPr>
          </w:p>
        </w:tc>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34AC7FC9" w14:textId="77777777" w:rsidR="00547446" w:rsidRPr="00547446" w:rsidRDefault="00547446" w:rsidP="00547446">
            <w:pPr>
              <w:spacing w:after="0" w:line="240" w:lineRule="auto"/>
              <w:jc w:val="right"/>
              <w:rPr>
                <w:rFonts w:ascii="Calibri" w:eastAsia="Times New Roman" w:hAnsi="Calibri" w:cs="Calibri"/>
                <w:color w:val="000000"/>
                <w:lang w:eastAsia="en-GB"/>
              </w:rPr>
            </w:pPr>
            <w:r w:rsidRPr="00547446">
              <w:rPr>
                <w:rFonts w:ascii="Calibri" w:eastAsia="Times New Roman" w:hAnsi="Calibri" w:cs="Calibri"/>
                <w:color w:val="000000"/>
                <w:lang w:eastAsia="en-GB"/>
              </w:rPr>
              <w:t>1.60</w:t>
            </w:r>
          </w:p>
        </w:tc>
      </w:tr>
      <w:tr w:rsidR="00547446" w:rsidRPr="00547446" w14:paraId="68981466" w14:textId="77777777" w:rsidTr="00547446">
        <w:trPr>
          <w:trHeight w:val="300"/>
        </w:trPr>
        <w:tc>
          <w:tcPr>
            <w:tcW w:w="1620" w:type="dxa"/>
            <w:tcBorders>
              <w:top w:val="nil"/>
              <w:left w:val="single" w:sz="4" w:space="0" w:color="auto"/>
              <w:bottom w:val="single" w:sz="4" w:space="0" w:color="auto"/>
              <w:right w:val="single" w:sz="4" w:space="0" w:color="auto"/>
            </w:tcBorders>
            <w:shd w:val="clear" w:color="000000" w:fill="305496"/>
            <w:noWrap/>
            <w:vAlign w:val="bottom"/>
            <w:hideMark/>
          </w:tcPr>
          <w:p w14:paraId="4D939DB6" w14:textId="77777777" w:rsidR="00547446" w:rsidRPr="00547446" w:rsidRDefault="00547446" w:rsidP="00547446">
            <w:pPr>
              <w:spacing w:after="0" w:line="240" w:lineRule="auto"/>
              <w:jc w:val="right"/>
              <w:rPr>
                <w:rFonts w:ascii="Calibri" w:eastAsia="Times New Roman" w:hAnsi="Calibri" w:cs="Calibri"/>
                <w:color w:val="000000"/>
                <w:lang w:eastAsia="en-GB"/>
              </w:rPr>
            </w:pPr>
            <w:r w:rsidRPr="00547446">
              <w:rPr>
                <w:rFonts w:ascii="Calibri" w:eastAsia="Times New Roman" w:hAnsi="Calibri" w:cs="Calibri"/>
                <w:color w:val="000000"/>
                <w:lang w:eastAsia="en-GB"/>
              </w:rPr>
              <w:t>2.8</w:t>
            </w:r>
          </w:p>
        </w:tc>
        <w:tc>
          <w:tcPr>
            <w:tcW w:w="1760" w:type="dxa"/>
            <w:tcBorders>
              <w:top w:val="nil"/>
              <w:left w:val="nil"/>
              <w:bottom w:val="nil"/>
              <w:right w:val="nil"/>
            </w:tcBorders>
            <w:shd w:val="clear" w:color="auto" w:fill="auto"/>
            <w:noWrap/>
            <w:vAlign w:val="bottom"/>
            <w:hideMark/>
          </w:tcPr>
          <w:p w14:paraId="331621FD" w14:textId="77777777" w:rsidR="00547446" w:rsidRPr="00547446" w:rsidRDefault="00547446" w:rsidP="00547446">
            <w:pPr>
              <w:spacing w:after="0" w:line="240" w:lineRule="auto"/>
              <w:jc w:val="right"/>
              <w:rPr>
                <w:rFonts w:ascii="Calibri" w:eastAsia="Times New Roman" w:hAnsi="Calibri" w:cs="Calibri"/>
                <w:color w:val="000000"/>
                <w:lang w:eastAsia="en-GB"/>
              </w:rPr>
            </w:pPr>
          </w:p>
        </w:tc>
        <w:tc>
          <w:tcPr>
            <w:tcW w:w="1580" w:type="dxa"/>
            <w:tcBorders>
              <w:top w:val="nil"/>
              <w:left w:val="single" w:sz="4" w:space="0" w:color="auto"/>
              <w:bottom w:val="single" w:sz="4" w:space="0" w:color="auto"/>
              <w:right w:val="single" w:sz="4" w:space="0" w:color="auto"/>
            </w:tcBorders>
            <w:shd w:val="clear" w:color="000000" w:fill="305496"/>
            <w:noWrap/>
            <w:vAlign w:val="bottom"/>
            <w:hideMark/>
          </w:tcPr>
          <w:p w14:paraId="7322BCB3" w14:textId="77777777" w:rsidR="00547446" w:rsidRPr="00547446" w:rsidRDefault="00547446" w:rsidP="00547446">
            <w:pPr>
              <w:spacing w:after="0" w:line="240" w:lineRule="auto"/>
              <w:jc w:val="right"/>
              <w:rPr>
                <w:rFonts w:ascii="Calibri" w:eastAsia="Times New Roman" w:hAnsi="Calibri" w:cs="Calibri"/>
                <w:color w:val="000000"/>
                <w:lang w:eastAsia="en-GB"/>
              </w:rPr>
            </w:pPr>
            <w:r w:rsidRPr="00547446">
              <w:rPr>
                <w:rFonts w:ascii="Calibri" w:eastAsia="Times New Roman" w:hAnsi="Calibri" w:cs="Calibri"/>
                <w:color w:val="000000"/>
                <w:lang w:eastAsia="en-GB"/>
              </w:rPr>
              <w:t>0.36</w:t>
            </w:r>
          </w:p>
        </w:tc>
        <w:tc>
          <w:tcPr>
            <w:tcW w:w="1580" w:type="dxa"/>
            <w:tcBorders>
              <w:top w:val="nil"/>
              <w:left w:val="nil"/>
              <w:bottom w:val="nil"/>
              <w:right w:val="nil"/>
            </w:tcBorders>
            <w:shd w:val="clear" w:color="auto" w:fill="auto"/>
            <w:noWrap/>
            <w:vAlign w:val="bottom"/>
            <w:hideMark/>
          </w:tcPr>
          <w:p w14:paraId="16AE1E69" w14:textId="77777777" w:rsidR="00547446" w:rsidRPr="00547446" w:rsidRDefault="00547446" w:rsidP="00547446">
            <w:pPr>
              <w:spacing w:after="0" w:line="240" w:lineRule="auto"/>
              <w:jc w:val="right"/>
              <w:rPr>
                <w:rFonts w:ascii="Calibri" w:eastAsia="Times New Roman" w:hAnsi="Calibri" w:cs="Calibri"/>
                <w:color w:val="000000"/>
                <w:lang w:eastAsia="en-GB"/>
              </w:rPr>
            </w:pPr>
          </w:p>
        </w:tc>
        <w:tc>
          <w:tcPr>
            <w:tcW w:w="2060" w:type="dxa"/>
            <w:tcBorders>
              <w:top w:val="nil"/>
              <w:left w:val="single" w:sz="4" w:space="0" w:color="auto"/>
              <w:bottom w:val="single" w:sz="4" w:space="0" w:color="auto"/>
              <w:right w:val="single" w:sz="4" w:space="0" w:color="auto"/>
            </w:tcBorders>
            <w:shd w:val="clear" w:color="000000" w:fill="305496"/>
            <w:noWrap/>
            <w:vAlign w:val="bottom"/>
            <w:hideMark/>
          </w:tcPr>
          <w:p w14:paraId="30D14D87" w14:textId="77777777" w:rsidR="00547446" w:rsidRPr="00547446" w:rsidRDefault="00547446" w:rsidP="00547446">
            <w:pPr>
              <w:spacing w:after="0" w:line="240" w:lineRule="auto"/>
              <w:jc w:val="right"/>
              <w:rPr>
                <w:rFonts w:ascii="Calibri" w:eastAsia="Times New Roman" w:hAnsi="Calibri" w:cs="Calibri"/>
                <w:color w:val="000000"/>
                <w:lang w:eastAsia="en-GB"/>
              </w:rPr>
            </w:pPr>
            <w:r w:rsidRPr="00547446">
              <w:rPr>
                <w:rFonts w:ascii="Calibri" w:eastAsia="Times New Roman" w:hAnsi="Calibri" w:cs="Calibri"/>
                <w:color w:val="000000"/>
                <w:lang w:eastAsia="en-GB"/>
              </w:rPr>
              <w:t>1.62</w:t>
            </w:r>
          </w:p>
        </w:tc>
      </w:tr>
      <w:tr w:rsidR="00547446" w:rsidRPr="00547446" w14:paraId="7EB1BAA4" w14:textId="77777777" w:rsidTr="00547446">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2D537D86" w14:textId="77777777" w:rsidR="00547446" w:rsidRPr="00547446" w:rsidRDefault="00547446" w:rsidP="00547446">
            <w:pPr>
              <w:spacing w:after="0" w:line="240" w:lineRule="auto"/>
              <w:jc w:val="right"/>
              <w:rPr>
                <w:rFonts w:ascii="Calibri" w:eastAsia="Times New Roman" w:hAnsi="Calibri" w:cs="Calibri"/>
                <w:color w:val="000000"/>
                <w:lang w:eastAsia="en-GB"/>
              </w:rPr>
            </w:pPr>
            <w:r w:rsidRPr="00547446">
              <w:rPr>
                <w:rFonts w:ascii="Calibri" w:eastAsia="Times New Roman" w:hAnsi="Calibri" w:cs="Calibri"/>
                <w:color w:val="000000"/>
                <w:lang w:eastAsia="en-GB"/>
              </w:rPr>
              <w:t>3.0</w:t>
            </w:r>
          </w:p>
        </w:tc>
        <w:tc>
          <w:tcPr>
            <w:tcW w:w="1760" w:type="dxa"/>
            <w:tcBorders>
              <w:top w:val="nil"/>
              <w:left w:val="nil"/>
              <w:bottom w:val="nil"/>
              <w:right w:val="nil"/>
            </w:tcBorders>
            <w:shd w:val="clear" w:color="auto" w:fill="auto"/>
            <w:noWrap/>
            <w:vAlign w:val="bottom"/>
            <w:hideMark/>
          </w:tcPr>
          <w:p w14:paraId="770349CE" w14:textId="77777777" w:rsidR="00547446" w:rsidRPr="00547446" w:rsidRDefault="00547446" w:rsidP="00547446">
            <w:pPr>
              <w:spacing w:after="0" w:line="240" w:lineRule="auto"/>
              <w:jc w:val="right"/>
              <w:rPr>
                <w:rFonts w:ascii="Calibri" w:eastAsia="Times New Roman" w:hAnsi="Calibri" w:cs="Calibri"/>
                <w:color w:val="000000"/>
                <w:lang w:eastAsia="en-GB"/>
              </w:rPr>
            </w:pPr>
          </w:p>
        </w:tc>
        <w:tc>
          <w:tcPr>
            <w:tcW w:w="1580" w:type="dxa"/>
            <w:tcBorders>
              <w:top w:val="nil"/>
              <w:left w:val="single" w:sz="4" w:space="0" w:color="auto"/>
              <w:bottom w:val="single" w:sz="4" w:space="0" w:color="auto"/>
              <w:right w:val="single" w:sz="4" w:space="0" w:color="auto"/>
            </w:tcBorders>
            <w:shd w:val="clear" w:color="auto" w:fill="auto"/>
            <w:noWrap/>
            <w:vAlign w:val="bottom"/>
            <w:hideMark/>
          </w:tcPr>
          <w:p w14:paraId="543352A7" w14:textId="77777777" w:rsidR="00547446" w:rsidRPr="00547446" w:rsidRDefault="00547446" w:rsidP="00547446">
            <w:pPr>
              <w:spacing w:after="0" w:line="240" w:lineRule="auto"/>
              <w:jc w:val="right"/>
              <w:rPr>
                <w:rFonts w:ascii="Calibri" w:eastAsia="Times New Roman" w:hAnsi="Calibri" w:cs="Calibri"/>
                <w:color w:val="000000"/>
                <w:lang w:eastAsia="en-GB"/>
              </w:rPr>
            </w:pPr>
            <w:r w:rsidRPr="00547446">
              <w:rPr>
                <w:rFonts w:ascii="Calibri" w:eastAsia="Times New Roman" w:hAnsi="Calibri" w:cs="Calibri"/>
                <w:color w:val="000000"/>
                <w:lang w:eastAsia="en-GB"/>
              </w:rPr>
              <w:t>0.38</w:t>
            </w:r>
          </w:p>
        </w:tc>
        <w:tc>
          <w:tcPr>
            <w:tcW w:w="1580" w:type="dxa"/>
            <w:tcBorders>
              <w:top w:val="nil"/>
              <w:left w:val="nil"/>
              <w:bottom w:val="nil"/>
              <w:right w:val="nil"/>
            </w:tcBorders>
            <w:shd w:val="clear" w:color="auto" w:fill="auto"/>
            <w:noWrap/>
            <w:vAlign w:val="bottom"/>
            <w:hideMark/>
          </w:tcPr>
          <w:p w14:paraId="4FF6C362" w14:textId="77777777" w:rsidR="00547446" w:rsidRPr="00547446" w:rsidRDefault="00547446" w:rsidP="00547446">
            <w:pPr>
              <w:spacing w:after="0" w:line="240" w:lineRule="auto"/>
              <w:jc w:val="right"/>
              <w:rPr>
                <w:rFonts w:ascii="Calibri" w:eastAsia="Times New Roman" w:hAnsi="Calibri" w:cs="Calibri"/>
                <w:color w:val="000000"/>
                <w:lang w:eastAsia="en-GB"/>
              </w:rPr>
            </w:pPr>
          </w:p>
        </w:tc>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48B263F6" w14:textId="77777777" w:rsidR="00547446" w:rsidRPr="00547446" w:rsidRDefault="00547446" w:rsidP="00547446">
            <w:pPr>
              <w:spacing w:after="0" w:line="240" w:lineRule="auto"/>
              <w:jc w:val="right"/>
              <w:rPr>
                <w:rFonts w:ascii="Calibri" w:eastAsia="Times New Roman" w:hAnsi="Calibri" w:cs="Calibri"/>
                <w:color w:val="000000"/>
                <w:lang w:eastAsia="en-GB"/>
              </w:rPr>
            </w:pPr>
            <w:r w:rsidRPr="00547446">
              <w:rPr>
                <w:rFonts w:ascii="Calibri" w:eastAsia="Times New Roman" w:hAnsi="Calibri" w:cs="Calibri"/>
                <w:color w:val="000000"/>
                <w:lang w:eastAsia="en-GB"/>
              </w:rPr>
              <w:t>1.64</w:t>
            </w:r>
          </w:p>
        </w:tc>
      </w:tr>
      <w:tr w:rsidR="00547446" w:rsidRPr="00547446" w14:paraId="2B89F4B0" w14:textId="77777777" w:rsidTr="00547446">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03522376" w14:textId="77777777" w:rsidR="00547446" w:rsidRPr="00547446" w:rsidRDefault="00547446" w:rsidP="00547446">
            <w:pPr>
              <w:spacing w:after="0" w:line="240" w:lineRule="auto"/>
              <w:jc w:val="right"/>
              <w:rPr>
                <w:rFonts w:ascii="Calibri" w:eastAsia="Times New Roman" w:hAnsi="Calibri" w:cs="Calibri"/>
                <w:color w:val="000000"/>
                <w:lang w:eastAsia="en-GB"/>
              </w:rPr>
            </w:pPr>
            <w:r w:rsidRPr="00547446">
              <w:rPr>
                <w:rFonts w:ascii="Calibri" w:eastAsia="Times New Roman" w:hAnsi="Calibri" w:cs="Calibri"/>
                <w:color w:val="000000"/>
                <w:lang w:eastAsia="en-GB"/>
              </w:rPr>
              <w:t>3.2</w:t>
            </w:r>
          </w:p>
        </w:tc>
        <w:tc>
          <w:tcPr>
            <w:tcW w:w="1760" w:type="dxa"/>
            <w:tcBorders>
              <w:top w:val="nil"/>
              <w:left w:val="nil"/>
              <w:bottom w:val="nil"/>
              <w:right w:val="nil"/>
            </w:tcBorders>
            <w:shd w:val="clear" w:color="auto" w:fill="auto"/>
            <w:noWrap/>
            <w:vAlign w:val="bottom"/>
            <w:hideMark/>
          </w:tcPr>
          <w:p w14:paraId="01271F57" w14:textId="77777777" w:rsidR="00547446" w:rsidRPr="00547446" w:rsidRDefault="00547446" w:rsidP="00547446">
            <w:pPr>
              <w:spacing w:after="0" w:line="240" w:lineRule="auto"/>
              <w:jc w:val="right"/>
              <w:rPr>
                <w:rFonts w:ascii="Calibri" w:eastAsia="Times New Roman" w:hAnsi="Calibri" w:cs="Calibri"/>
                <w:color w:val="000000"/>
                <w:lang w:eastAsia="en-GB"/>
              </w:rPr>
            </w:pPr>
          </w:p>
        </w:tc>
        <w:tc>
          <w:tcPr>
            <w:tcW w:w="1580" w:type="dxa"/>
            <w:tcBorders>
              <w:top w:val="nil"/>
              <w:left w:val="single" w:sz="4" w:space="0" w:color="auto"/>
              <w:bottom w:val="single" w:sz="4" w:space="0" w:color="auto"/>
              <w:right w:val="single" w:sz="4" w:space="0" w:color="auto"/>
            </w:tcBorders>
            <w:shd w:val="clear" w:color="auto" w:fill="auto"/>
            <w:noWrap/>
            <w:vAlign w:val="bottom"/>
            <w:hideMark/>
          </w:tcPr>
          <w:p w14:paraId="54EA0C4C" w14:textId="77777777" w:rsidR="00547446" w:rsidRPr="00547446" w:rsidRDefault="00547446" w:rsidP="00547446">
            <w:pPr>
              <w:spacing w:after="0" w:line="240" w:lineRule="auto"/>
              <w:jc w:val="right"/>
              <w:rPr>
                <w:rFonts w:ascii="Calibri" w:eastAsia="Times New Roman" w:hAnsi="Calibri" w:cs="Calibri"/>
                <w:color w:val="000000"/>
                <w:lang w:eastAsia="en-GB"/>
              </w:rPr>
            </w:pPr>
            <w:r w:rsidRPr="00547446">
              <w:rPr>
                <w:rFonts w:ascii="Calibri" w:eastAsia="Times New Roman" w:hAnsi="Calibri" w:cs="Calibri"/>
                <w:color w:val="000000"/>
                <w:lang w:eastAsia="en-GB"/>
              </w:rPr>
              <w:t>0.40</w:t>
            </w:r>
          </w:p>
        </w:tc>
        <w:tc>
          <w:tcPr>
            <w:tcW w:w="1580" w:type="dxa"/>
            <w:tcBorders>
              <w:top w:val="nil"/>
              <w:left w:val="nil"/>
              <w:bottom w:val="nil"/>
              <w:right w:val="nil"/>
            </w:tcBorders>
            <w:shd w:val="clear" w:color="auto" w:fill="auto"/>
            <w:noWrap/>
            <w:vAlign w:val="bottom"/>
            <w:hideMark/>
          </w:tcPr>
          <w:p w14:paraId="31E69938" w14:textId="77777777" w:rsidR="00547446" w:rsidRPr="00547446" w:rsidRDefault="00547446" w:rsidP="00547446">
            <w:pPr>
              <w:spacing w:after="0" w:line="240" w:lineRule="auto"/>
              <w:jc w:val="right"/>
              <w:rPr>
                <w:rFonts w:ascii="Calibri" w:eastAsia="Times New Roman" w:hAnsi="Calibri" w:cs="Calibri"/>
                <w:color w:val="000000"/>
                <w:lang w:eastAsia="en-GB"/>
              </w:rPr>
            </w:pPr>
          </w:p>
        </w:tc>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7690C95D" w14:textId="77777777" w:rsidR="00547446" w:rsidRPr="00547446" w:rsidRDefault="00547446" w:rsidP="00547446">
            <w:pPr>
              <w:spacing w:after="0" w:line="240" w:lineRule="auto"/>
              <w:jc w:val="right"/>
              <w:rPr>
                <w:rFonts w:ascii="Calibri" w:eastAsia="Times New Roman" w:hAnsi="Calibri" w:cs="Calibri"/>
                <w:color w:val="000000"/>
                <w:lang w:eastAsia="en-GB"/>
              </w:rPr>
            </w:pPr>
            <w:r w:rsidRPr="00547446">
              <w:rPr>
                <w:rFonts w:ascii="Calibri" w:eastAsia="Times New Roman" w:hAnsi="Calibri" w:cs="Calibri"/>
                <w:color w:val="000000"/>
                <w:lang w:eastAsia="en-GB"/>
              </w:rPr>
              <w:t>1.66</w:t>
            </w:r>
          </w:p>
        </w:tc>
      </w:tr>
      <w:tr w:rsidR="00547446" w:rsidRPr="00547446" w14:paraId="42DDC751" w14:textId="77777777" w:rsidTr="00547446">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667CE02C" w14:textId="77777777" w:rsidR="00547446" w:rsidRPr="00547446" w:rsidRDefault="00547446" w:rsidP="00547446">
            <w:pPr>
              <w:spacing w:after="0" w:line="240" w:lineRule="auto"/>
              <w:jc w:val="right"/>
              <w:rPr>
                <w:rFonts w:ascii="Calibri" w:eastAsia="Times New Roman" w:hAnsi="Calibri" w:cs="Calibri"/>
                <w:color w:val="000000"/>
                <w:lang w:eastAsia="en-GB"/>
              </w:rPr>
            </w:pPr>
            <w:r w:rsidRPr="00547446">
              <w:rPr>
                <w:rFonts w:ascii="Calibri" w:eastAsia="Times New Roman" w:hAnsi="Calibri" w:cs="Calibri"/>
                <w:color w:val="000000"/>
                <w:lang w:eastAsia="en-GB"/>
              </w:rPr>
              <w:t>3.4</w:t>
            </w:r>
          </w:p>
        </w:tc>
        <w:tc>
          <w:tcPr>
            <w:tcW w:w="1760" w:type="dxa"/>
            <w:tcBorders>
              <w:top w:val="nil"/>
              <w:left w:val="nil"/>
              <w:bottom w:val="nil"/>
              <w:right w:val="nil"/>
            </w:tcBorders>
            <w:shd w:val="clear" w:color="auto" w:fill="auto"/>
            <w:noWrap/>
            <w:vAlign w:val="bottom"/>
            <w:hideMark/>
          </w:tcPr>
          <w:p w14:paraId="5FB0E8D3" w14:textId="77777777" w:rsidR="00547446" w:rsidRPr="00547446" w:rsidRDefault="00547446" w:rsidP="00547446">
            <w:pPr>
              <w:spacing w:after="0" w:line="240" w:lineRule="auto"/>
              <w:jc w:val="right"/>
              <w:rPr>
                <w:rFonts w:ascii="Calibri" w:eastAsia="Times New Roman" w:hAnsi="Calibri" w:cs="Calibri"/>
                <w:color w:val="000000"/>
                <w:lang w:eastAsia="en-GB"/>
              </w:rPr>
            </w:pPr>
          </w:p>
        </w:tc>
        <w:tc>
          <w:tcPr>
            <w:tcW w:w="1580" w:type="dxa"/>
            <w:tcBorders>
              <w:top w:val="nil"/>
              <w:left w:val="single" w:sz="4" w:space="0" w:color="auto"/>
              <w:bottom w:val="single" w:sz="4" w:space="0" w:color="auto"/>
              <w:right w:val="single" w:sz="4" w:space="0" w:color="auto"/>
            </w:tcBorders>
            <w:shd w:val="clear" w:color="auto" w:fill="auto"/>
            <w:noWrap/>
            <w:vAlign w:val="bottom"/>
            <w:hideMark/>
          </w:tcPr>
          <w:p w14:paraId="20E0D5A0" w14:textId="77777777" w:rsidR="00547446" w:rsidRPr="00547446" w:rsidRDefault="00547446" w:rsidP="00547446">
            <w:pPr>
              <w:spacing w:after="0" w:line="240" w:lineRule="auto"/>
              <w:jc w:val="right"/>
              <w:rPr>
                <w:rFonts w:ascii="Calibri" w:eastAsia="Times New Roman" w:hAnsi="Calibri" w:cs="Calibri"/>
                <w:color w:val="000000"/>
                <w:lang w:eastAsia="en-GB"/>
              </w:rPr>
            </w:pPr>
            <w:r w:rsidRPr="00547446">
              <w:rPr>
                <w:rFonts w:ascii="Calibri" w:eastAsia="Times New Roman" w:hAnsi="Calibri" w:cs="Calibri"/>
                <w:color w:val="000000"/>
                <w:lang w:eastAsia="en-GB"/>
              </w:rPr>
              <w:t>0.42</w:t>
            </w:r>
          </w:p>
        </w:tc>
        <w:tc>
          <w:tcPr>
            <w:tcW w:w="1580" w:type="dxa"/>
            <w:tcBorders>
              <w:top w:val="nil"/>
              <w:left w:val="nil"/>
              <w:bottom w:val="nil"/>
              <w:right w:val="nil"/>
            </w:tcBorders>
            <w:shd w:val="clear" w:color="auto" w:fill="auto"/>
            <w:noWrap/>
            <w:vAlign w:val="bottom"/>
            <w:hideMark/>
          </w:tcPr>
          <w:p w14:paraId="6C700EF9" w14:textId="77777777" w:rsidR="00547446" w:rsidRPr="00547446" w:rsidRDefault="00547446" w:rsidP="00547446">
            <w:pPr>
              <w:spacing w:after="0" w:line="240" w:lineRule="auto"/>
              <w:jc w:val="right"/>
              <w:rPr>
                <w:rFonts w:ascii="Calibri" w:eastAsia="Times New Roman" w:hAnsi="Calibri" w:cs="Calibri"/>
                <w:color w:val="000000"/>
                <w:lang w:eastAsia="en-GB"/>
              </w:rPr>
            </w:pPr>
          </w:p>
        </w:tc>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21FB5AF9" w14:textId="77777777" w:rsidR="00547446" w:rsidRPr="00547446" w:rsidRDefault="00547446" w:rsidP="00547446">
            <w:pPr>
              <w:spacing w:after="0" w:line="240" w:lineRule="auto"/>
              <w:jc w:val="right"/>
              <w:rPr>
                <w:rFonts w:ascii="Calibri" w:eastAsia="Times New Roman" w:hAnsi="Calibri" w:cs="Calibri"/>
                <w:color w:val="000000"/>
                <w:lang w:eastAsia="en-GB"/>
              </w:rPr>
            </w:pPr>
            <w:r w:rsidRPr="00547446">
              <w:rPr>
                <w:rFonts w:ascii="Calibri" w:eastAsia="Times New Roman" w:hAnsi="Calibri" w:cs="Calibri"/>
                <w:color w:val="000000"/>
                <w:lang w:eastAsia="en-GB"/>
              </w:rPr>
              <w:t>1.68</w:t>
            </w:r>
          </w:p>
        </w:tc>
      </w:tr>
      <w:tr w:rsidR="00547446" w:rsidRPr="00547446" w14:paraId="5B48004A" w14:textId="77777777" w:rsidTr="00547446">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5134457E" w14:textId="77777777" w:rsidR="00547446" w:rsidRPr="00547446" w:rsidRDefault="00547446" w:rsidP="00547446">
            <w:pPr>
              <w:spacing w:after="0" w:line="240" w:lineRule="auto"/>
              <w:jc w:val="right"/>
              <w:rPr>
                <w:rFonts w:ascii="Calibri" w:eastAsia="Times New Roman" w:hAnsi="Calibri" w:cs="Calibri"/>
                <w:color w:val="000000"/>
                <w:lang w:eastAsia="en-GB"/>
              </w:rPr>
            </w:pPr>
            <w:r w:rsidRPr="00547446">
              <w:rPr>
                <w:rFonts w:ascii="Calibri" w:eastAsia="Times New Roman" w:hAnsi="Calibri" w:cs="Calibri"/>
                <w:color w:val="000000"/>
                <w:lang w:eastAsia="en-GB"/>
              </w:rPr>
              <w:t>3.6</w:t>
            </w:r>
          </w:p>
        </w:tc>
        <w:tc>
          <w:tcPr>
            <w:tcW w:w="1760" w:type="dxa"/>
            <w:tcBorders>
              <w:top w:val="nil"/>
              <w:left w:val="nil"/>
              <w:bottom w:val="nil"/>
              <w:right w:val="nil"/>
            </w:tcBorders>
            <w:shd w:val="clear" w:color="auto" w:fill="auto"/>
            <w:noWrap/>
            <w:vAlign w:val="bottom"/>
            <w:hideMark/>
          </w:tcPr>
          <w:p w14:paraId="5D5ACF29" w14:textId="77777777" w:rsidR="00547446" w:rsidRPr="00547446" w:rsidRDefault="00547446" w:rsidP="00547446">
            <w:pPr>
              <w:spacing w:after="0" w:line="240" w:lineRule="auto"/>
              <w:jc w:val="right"/>
              <w:rPr>
                <w:rFonts w:ascii="Calibri" w:eastAsia="Times New Roman" w:hAnsi="Calibri" w:cs="Calibri"/>
                <w:color w:val="000000"/>
                <w:lang w:eastAsia="en-GB"/>
              </w:rPr>
            </w:pPr>
          </w:p>
        </w:tc>
        <w:tc>
          <w:tcPr>
            <w:tcW w:w="1580" w:type="dxa"/>
            <w:tcBorders>
              <w:top w:val="nil"/>
              <w:left w:val="single" w:sz="4" w:space="0" w:color="auto"/>
              <w:bottom w:val="single" w:sz="4" w:space="0" w:color="auto"/>
              <w:right w:val="single" w:sz="4" w:space="0" w:color="auto"/>
            </w:tcBorders>
            <w:shd w:val="clear" w:color="auto" w:fill="auto"/>
            <w:noWrap/>
            <w:vAlign w:val="bottom"/>
            <w:hideMark/>
          </w:tcPr>
          <w:p w14:paraId="7FCA304E" w14:textId="77777777" w:rsidR="00547446" w:rsidRPr="00547446" w:rsidRDefault="00547446" w:rsidP="00547446">
            <w:pPr>
              <w:spacing w:after="0" w:line="240" w:lineRule="auto"/>
              <w:jc w:val="right"/>
              <w:rPr>
                <w:rFonts w:ascii="Calibri" w:eastAsia="Times New Roman" w:hAnsi="Calibri" w:cs="Calibri"/>
                <w:color w:val="000000"/>
                <w:lang w:eastAsia="en-GB"/>
              </w:rPr>
            </w:pPr>
            <w:r w:rsidRPr="00547446">
              <w:rPr>
                <w:rFonts w:ascii="Calibri" w:eastAsia="Times New Roman" w:hAnsi="Calibri" w:cs="Calibri"/>
                <w:color w:val="000000"/>
                <w:lang w:eastAsia="en-GB"/>
              </w:rPr>
              <w:t>0.44</w:t>
            </w:r>
          </w:p>
        </w:tc>
        <w:tc>
          <w:tcPr>
            <w:tcW w:w="1580" w:type="dxa"/>
            <w:tcBorders>
              <w:top w:val="nil"/>
              <w:left w:val="nil"/>
              <w:bottom w:val="nil"/>
              <w:right w:val="nil"/>
            </w:tcBorders>
            <w:shd w:val="clear" w:color="auto" w:fill="auto"/>
            <w:noWrap/>
            <w:vAlign w:val="bottom"/>
            <w:hideMark/>
          </w:tcPr>
          <w:p w14:paraId="0AAC2D6E" w14:textId="77777777" w:rsidR="00547446" w:rsidRPr="00547446" w:rsidRDefault="00547446" w:rsidP="00547446">
            <w:pPr>
              <w:spacing w:after="0" w:line="240" w:lineRule="auto"/>
              <w:jc w:val="right"/>
              <w:rPr>
                <w:rFonts w:ascii="Calibri" w:eastAsia="Times New Roman" w:hAnsi="Calibri" w:cs="Calibri"/>
                <w:color w:val="000000"/>
                <w:lang w:eastAsia="en-GB"/>
              </w:rPr>
            </w:pPr>
          </w:p>
        </w:tc>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0A5789A4" w14:textId="77777777" w:rsidR="00547446" w:rsidRPr="00547446" w:rsidRDefault="00547446" w:rsidP="00547446">
            <w:pPr>
              <w:spacing w:after="0" w:line="240" w:lineRule="auto"/>
              <w:jc w:val="right"/>
              <w:rPr>
                <w:rFonts w:ascii="Calibri" w:eastAsia="Times New Roman" w:hAnsi="Calibri" w:cs="Calibri"/>
                <w:color w:val="000000"/>
                <w:lang w:eastAsia="en-GB"/>
              </w:rPr>
            </w:pPr>
            <w:r w:rsidRPr="00547446">
              <w:rPr>
                <w:rFonts w:ascii="Calibri" w:eastAsia="Times New Roman" w:hAnsi="Calibri" w:cs="Calibri"/>
                <w:color w:val="000000"/>
                <w:lang w:eastAsia="en-GB"/>
              </w:rPr>
              <w:t>1.70</w:t>
            </w:r>
          </w:p>
        </w:tc>
      </w:tr>
      <w:tr w:rsidR="00547446" w:rsidRPr="00547446" w14:paraId="0F397D2F" w14:textId="77777777" w:rsidTr="00547446">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743FFB0F" w14:textId="77777777" w:rsidR="00547446" w:rsidRPr="00547446" w:rsidRDefault="00547446" w:rsidP="00547446">
            <w:pPr>
              <w:spacing w:after="0" w:line="240" w:lineRule="auto"/>
              <w:jc w:val="right"/>
              <w:rPr>
                <w:rFonts w:ascii="Calibri" w:eastAsia="Times New Roman" w:hAnsi="Calibri" w:cs="Calibri"/>
                <w:color w:val="000000"/>
                <w:lang w:eastAsia="en-GB"/>
              </w:rPr>
            </w:pPr>
            <w:r w:rsidRPr="00547446">
              <w:rPr>
                <w:rFonts w:ascii="Calibri" w:eastAsia="Times New Roman" w:hAnsi="Calibri" w:cs="Calibri"/>
                <w:color w:val="000000"/>
                <w:lang w:eastAsia="en-GB"/>
              </w:rPr>
              <w:t>3.8</w:t>
            </w:r>
          </w:p>
        </w:tc>
        <w:tc>
          <w:tcPr>
            <w:tcW w:w="1760" w:type="dxa"/>
            <w:tcBorders>
              <w:top w:val="nil"/>
              <w:left w:val="nil"/>
              <w:bottom w:val="nil"/>
              <w:right w:val="nil"/>
            </w:tcBorders>
            <w:shd w:val="clear" w:color="auto" w:fill="auto"/>
            <w:noWrap/>
            <w:vAlign w:val="bottom"/>
            <w:hideMark/>
          </w:tcPr>
          <w:p w14:paraId="558F6908" w14:textId="77777777" w:rsidR="00547446" w:rsidRPr="00547446" w:rsidRDefault="00547446" w:rsidP="00547446">
            <w:pPr>
              <w:spacing w:after="0" w:line="240" w:lineRule="auto"/>
              <w:jc w:val="right"/>
              <w:rPr>
                <w:rFonts w:ascii="Calibri" w:eastAsia="Times New Roman" w:hAnsi="Calibri" w:cs="Calibri"/>
                <w:color w:val="000000"/>
                <w:lang w:eastAsia="en-GB"/>
              </w:rPr>
            </w:pPr>
          </w:p>
        </w:tc>
        <w:tc>
          <w:tcPr>
            <w:tcW w:w="1580" w:type="dxa"/>
            <w:tcBorders>
              <w:top w:val="nil"/>
              <w:left w:val="single" w:sz="4" w:space="0" w:color="auto"/>
              <w:bottom w:val="single" w:sz="4" w:space="0" w:color="auto"/>
              <w:right w:val="single" w:sz="4" w:space="0" w:color="auto"/>
            </w:tcBorders>
            <w:shd w:val="clear" w:color="auto" w:fill="auto"/>
            <w:noWrap/>
            <w:vAlign w:val="bottom"/>
            <w:hideMark/>
          </w:tcPr>
          <w:p w14:paraId="79BD3809" w14:textId="77777777" w:rsidR="00547446" w:rsidRPr="00547446" w:rsidRDefault="00547446" w:rsidP="00547446">
            <w:pPr>
              <w:spacing w:after="0" w:line="240" w:lineRule="auto"/>
              <w:jc w:val="right"/>
              <w:rPr>
                <w:rFonts w:ascii="Calibri" w:eastAsia="Times New Roman" w:hAnsi="Calibri" w:cs="Calibri"/>
                <w:color w:val="000000"/>
                <w:lang w:eastAsia="en-GB"/>
              </w:rPr>
            </w:pPr>
            <w:r w:rsidRPr="00547446">
              <w:rPr>
                <w:rFonts w:ascii="Calibri" w:eastAsia="Times New Roman" w:hAnsi="Calibri" w:cs="Calibri"/>
                <w:color w:val="000000"/>
                <w:lang w:eastAsia="en-GB"/>
              </w:rPr>
              <w:t>0.46</w:t>
            </w:r>
          </w:p>
        </w:tc>
        <w:tc>
          <w:tcPr>
            <w:tcW w:w="1580" w:type="dxa"/>
            <w:tcBorders>
              <w:top w:val="nil"/>
              <w:left w:val="nil"/>
              <w:bottom w:val="nil"/>
              <w:right w:val="nil"/>
            </w:tcBorders>
            <w:shd w:val="clear" w:color="auto" w:fill="auto"/>
            <w:noWrap/>
            <w:vAlign w:val="bottom"/>
            <w:hideMark/>
          </w:tcPr>
          <w:p w14:paraId="6B1BB331" w14:textId="77777777" w:rsidR="00547446" w:rsidRPr="00547446" w:rsidRDefault="00547446" w:rsidP="00547446">
            <w:pPr>
              <w:spacing w:after="0" w:line="240" w:lineRule="auto"/>
              <w:jc w:val="right"/>
              <w:rPr>
                <w:rFonts w:ascii="Calibri" w:eastAsia="Times New Roman" w:hAnsi="Calibri" w:cs="Calibri"/>
                <w:color w:val="000000"/>
                <w:lang w:eastAsia="en-GB"/>
              </w:rPr>
            </w:pPr>
          </w:p>
        </w:tc>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20B65DCE" w14:textId="77777777" w:rsidR="00547446" w:rsidRPr="00547446" w:rsidRDefault="00547446" w:rsidP="00547446">
            <w:pPr>
              <w:spacing w:after="0" w:line="240" w:lineRule="auto"/>
              <w:jc w:val="right"/>
              <w:rPr>
                <w:rFonts w:ascii="Calibri" w:eastAsia="Times New Roman" w:hAnsi="Calibri" w:cs="Calibri"/>
                <w:color w:val="000000"/>
                <w:lang w:eastAsia="en-GB"/>
              </w:rPr>
            </w:pPr>
            <w:r w:rsidRPr="00547446">
              <w:rPr>
                <w:rFonts w:ascii="Calibri" w:eastAsia="Times New Roman" w:hAnsi="Calibri" w:cs="Calibri"/>
                <w:color w:val="000000"/>
                <w:lang w:eastAsia="en-GB"/>
              </w:rPr>
              <w:t>1.72</w:t>
            </w:r>
          </w:p>
        </w:tc>
      </w:tr>
    </w:tbl>
    <w:p w14:paraId="538B29FA" w14:textId="3D95B2BC" w:rsidR="0092792C" w:rsidRDefault="007F58FD" w:rsidP="00214E96">
      <w:r>
        <w:t xml:space="preserve">Figure 2-8 </w:t>
      </w:r>
      <w:r w:rsidR="00E31E3D">
        <w:t xml:space="preserve">varying values of </w:t>
      </w:r>
      <w:r w:rsidR="006D6917">
        <w:t>Wheelbase</w:t>
      </w:r>
      <w:r w:rsidR="00E31E3D">
        <w:t xml:space="preserve">, Centre of gravity hight and Track (Bradley, T. 2020) </w:t>
      </w:r>
    </w:p>
    <w:p w14:paraId="01BBD272" w14:textId="77777777" w:rsidR="00842E74" w:rsidRDefault="00842E74" w:rsidP="0085470F">
      <w:pPr>
        <w:pStyle w:val="Heading1"/>
      </w:pPr>
      <w:bookmarkStart w:id="9" w:name="_Toc35697316"/>
      <w:r>
        <w:t>Analysis</w:t>
      </w:r>
      <w:bookmarkEnd w:id="9"/>
      <w:r>
        <w:t xml:space="preserve"> </w:t>
      </w:r>
    </w:p>
    <w:p w14:paraId="32B27703" w14:textId="69E6E81F" w:rsidR="00D75EE4" w:rsidRDefault="00D11BE1" w:rsidP="00214E96">
      <w:r>
        <w:t>T</w:t>
      </w:r>
      <w:r w:rsidR="00832B86">
        <w:t>his analysis will break down each</w:t>
      </w:r>
      <w:r>
        <w:t xml:space="preserve"> stage</w:t>
      </w:r>
      <w:r w:rsidR="00832B86">
        <w:t xml:space="preserve"> answering questions related to the report brief</w:t>
      </w:r>
      <w:r w:rsidR="00832B86" w:rsidRPr="00F0373C">
        <w:rPr>
          <w:b/>
          <w:bCs/>
        </w:rPr>
        <w:t>. Stage one</w:t>
      </w:r>
      <w:r w:rsidR="00832B86">
        <w:t xml:space="preserve"> </w:t>
      </w:r>
      <w:r w:rsidR="000D0094">
        <w:t>of the excel looks at</w:t>
      </w:r>
      <w:r w:rsidR="001C5131">
        <w:t xml:space="preserve"> calculating</w:t>
      </w:r>
      <w:r w:rsidR="000D0094">
        <w:t xml:space="preserve"> the </w:t>
      </w:r>
      <w:r w:rsidR="001C5131">
        <w:t xml:space="preserve">vertical loads for each one of the contact patches for the vehicle, generating these figures is vital to working out the </w:t>
      </w:r>
      <w:r w:rsidR="005263DF">
        <w:t xml:space="preserve">third stage of the excel. </w:t>
      </w:r>
      <w:r w:rsidR="00B56512" w:rsidRPr="00F0373C">
        <w:rPr>
          <w:b/>
          <w:bCs/>
        </w:rPr>
        <w:t>Stage two</w:t>
      </w:r>
      <w:r w:rsidR="00B56512">
        <w:t xml:space="preserve"> which looks at the aero load on the vehicle</w:t>
      </w:r>
      <w:r w:rsidR="00794F2E">
        <w:t xml:space="preserve">, the question in the report asks what effect the aero drag has on the vehicle. The </w:t>
      </w:r>
      <w:r w:rsidR="00A502B0">
        <w:t xml:space="preserve">aerodynamic drag can cause the vehicle </w:t>
      </w:r>
      <w:r w:rsidR="002C07B3">
        <w:t xml:space="preserve">follows </w:t>
      </w:r>
      <w:r w:rsidR="00E622DA">
        <w:t>Bernoulli’s</w:t>
      </w:r>
      <w:r w:rsidR="002C07B3">
        <w:t xml:space="preserve"> law which states </w:t>
      </w:r>
      <w:r w:rsidR="00E622DA">
        <w:t xml:space="preserve">three factors which have effects on aero, kinetic energy, potential and pressure. </w:t>
      </w:r>
      <w:r w:rsidR="006F4192">
        <w:t>These factors can cause the vehicle to speed up or slow down, depending on pressure and speed</w:t>
      </w:r>
      <w:r w:rsidR="00CD5A30">
        <w:t xml:space="preserve">. Drag I created when air pressure is increased, this </w:t>
      </w:r>
      <w:r w:rsidR="00BE6037">
        <w:t xml:space="preserve">effect </w:t>
      </w:r>
      <w:r w:rsidR="00CD5A30">
        <w:t xml:space="preserve">causes the vehicle to </w:t>
      </w:r>
      <w:r w:rsidR="00862979">
        <w:t xml:space="preserve">slow down. </w:t>
      </w:r>
      <w:r w:rsidR="00155E23">
        <w:t xml:space="preserve">The </w:t>
      </w:r>
      <w:r w:rsidR="00155E23" w:rsidRPr="008F71DE">
        <w:rPr>
          <w:b/>
          <w:bCs/>
        </w:rPr>
        <w:t>third stage</w:t>
      </w:r>
      <w:r w:rsidR="00155E23">
        <w:t xml:space="preserve"> of the excel looks at </w:t>
      </w:r>
      <w:r w:rsidR="00B43BF5">
        <w:t>each of the vertical loads and how they compare against, G force and velocity</w:t>
      </w:r>
      <w:r w:rsidR="002A3F26">
        <w:t xml:space="preserve">. To answer the question what do the initial graphs show in reference to load transfers around the vehicle during </w:t>
      </w:r>
      <w:r w:rsidR="002A3F26">
        <w:lastRenderedPageBreak/>
        <w:t xml:space="preserve">acceleration, </w:t>
      </w:r>
      <w:r w:rsidR="000E62F7">
        <w:t>th</w:t>
      </w:r>
      <w:r w:rsidR="008928D2">
        <w:t>ese graphs show that each corner is experiencing different load transfer amounts. Figure 2-</w:t>
      </w:r>
      <w:r w:rsidR="00543114">
        <w:t xml:space="preserve">3 and 2-4 show the different rate which each contact patch is experiencing </w:t>
      </w:r>
      <w:r w:rsidR="004374B5">
        <w:t xml:space="preserve">acceleration at different G forces, </w:t>
      </w:r>
      <w:r w:rsidR="00F05B41">
        <w:t xml:space="preserve">for example at max 1.5G the </w:t>
      </w:r>
      <w:r w:rsidR="0015300D">
        <w:t xml:space="preserve">front left contact patch of the vehicle is experiencing 1585.48N of lateral load. </w:t>
      </w:r>
      <w:r w:rsidR="004047F0">
        <w:t>This is different to longitudinal because lateral is when the vehicle is cornering</w:t>
      </w:r>
      <w:r w:rsidR="007F05DF">
        <w:t xml:space="preserve">, </w:t>
      </w:r>
      <w:r w:rsidR="0066348D">
        <w:t>whereas</w:t>
      </w:r>
      <w:r w:rsidR="007F05DF">
        <w:t xml:space="preserve"> longitudinal is when the vehicle accelerates or brakes, also longitudinal looks at wheelbase instead of track. </w:t>
      </w:r>
      <w:r w:rsidR="0066348D">
        <w:t>Figure 2-5 and 2-6 look at the vehicle</w:t>
      </w:r>
      <w:r w:rsidR="00E27AE7">
        <w:t>s static load lateral and longitudinal when compared against velocity</w:t>
      </w:r>
      <w:r w:rsidR="00F92162">
        <w:t xml:space="preserve">, </w:t>
      </w:r>
      <w:r w:rsidR="000B7074">
        <w:t xml:space="preserve">the velocity is increased from 0 to 30m/s </w:t>
      </w:r>
      <w:r w:rsidR="00112696">
        <w:t xml:space="preserve">and the loads are compared against it. </w:t>
      </w:r>
      <w:r w:rsidR="0016471C">
        <w:t xml:space="preserve">The graphs show that as velocity is increasing the vertical loads on the front contact patches are greater and the loads on the rear decrease. </w:t>
      </w:r>
      <w:r w:rsidR="003C0FA5">
        <w:t xml:space="preserve">This is due to the vehicle </w:t>
      </w:r>
      <w:r w:rsidR="00C67D04">
        <w:t xml:space="preserve">braking which would cause the load to be added to the front axles and decrease from the rear. </w:t>
      </w:r>
      <w:r w:rsidR="00D75EE4" w:rsidRPr="00DB0147">
        <w:rPr>
          <w:b/>
          <w:bCs/>
        </w:rPr>
        <w:t xml:space="preserve">Stage four </w:t>
      </w:r>
      <w:r w:rsidR="00D75EE4">
        <w:t xml:space="preserve">of the excel looks at the traction circle and </w:t>
      </w:r>
      <w:r w:rsidR="00E03652">
        <w:t xml:space="preserve">this relates to the question why can’t 1.5G be achieved in both lateral and longitudinal directions at the same time. </w:t>
      </w:r>
      <w:r w:rsidR="00CB4B43">
        <w:t xml:space="preserve">1.5G </w:t>
      </w:r>
      <w:r w:rsidR="000619B0">
        <w:t xml:space="preserve">can be achieved for both as long as they meet </w:t>
      </w:r>
      <w:r w:rsidR="00D10437">
        <w:t>their</w:t>
      </w:r>
      <w:r w:rsidR="000619B0">
        <w:t xml:space="preserve"> parameters </w:t>
      </w:r>
      <w:r w:rsidR="00D10437">
        <w:t>however,</w:t>
      </w:r>
      <w:r w:rsidR="000619B0">
        <w:t xml:space="preserve"> they won’t because when the vehicle is cornering (lateral) braking will occur </w:t>
      </w:r>
      <w:r w:rsidR="008A50D4">
        <w:t xml:space="preserve">so the longitudinal G is reducing but the lateral G is increasing. </w:t>
      </w:r>
      <w:r w:rsidR="00D10437">
        <w:t xml:space="preserve">The final </w:t>
      </w:r>
      <w:r w:rsidR="00D10437" w:rsidRPr="009F2AC5">
        <w:rPr>
          <w:b/>
          <w:bCs/>
        </w:rPr>
        <w:t>stage five</w:t>
      </w:r>
      <w:r w:rsidR="00D10437">
        <w:t xml:space="preserve"> </w:t>
      </w:r>
      <w:r w:rsidR="008221A1">
        <w:t xml:space="preserve">looks at changes to the </w:t>
      </w:r>
      <w:r>
        <w:t>vehicle’s</w:t>
      </w:r>
      <w:r w:rsidR="008221A1">
        <w:t xml:space="preserve"> values, this relates to the last question do chassis and suspension changes effect handling. </w:t>
      </w:r>
      <w:r w:rsidR="0074682D">
        <w:t>The tables look at wheelbase, CoG</w:t>
      </w:r>
      <w:r w:rsidR="00B737B9">
        <w:t xml:space="preserve"> height</w:t>
      </w:r>
      <w:r w:rsidR="0074682D">
        <w:t xml:space="preserve"> and average track, these factors can </w:t>
      </w:r>
      <w:r w:rsidR="005028EA">
        <w:t xml:space="preserve">have differing effects because </w:t>
      </w:r>
      <w:r w:rsidR="00F60CD1">
        <w:t xml:space="preserve">when the vehicle is traveling </w:t>
      </w:r>
      <w:r w:rsidR="00F40768">
        <w:t>in any direction it will</w:t>
      </w:r>
      <w:r w:rsidR="002568AC">
        <w:t xml:space="preserve"> distribute its load</w:t>
      </w:r>
      <w:r w:rsidR="00211A51">
        <w:t xml:space="preserve">. Depending on what </w:t>
      </w:r>
      <w:r w:rsidR="001E6059">
        <w:t>wheelbase</w:t>
      </w:r>
      <w:r w:rsidR="00211A51">
        <w:t xml:space="preserve"> and CoG you have is where the mass will travel when accelerating or braking, having a high CoG means </w:t>
      </w:r>
      <w:r w:rsidR="009F262D">
        <w:t xml:space="preserve">the vehicle is more likely to roll and having too little means the vehicle is more likely to bottom out. </w:t>
      </w:r>
    </w:p>
    <w:p w14:paraId="39CFFF6C" w14:textId="4D3C240A" w:rsidR="00842E74" w:rsidRDefault="00842E74" w:rsidP="0085470F">
      <w:pPr>
        <w:pStyle w:val="Heading1"/>
      </w:pPr>
      <w:bookmarkStart w:id="10" w:name="_Toc35697317"/>
      <w:r>
        <w:t>Conclusion</w:t>
      </w:r>
      <w:bookmarkEnd w:id="10"/>
      <w:r>
        <w:t xml:space="preserve"> </w:t>
      </w:r>
    </w:p>
    <w:p w14:paraId="761462A3" w14:textId="6F8443C9" w:rsidR="00842E74" w:rsidRDefault="009F4034" w:rsidP="00214E96">
      <w:r>
        <w:t>In conclusion to this report, the understanding and knowledge has developed my learning when it comes to topic</w:t>
      </w:r>
      <w:r w:rsidR="00EC3173">
        <w:t>. I can now recognise the basic v</w:t>
      </w:r>
      <w:r w:rsidR="009D5FA8">
        <w:t xml:space="preserve">ehicle handling </w:t>
      </w:r>
      <w:r w:rsidR="00EC3173">
        <w:t xml:space="preserve">characteristics and explain why </w:t>
      </w:r>
      <w:r w:rsidR="00625E55">
        <w:t xml:space="preserve">there might be load transfer on one side or at the front or rear of a vehicle, also my knowledge of basic aerodynamics has taught me about the force which effect the speed of a vehicle during racing applications. </w:t>
      </w:r>
    </w:p>
    <w:bookmarkStart w:id="11" w:name="_Toc35697318" w:displacedByCustomXml="next"/>
    <w:sdt>
      <w:sdtPr>
        <w:rPr>
          <w:rFonts w:asciiTheme="minorHAnsi" w:eastAsiaTheme="minorHAnsi" w:hAnsiTheme="minorHAnsi" w:cstheme="minorBidi"/>
          <w:color w:val="auto"/>
          <w:sz w:val="22"/>
          <w:szCs w:val="22"/>
        </w:rPr>
        <w:id w:val="145560366"/>
        <w:docPartObj>
          <w:docPartGallery w:val="Bibliographies"/>
          <w:docPartUnique/>
        </w:docPartObj>
      </w:sdtPr>
      <w:sdtEndPr/>
      <w:sdtContent>
        <w:p w14:paraId="2724B396" w14:textId="66952FC6" w:rsidR="00BD5175" w:rsidRDefault="00BD5175">
          <w:pPr>
            <w:pStyle w:val="Heading1"/>
          </w:pPr>
          <w:r>
            <w:t>Bibliography</w:t>
          </w:r>
          <w:bookmarkEnd w:id="11"/>
        </w:p>
        <w:sdt>
          <w:sdtPr>
            <w:id w:val="111145805"/>
            <w:bibliography/>
          </w:sdtPr>
          <w:sdtEndPr/>
          <w:sdtContent>
            <w:p w14:paraId="19411427" w14:textId="77777777" w:rsidR="00382114" w:rsidRDefault="00BD5175" w:rsidP="00382114">
              <w:pPr>
                <w:pStyle w:val="Bibliography"/>
                <w:ind w:left="720" w:hanging="720"/>
                <w:rPr>
                  <w:noProof/>
                  <w:sz w:val="24"/>
                  <w:szCs w:val="24"/>
                </w:rPr>
              </w:pPr>
              <w:r>
                <w:fldChar w:fldCharType="begin"/>
              </w:r>
              <w:r>
                <w:instrText xml:space="preserve"> BIBLIOGRAPHY </w:instrText>
              </w:r>
              <w:r>
                <w:fldChar w:fldCharType="separate"/>
              </w:r>
              <w:r w:rsidR="00382114">
                <w:rPr>
                  <w:i/>
                  <w:iCs/>
                  <w:noProof/>
                </w:rPr>
                <w:t>Caster,Camber &amp; Toe Explaned</w:t>
              </w:r>
              <w:r w:rsidR="00382114">
                <w:rPr>
                  <w:noProof/>
                </w:rPr>
                <w:t>. (2020). Retrieved from explorationoutfitters: https://explorationoutfitters.com/pages/caster-camber-toe-explained</w:t>
              </w:r>
            </w:p>
            <w:p w14:paraId="70AEE3A6" w14:textId="77777777" w:rsidR="00382114" w:rsidRDefault="00382114" w:rsidP="00382114">
              <w:pPr>
                <w:pStyle w:val="Bibliography"/>
                <w:ind w:left="720" w:hanging="720"/>
                <w:rPr>
                  <w:noProof/>
                </w:rPr>
              </w:pPr>
              <w:r>
                <w:rPr>
                  <w:noProof/>
                </w:rPr>
                <w:t xml:space="preserve">Emden, V. (2017). </w:t>
              </w:r>
              <w:r>
                <w:rPr>
                  <w:i/>
                  <w:iCs/>
                  <w:noProof/>
                </w:rPr>
                <w:t>Writing for Engineers. 4th edition .</w:t>
              </w:r>
              <w:r>
                <w:rPr>
                  <w:noProof/>
                </w:rPr>
                <w:t xml:space="preserve"> london: Palgrave Macmillan.</w:t>
              </w:r>
            </w:p>
            <w:p w14:paraId="00603C16" w14:textId="77777777" w:rsidR="00382114" w:rsidRDefault="00382114" w:rsidP="00382114">
              <w:pPr>
                <w:pStyle w:val="Bibliography"/>
                <w:ind w:left="720" w:hanging="720"/>
                <w:rPr>
                  <w:noProof/>
                </w:rPr>
              </w:pPr>
              <w:r>
                <w:rPr>
                  <w:noProof/>
                </w:rPr>
                <w:t xml:space="preserve">GMBH, R. B. (2018). </w:t>
              </w:r>
              <w:r>
                <w:rPr>
                  <w:i/>
                  <w:iCs/>
                  <w:noProof/>
                </w:rPr>
                <w:t>Automotive Handbook.</w:t>
              </w:r>
              <w:r>
                <w:rPr>
                  <w:noProof/>
                </w:rPr>
                <w:t xml:space="preserve"> [S.l.]: Wiley-Blackwell.</w:t>
              </w:r>
            </w:p>
            <w:p w14:paraId="06EDD74F" w14:textId="77777777" w:rsidR="00382114" w:rsidRDefault="00382114" w:rsidP="00382114">
              <w:pPr>
                <w:pStyle w:val="Bibliography"/>
                <w:ind w:left="720" w:hanging="720"/>
                <w:rPr>
                  <w:noProof/>
                </w:rPr>
              </w:pPr>
              <w:r>
                <w:rPr>
                  <w:noProof/>
                </w:rPr>
                <w:t xml:space="preserve">Raj, N. (2019, june 10). </w:t>
              </w:r>
              <w:r>
                <w:rPr>
                  <w:i/>
                  <w:iCs/>
                  <w:noProof/>
                </w:rPr>
                <w:t>FSAE Tutor</w:t>
              </w:r>
              <w:r>
                <w:rPr>
                  <w:noProof/>
                </w:rPr>
                <w:t>. Retrieved from FSAE Tutor: https://www.fsaetutor.org/suspension/anti-dive-and-anti-squat/</w:t>
              </w:r>
            </w:p>
            <w:p w14:paraId="6D69B7D5" w14:textId="77777777" w:rsidR="00382114" w:rsidRDefault="00382114" w:rsidP="00382114">
              <w:pPr>
                <w:pStyle w:val="Bibliography"/>
                <w:ind w:left="720" w:hanging="720"/>
                <w:rPr>
                  <w:noProof/>
                </w:rPr>
              </w:pPr>
              <w:r>
                <w:rPr>
                  <w:noProof/>
                </w:rPr>
                <w:t xml:space="preserve">Zammit, S. (1987). </w:t>
              </w:r>
              <w:r>
                <w:rPr>
                  <w:i/>
                  <w:iCs/>
                  <w:noProof/>
                </w:rPr>
                <w:t>Motor vehicle engineering science for technicians, level 2.</w:t>
              </w:r>
              <w:r>
                <w:rPr>
                  <w:noProof/>
                </w:rPr>
                <w:t xml:space="preserve"> London: Harlow: Longman Scientific &amp; Technical.</w:t>
              </w:r>
            </w:p>
            <w:p w14:paraId="460A5257" w14:textId="20E66917" w:rsidR="00BD5175" w:rsidRDefault="00BD5175" w:rsidP="00815D5D">
              <w:r>
                <w:rPr>
                  <w:b/>
                  <w:bCs/>
                  <w:noProof/>
                </w:rPr>
                <w:fldChar w:fldCharType="end"/>
              </w:r>
              <w:r w:rsidR="00EF4C9B">
                <w:t xml:space="preserve">Bradley, T. (2020) Vehicle data excel. </w:t>
              </w:r>
            </w:p>
          </w:sdtContent>
        </w:sdt>
      </w:sdtContent>
    </w:sdt>
    <w:p w14:paraId="6FD15749" w14:textId="237E6439" w:rsidR="00C322D9" w:rsidRPr="00214E96" w:rsidRDefault="00382114" w:rsidP="00214E96">
      <w:sdt>
        <w:sdtPr>
          <w:id w:val="1289006893"/>
          <w:citation/>
        </w:sdtPr>
        <w:sdtContent>
          <w:r>
            <w:fldChar w:fldCharType="begin"/>
          </w:r>
          <w:r>
            <w:instrText xml:space="preserve"> CITATION Van17 \l 2057 </w:instrText>
          </w:r>
          <w:r>
            <w:fldChar w:fldCharType="separate"/>
          </w:r>
          <w:r>
            <w:rPr>
              <w:noProof/>
            </w:rPr>
            <w:t>(Emden, 2017)</w:t>
          </w:r>
          <w:r>
            <w:fldChar w:fldCharType="end"/>
          </w:r>
        </w:sdtContent>
      </w:sdt>
      <w:bookmarkStart w:id="12" w:name="_GoBack"/>
      <w:bookmarkEnd w:id="12"/>
    </w:p>
    <w:sectPr w:rsidR="00C322D9" w:rsidRPr="00214E96">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0B1B0B" w14:textId="77777777" w:rsidR="004B62B2" w:rsidRDefault="004B62B2" w:rsidP="004B62B2">
      <w:pPr>
        <w:spacing w:after="0" w:line="240" w:lineRule="auto"/>
      </w:pPr>
      <w:r>
        <w:separator/>
      </w:r>
    </w:p>
  </w:endnote>
  <w:endnote w:type="continuationSeparator" w:id="0">
    <w:p w14:paraId="2509B89E" w14:textId="77777777" w:rsidR="004B62B2" w:rsidRDefault="004B62B2" w:rsidP="004B62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752A33" w14:textId="77777777" w:rsidR="009B5C89" w:rsidRDefault="009B5C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3493316"/>
      <w:docPartObj>
        <w:docPartGallery w:val="Page Numbers (Bottom of Page)"/>
        <w:docPartUnique/>
      </w:docPartObj>
    </w:sdtPr>
    <w:sdtEndPr>
      <w:rPr>
        <w:noProof/>
      </w:rPr>
    </w:sdtEndPr>
    <w:sdtContent>
      <w:p w14:paraId="7F1B72BD" w14:textId="3B29E3FA" w:rsidR="004B62B2" w:rsidRDefault="004B62B2">
        <w:pPr>
          <w:pStyle w:val="Footer"/>
        </w:pPr>
        <w:r>
          <w:fldChar w:fldCharType="begin"/>
        </w:r>
        <w:r>
          <w:instrText xml:space="preserve"> PAGE   \* MERGEFORMAT </w:instrText>
        </w:r>
        <w:r>
          <w:fldChar w:fldCharType="separate"/>
        </w:r>
        <w:r>
          <w:rPr>
            <w:noProof/>
          </w:rPr>
          <w:t>2</w:t>
        </w:r>
        <w:r>
          <w:rPr>
            <w:noProof/>
          </w:rPr>
          <w:fldChar w:fldCharType="end"/>
        </w:r>
      </w:p>
    </w:sdtContent>
  </w:sdt>
  <w:p w14:paraId="731C5E31" w14:textId="77777777" w:rsidR="004B62B2" w:rsidRDefault="004B62B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7E16BF" w14:textId="77777777" w:rsidR="009B5C89" w:rsidRDefault="009B5C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E26A4C" w14:textId="77777777" w:rsidR="004B62B2" w:rsidRDefault="004B62B2" w:rsidP="004B62B2">
      <w:pPr>
        <w:spacing w:after="0" w:line="240" w:lineRule="auto"/>
      </w:pPr>
      <w:r>
        <w:separator/>
      </w:r>
    </w:p>
  </w:footnote>
  <w:footnote w:type="continuationSeparator" w:id="0">
    <w:p w14:paraId="49D22856" w14:textId="77777777" w:rsidR="004B62B2" w:rsidRDefault="004B62B2" w:rsidP="004B62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D24A93" w14:textId="77777777" w:rsidR="009B5C89" w:rsidRDefault="009B5C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8969085"/>
      <w:docPartObj>
        <w:docPartGallery w:val="Page Numbers (Top of Page)"/>
        <w:docPartUnique/>
      </w:docPartObj>
    </w:sdtPr>
    <w:sdtEndPr>
      <w:rPr>
        <w:noProof/>
      </w:rPr>
    </w:sdtEndPr>
    <w:sdtContent>
      <w:p w14:paraId="04B869EE" w14:textId="584520DD" w:rsidR="004B62B2" w:rsidRDefault="004B62B2">
        <w:pPr>
          <w:pStyle w:val="Header"/>
        </w:pPr>
        <w:r>
          <w:fldChar w:fldCharType="begin"/>
        </w:r>
        <w:r>
          <w:instrText xml:space="preserve"> PAGE   \* MERGEFORMAT </w:instrText>
        </w:r>
        <w:r>
          <w:fldChar w:fldCharType="separate"/>
        </w:r>
        <w:r>
          <w:rPr>
            <w:noProof/>
          </w:rPr>
          <w:t>2</w:t>
        </w:r>
        <w:r>
          <w:rPr>
            <w:noProof/>
          </w:rPr>
          <w:fldChar w:fldCharType="end"/>
        </w:r>
      </w:p>
    </w:sdtContent>
  </w:sdt>
  <w:p w14:paraId="256C27C2" w14:textId="77777777" w:rsidR="004B62B2" w:rsidRDefault="004B62B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E1CC16" w14:textId="77777777" w:rsidR="009B5C89" w:rsidRDefault="009B5C8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4E4"/>
    <w:rsid w:val="00020B87"/>
    <w:rsid w:val="00023363"/>
    <w:rsid w:val="000619B0"/>
    <w:rsid w:val="000B7074"/>
    <w:rsid w:val="000D0094"/>
    <w:rsid w:val="000D365A"/>
    <w:rsid w:val="000E4D5B"/>
    <w:rsid w:val="000E62F7"/>
    <w:rsid w:val="0010429A"/>
    <w:rsid w:val="00112696"/>
    <w:rsid w:val="001151CA"/>
    <w:rsid w:val="00135562"/>
    <w:rsid w:val="00142120"/>
    <w:rsid w:val="0015300D"/>
    <w:rsid w:val="00155E23"/>
    <w:rsid w:val="001622C6"/>
    <w:rsid w:val="0016471C"/>
    <w:rsid w:val="00192ECB"/>
    <w:rsid w:val="001A0FBC"/>
    <w:rsid w:val="001C2715"/>
    <w:rsid w:val="001C5131"/>
    <w:rsid w:val="001E21F9"/>
    <w:rsid w:val="001E2360"/>
    <w:rsid w:val="001E47F8"/>
    <w:rsid w:val="001E4982"/>
    <w:rsid w:val="001E6059"/>
    <w:rsid w:val="001F129A"/>
    <w:rsid w:val="00204D9A"/>
    <w:rsid w:val="00206FA0"/>
    <w:rsid w:val="00211A51"/>
    <w:rsid w:val="00214E96"/>
    <w:rsid w:val="002568AC"/>
    <w:rsid w:val="0027092A"/>
    <w:rsid w:val="002901A1"/>
    <w:rsid w:val="00290241"/>
    <w:rsid w:val="002A396A"/>
    <w:rsid w:val="002A3F26"/>
    <w:rsid w:val="002A5CB0"/>
    <w:rsid w:val="002C07B3"/>
    <w:rsid w:val="002D6926"/>
    <w:rsid w:val="002E20A2"/>
    <w:rsid w:val="00310091"/>
    <w:rsid w:val="00310FB1"/>
    <w:rsid w:val="00311861"/>
    <w:rsid w:val="003167A5"/>
    <w:rsid w:val="00340B6C"/>
    <w:rsid w:val="00382114"/>
    <w:rsid w:val="00384EEA"/>
    <w:rsid w:val="003B02FF"/>
    <w:rsid w:val="003C0FA5"/>
    <w:rsid w:val="003D418F"/>
    <w:rsid w:val="003D42E6"/>
    <w:rsid w:val="003F3911"/>
    <w:rsid w:val="003F486D"/>
    <w:rsid w:val="004036F7"/>
    <w:rsid w:val="004047F0"/>
    <w:rsid w:val="00417E06"/>
    <w:rsid w:val="00425011"/>
    <w:rsid w:val="00435807"/>
    <w:rsid w:val="004374B5"/>
    <w:rsid w:val="00462FE7"/>
    <w:rsid w:val="00466D4F"/>
    <w:rsid w:val="00467179"/>
    <w:rsid w:val="004A3D6C"/>
    <w:rsid w:val="004B62B2"/>
    <w:rsid w:val="004C41E2"/>
    <w:rsid w:val="004C48C1"/>
    <w:rsid w:val="005028EA"/>
    <w:rsid w:val="00520C4C"/>
    <w:rsid w:val="005263DF"/>
    <w:rsid w:val="00543114"/>
    <w:rsid w:val="005444C9"/>
    <w:rsid w:val="00547446"/>
    <w:rsid w:val="0055290D"/>
    <w:rsid w:val="005826AD"/>
    <w:rsid w:val="00597842"/>
    <w:rsid w:val="005A2DC1"/>
    <w:rsid w:val="005B3231"/>
    <w:rsid w:val="005E0C2A"/>
    <w:rsid w:val="005E6854"/>
    <w:rsid w:val="005F0FAE"/>
    <w:rsid w:val="00625E55"/>
    <w:rsid w:val="00633C47"/>
    <w:rsid w:val="00640D8F"/>
    <w:rsid w:val="0066348D"/>
    <w:rsid w:val="00670471"/>
    <w:rsid w:val="006712D1"/>
    <w:rsid w:val="006766A3"/>
    <w:rsid w:val="006C63C4"/>
    <w:rsid w:val="006D6917"/>
    <w:rsid w:val="006F4192"/>
    <w:rsid w:val="0074682D"/>
    <w:rsid w:val="00752A35"/>
    <w:rsid w:val="00765997"/>
    <w:rsid w:val="007751E2"/>
    <w:rsid w:val="00784660"/>
    <w:rsid w:val="007902CF"/>
    <w:rsid w:val="00792000"/>
    <w:rsid w:val="00793BE3"/>
    <w:rsid w:val="00794F2E"/>
    <w:rsid w:val="007B63CC"/>
    <w:rsid w:val="007F05DF"/>
    <w:rsid w:val="007F2BC9"/>
    <w:rsid w:val="007F58FD"/>
    <w:rsid w:val="00815D5D"/>
    <w:rsid w:val="008221A1"/>
    <w:rsid w:val="00832B86"/>
    <w:rsid w:val="008344B6"/>
    <w:rsid w:val="00840999"/>
    <w:rsid w:val="00842E74"/>
    <w:rsid w:val="00846B39"/>
    <w:rsid w:val="0085470F"/>
    <w:rsid w:val="00862979"/>
    <w:rsid w:val="008753ED"/>
    <w:rsid w:val="00882E2D"/>
    <w:rsid w:val="008928D2"/>
    <w:rsid w:val="008A50D4"/>
    <w:rsid w:val="008C274F"/>
    <w:rsid w:val="008C6365"/>
    <w:rsid w:val="008F71DE"/>
    <w:rsid w:val="0091481E"/>
    <w:rsid w:val="0092792C"/>
    <w:rsid w:val="00943231"/>
    <w:rsid w:val="0094469D"/>
    <w:rsid w:val="0095137E"/>
    <w:rsid w:val="00951E6A"/>
    <w:rsid w:val="00953F5B"/>
    <w:rsid w:val="00965888"/>
    <w:rsid w:val="00983881"/>
    <w:rsid w:val="009A60CF"/>
    <w:rsid w:val="009B5C89"/>
    <w:rsid w:val="009B767C"/>
    <w:rsid w:val="009C12C7"/>
    <w:rsid w:val="009C7959"/>
    <w:rsid w:val="009D02EB"/>
    <w:rsid w:val="009D5315"/>
    <w:rsid w:val="009D5FA8"/>
    <w:rsid w:val="009F262D"/>
    <w:rsid w:val="009F2AC5"/>
    <w:rsid w:val="009F4034"/>
    <w:rsid w:val="00A04A7F"/>
    <w:rsid w:val="00A145CD"/>
    <w:rsid w:val="00A502B0"/>
    <w:rsid w:val="00A96332"/>
    <w:rsid w:val="00AB1FA8"/>
    <w:rsid w:val="00AC5668"/>
    <w:rsid w:val="00AE63C5"/>
    <w:rsid w:val="00AF5C04"/>
    <w:rsid w:val="00B42BA3"/>
    <w:rsid w:val="00B43BF5"/>
    <w:rsid w:val="00B479F6"/>
    <w:rsid w:val="00B5095E"/>
    <w:rsid w:val="00B56512"/>
    <w:rsid w:val="00B61CFB"/>
    <w:rsid w:val="00B737B9"/>
    <w:rsid w:val="00BA6BE1"/>
    <w:rsid w:val="00BC54CC"/>
    <w:rsid w:val="00BC7CEE"/>
    <w:rsid w:val="00BD5175"/>
    <w:rsid w:val="00BE6037"/>
    <w:rsid w:val="00BF0062"/>
    <w:rsid w:val="00BF7774"/>
    <w:rsid w:val="00C322D9"/>
    <w:rsid w:val="00C51A16"/>
    <w:rsid w:val="00C53E58"/>
    <w:rsid w:val="00C67D04"/>
    <w:rsid w:val="00C820DE"/>
    <w:rsid w:val="00C84A58"/>
    <w:rsid w:val="00C9365D"/>
    <w:rsid w:val="00CA2AB2"/>
    <w:rsid w:val="00CB4B43"/>
    <w:rsid w:val="00CB5660"/>
    <w:rsid w:val="00CC5CE5"/>
    <w:rsid w:val="00CD55A5"/>
    <w:rsid w:val="00CD5A30"/>
    <w:rsid w:val="00D01619"/>
    <w:rsid w:val="00D079C2"/>
    <w:rsid w:val="00D10437"/>
    <w:rsid w:val="00D11BE1"/>
    <w:rsid w:val="00D20C9D"/>
    <w:rsid w:val="00D304E4"/>
    <w:rsid w:val="00D471CB"/>
    <w:rsid w:val="00D52426"/>
    <w:rsid w:val="00D56300"/>
    <w:rsid w:val="00D632F2"/>
    <w:rsid w:val="00D75EE4"/>
    <w:rsid w:val="00D93883"/>
    <w:rsid w:val="00D93D6B"/>
    <w:rsid w:val="00DA56A3"/>
    <w:rsid w:val="00DB0147"/>
    <w:rsid w:val="00DC4B6E"/>
    <w:rsid w:val="00DF0E85"/>
    <w:rsid w:val="00E03652"/>
    <w:rsid w:val="00E27AE7"/>
    <w:rsid w:val="00E31E3D"/>
    <w:rsid w:val="00E576A5"/>
    <w:rsid w:val="00E622DA"/>
    <w:rsid w:val="00E84C6E"/>
    <w:rsid w:val="00E93E0A"/>
    <w:rsid w:val="00EA13B6"/>
    <w:rsid w:val="00EA6802"/>
    <w:rsid w:val="00EA7FE7"/>
    <w:rsid w:val="00EB5EA1"/>
    <w:rsid w:val="00EC2440"/>
    <w:rsid w:val="00EC3173"/>
    <w:rsid w:val="00EE308C"/>
    <w:rsid w:val="00EF4C9B"/>
    <w:rsid w:val="00F01D15"/>
    <w:rsid w:val="00F0373C"/>
    <w:rsid w:val="00F04820"/>
    <w:rsid w:val="00F051DA"/>
    <w:rsid w:val="00F05B41"/>
    <w:rsid w:val="00F25746"/>
    <w:rsid w:val="00F307E4"/>
    <w:rsid w:val="00F40768"/>
    <w:rsid w:val="00F54CBA"/>
    <w:rsid w:val="00F60CD1"/>
    <w:rsid w:val="00F73558"/>
    <w:rsid w:val="00F84C0C"/>
    <w:rsid w:val="00F90F80"/>
    <w:rsid w:val="00F92162"/>
    <w:rsid w:val="00FA3150"/>
    <w:rsid w:val="00FA6D2C"/>
    <w:rsid w:val="00FB025A"/>
    <w:rsid w:val="00FB5888"/>
    <w:rsid w:val="00FC27F0"/>
    <w:rsid w:val="00FD0F67"/>
    <w:rsid w:val="00FD1116"/>
    <w:rsid w:val="00FD58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A133F3"/>
  <w15:chartTrackingRefBased/>
  <w15:docId w15:val="{AD96D3B8-AA43-4869-8E1F-7FA584EAA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62B2"/>
  </w:style>
  <w:style w:type="paragraph" w:styleId="Heading1">
    <w:name w:val="heading 1"/>
    <w:basedOn w:val="Normal"/>
    <w:next w:val="Normal"/>
    <w:link w:val="Heading1Char"/>
    <w:uiPriority w:val="9"/>
    <w:qFormat/>
    <w:rsid w:val="004B62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14E9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B62B2"/>
    <w:pPr>
      <w:spacing w:after="0" w:line="240" w:lineRule="auto"/>
    </w:pPr>
  </w:style>
  <w:style w:type="character" w:customStyle="1" w:styleId="Heading1Char">
    <w:name w:val="Heading 1 Char"/>
    <w:basedOn w:val="DefaultParagraphFont"/>
    <w:link w:val="Heading1"/>
    <w:uiPriority w:val="9"/>
    <w:rsid w:val="004B62B2"/>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4B62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62B2"/>
  </w:style>
  <w:style w:type="paragraph" w:styleId="Footer">
    <w:name w:val="footer"/>
    <w:basedOn w:val="Normal"/>
    <w:link w:val="FooterChar"/>
    <w:uiPriority w:val="99"/>
    <w:unhideWhenUsed/>
    <w:rsid w:val="004B62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62B2"/>
  </w:style>
  <w:style w:type="character" w:customStyle="1" w:styleId="Heading2Char">
    <w:name w:val="Heading 2 Char"/>
    <w:basedOn w:val="DefaultParagraphFont"/>
    <w:link w:val="Heading2"/>
    <w:uiPriority w:val="9"/>
    <w:rsid w:val="00214E9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344B6"/>
    <w:pPr>
      <w:outlineLvl w:val="9"/>
    </w:pPr>
    <w:rPr>
      <w:lang w:val="en-US"/>
    </w:rPr>
  </w:style>
  <w:style w:type="paragraph" w:styleId="TOC1">
    <w:name w:val="toc 1"/>
    <w:basedOn w:val="Normal"/>
    <w:next w:val="Normal"/>
    <w:autoRedefine/>
    <w:uiPriority w:val="39"/>
    <w:unhideWhenUsed/>
    <w:rsid w:val="008344B6"/>
    <w:pPr>
      <w:spacing w:after="100"/>
    </w:pPr>
  </w:style>
  <w:style w:type="paragraph" w:styleId="TOC2">
    <w:name w:val="toc 2"/>
    <w:basedOn w:val="Normal"/>
    <w:next w:val="Normal"/>
    <w:autoRedefine/>
    <w:uiPriority w:val="39"/>
    <w:unhideWhenUsed/>
    <w:rsid w:val="008344B6"/>
    <w:pPr>
      <w:spacing w:after="100"/>
      <w:ind w:left="220"/>
    </w:pPr>
  </w:style>
  <w:style w:type="character" w:styleId="Hyperlink">
    <w:name w:val="Hyperlink"/>
    <w:basedOn w:val="DefaultParagraphFont"/>
    <w:uiPriority w:val="99"/>
    <w:unhideWhenUsed/>
    <w:rsid w:val="008344B6"/>
    <w:rPr>
      <w:color w:val="0563C1" w:themeColor="hyperlink"/>
      <w:u w:val="single"/>
    </w:rPr>
  </w:style>
  <w:style w:type="paragraph" w:styleId="Bibliography">
    <w:name w:val="Bibliography"/>
    <w:basedOn w:val="Normal"/>
    <w:next w:val="Normal"/>
    <w:uiPriority w:val="37"/>
    <w:unhideWhenUsed/>
    <w:rsid w:val="00BD51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784265">
      <w:bodyDiv w:val="1"/>
      <w:marLeft w:val="0"/>
      <w:marRight w:val="0"/>
      <w:marTop w:val="0"/>
      <w:marBottom w:val="0"/>
      <w:divBdr>
        <w:top w:val="none" w:sz="0" w:space="0" w:color="auto"/>
        <w:left w:val="none" w:sz="0" w:space="0" w:color="auto"/>
        <w:bottom w:val="none" w:sz="0" w:space="0" w:color="auto"/>
        <w:right w:val="none" w:sz="0" w:space="0" w:color="auto"/>
      </w:divBdr>
    </w:div>
    <w:div w:id="116725756">
      <w:bodyDiv w:val="1"/>
      <w:marLeft w:val="0"/>
      <w:marRight w:val="0"/>
      <w:marTop w:val="0"/>
      <w:marBottom w:val="0"/>
      <w:divBdr>
        <w:top w:val="none" w:sz="0" w:space="0" w:color="auto"/>
        <w:left w:val="none" w:sz="0" w:space="0" w:color="auto"/>
        <w:bottom w:val="none" w:sz="0" w:space="0" w:color="auto"/>
        <w:right w:val="none" w:sz="0" w:space="0" w:color="auto"/>
      </w:divBdr>
    </w:div>
    <w:div w:id="214897317">
      <w:bodyDiv w:val="1"/>
      <w:marLeft w:val="0"/>
      <w:marRight w:val="0"/>
      <w:marTop w:val="0"/>
      <w:marBottom w:val="0"/>
      <w:divBdr>
        <w:top w:val="none" w:sz="0" w:space="0" w:color="auto"/>
        <w:left w:val="none" w:sz="0" w:space="0" w:color="auto"/>
        <w:bottom w:val="none" w:sz="0" w:space="0" w:color="auto"/>
        <w:right w:val="none" w:sz="0" w:space="0" w:color="auto"/>
      </w:divBdr>
    </w:div>
    <w:div w:id="256063807">
      <w:bodyDiv w:val="1"/>
      <w:marLeft w:val="0"/>
      <w:marRight w:val="0"/>
      <w:marTop w:val="0"/>
      <w:marBottom w:val="0"/>
      <w:divBdr>
        <w:top w:val="none" w:sz="0" w:space="0" w:color="auto"/>
        <w:left w:val="none" w:sz="0" w:space="0" w:color="auto"/>
        <w:bottom w:val="none" w:sz="0" w:space="0" w:color="auto"/>
        <w:right w:val="none" w:sz="0" w:space="0" w:color="auto"/>
      </w:divBdr>
    </w:div>
    <w:div w:id="281691506">
      <w:bodyDiv w:val="1"/>
      <w:marLeft w:val="0"/>
      <w:marRight w:val="0"/>
      <w:marTop w:val="0"/>
      <w:marBottom w:val="0"/>
      <w:divBdr>
        <w:top w:val="none" w:sz="0" w:space="0" w:color="auto"/>
        <w:left w:val="none" w:sz="0" w:space="0" w:color="auto"/>
        <w:bottom w:val="none" w:sz="0" w:space="0" w:color="auto"/>
        <w:right w:val="none" w:sz="0" w:space="0" w:color="auto"/>
      </w:divBdr>
    </w:div>
    <w:div w:id="352654798">
      <w:bodyDiv w:val="1"/>
      <w:marLeft w:val="0"/>
      <w:marRight w:val="0"/>
      <w:marTop w:val="0"/>
      <w:marBottom w:val="0"/>
      <w:divBdr>
        <w:top w:val="none" w:sz="0" w:space="0" w:color="auto"/>
        <w:left w:val="none" w:sz="0" w:space="0" w:color="auto"/>
        <w:bottom w:val="none" w:sz="0" w:space="0" w:color="auto"/>
        <w:right w:val="none" w:sz="0" w:space="0" w:color="auto"/>
      </w:divBdr>
    </w:div>
    <w:div w:id="397873071">
      <w:bodyDiv w:val="1"/>
      <w:marLeft w:val="0"/>
      <w:marRight w:val="0"/>
      <w:marTop w:val="0"/>
      <w:marBottom w:val="0"/>
      <w:divBdr>
        <w:top w:val="none" w:sz="0" w:space="0" w:color="auto"/>
        <w:left w:val="none" w:sz="0" w:space="0" w:color="auto"/>
        <w:bottom w:val="none" w:sz="0" w:space="0" w:color="auto"/>
        <w:right w:val="none" w:sz="0" w:space="0" w:color="auto"/>
      </w:divBdr>
    </w:div>
    <w:div w:id="441195860">
      <w:bodyDiv w:val="1"/>
      <w:marLeft w:val="0"/>
      <w:marRight w:val="0"/>
      <w:marTop w:val="0"/>
      <w:marBottom w:val="0"/>
      <w:divBdr>
        <w:top w:val="none" w:sz="0" w:space="0" w:color="auto"/>
        <w:left w:val="none" w:sz="0" w:space="0" w:color="auto"/>
        <w:bottom w:val="none" w:sz="0" w:space="0" w:color="auto"/>
        <w:right w:val="none" w:sz="0" w:space="0" w:color="auto"/>
      </w:divBdr>
    </w:div>
    <w:div w:id="453254726">
      <w:bodyDiv w:val="1"/>
      <w:marLeft w:val="0"/>
      <w:marRight w:val="0"/>
      <w:marTop w:val="0"/>
      <w:marBottom w:val="0"/>
      <w:divBdr>
        <w:top w:val="none" w:sz="0" w:space="0" w:color="auto"/>
        <w:left w:val="none" w:sz="0" w:space="0" w:color="auto"/>
        <w:bottom w:val="none" w:sz="0" w:space="0" w:color="auto"/>
        <w:right w:val="none" w:sz="0" w:space="0" w:color="auto"/>
      </w:divBdr>
    </w:div>
    <w:div w:id="454368657">
      <w:bodyDiv w:val="1"/>
      <w:marLeft w:val="0"/>
      <w:marRight w:val="0"/>
      <w:marTop w:val="0"/>
      <w:marBottom w:val="0"/>
      <w:divBdr>
        <w:top w:val="none" w:sz="0" w:space="0" w:color="auto"/>
        <w:left w:val="none" w:sz="0" w:space="0" w:color="auto"/>
        <w:bottom w:val="none" w:sz="0" w:space="0" w:color="auto"/>
        <w:right w:val="none" w:sz="0" w:space="0" w:color="auto"/>
      </w:divBdr>
    </w:div>
    <w:div w:id="486213884">
      <w:bodyDiv w:val="1"/>
      <w:marLeft w:val="0"/>
      <w:marRight w:val="0"/>
      <w:marTop w:val="0"/>
      <w:marBottom w:val="0"/>
      <w:divBdr>
        <w:top w:val="none" w:sz="0" w:space="0" w:color="auto"/>
        <w:left w:val="none" w:sz="0" w:space="0" w:color="auto"/>
        <w:bottom w:val="none" w:sz="0" w:space="0" w:color="auto"/>
        <w:right w:val="none" w:sz="0" w:space="0" w:color="auto"/>
      </w:divBdr>
    </w:div>
    <w:div w:id="552160354">
      <w:bodyDiv w:val="1"/>
      <w:marLeft w:val="0"/>
      <w:marRight w:val="0"/>
      <w:marTop w:val="0"/>
      <w:marBottom w:val="0"/>
      <w:divBdr>
        <w:top w:val="none" w:sz="0" w:space="0" w:color="auto"/>
        <w:left w:val="none" w:sz="0" w:space="0" w:color="auto"/>
        <w:bottom w:val="none" w:sz="0" w:space="0" w:color="auto"/>
        <w:right w:val="none" w:sz="0" w:space="0" w:color="auto"/>
      </w:divBdr>
    </w:div>
    <w:div w:id="631905647">
      <w:bodyDiv w:val="1"/>
      <w:marLeft w:val="0"/>
      <w:marRight w:val="0"/>
      <w:marTop w:val="0"/>
      <w:marBottom w:val="0"/>
      <w:divBdr>
        <w:top w:val="none" w:sz="0" w:space="0" w:color="auto"/>
        <w:left w:val="none" w:sz="0" w:space="0" w:color="auto"/>
        <w:bottom w:val="none" w:sz="0" w:space="0" w:color="auto"/>
        <w:right w:val="none" w:sz="0" w:space="0" w:color="auto"/>
      </w:divBdr>
    </w:div>
    <w:div w:id="736975788">
      <w:bodyDiv w:val="1"/>
      <w:marLeft w:val="0"/>
      <w:marRight w:val="0"/>
      <w:marTop w:val="0"/>
      <w:marBottom w:val="0"/>
      <w:divBdr>
        <w:top w:val="none" w:sz="0" w:space="0" w:color="auto"/>
        <w:left w:val="none" w:sz="0" w:space="0" w:color="auto"/>
        <w:bottom w:val="none" w:sz="0" w:space="0" w:color="auto"/>
        <w:right w:val="none" w:sz="0" w:space="0" w:color="auto"/>
      </w:divBdr>
    </w:div>
    <w:div w:id="818957878">
      <w:bodyDiv w:val="1"/>
      <w:marLeft w:val="0"/>
      <w:marRight w:val="0"/>
      <w:marTop w:val="0"/>
      <w:marBottom w:val="0"/>
      <w:divBdr>
        <w:top w:val="none" w:sz="0" w:space="0" w:color="auto"/>
        <w:left w:val="none" w:sz="0" w:space="0" w:color="auto"/>
        <w:bottom w:val="none" w:sz="0" w:space="0" w:color="auto"/>
        <w:right w:val="none" w:sz="0" w:space="0" w:color="auto"/>
      </w:divBdr>
    </w:div>
    <w:div w:id="885873290">
      <w:bodyDiv w:val="1"/>
      <w:marLeft w:val="0"/>
      <w:marRight w:val="0"/>
      <w:marTop w:val="0"/>
      <w:marBottom w:val="0"/>
      <w:divBdr>
        <w:top w:val="none" w:sz="0" w:space="0" w:color="auto"/>
        <w:left w:val="none" w:sz="0" w:space="0" w:color="auto"/>
        <w:bottom w:val="none" w:sz="0" w:space="0" w:color="auto"/>
        <w:right w:val="none" w:sz="0" w:space="0" w:color="auto"/>
      </w:divBdr>
    </w:div>
    <w:div w:id="959922500">
      <w:bodyDiv w:val="1"/>
      <w:marLeft w:val="0"/>
      <w:marRight w:val="0"/>
      <w:marTop w:val="0"/>
      <w:marBottom w:val="0"/>
      <w:divBdr>
        <w:top w:val="none" w:sz="0" w:space="0" w:color="auto"/>
        <w:left w:val="none" w:sz="0" w:space="0" w:color="auto"/>
        <w:bottom w:val="none" w:sz="0" w:space="0" w:color="auto"/>
        <w:right w:val="none" w:sz="0" w:space="0" w:color="auto"/>
      </w:divBdr>
    </w:div>
    <w:div w:id="1015494200">
      <w:bodyDiv w:val="1"/>
      <w:marLeft w:val="0"/>
      <w:marRight w:val="0"/>
      <w:marTop w:val="0"/>
      <w:marBottom w:val="0"/>
      <w:divBdr>
        <w:top w:val="none" w:sz="0" w:space="0" w:color="auto"/>
        <w:left w:val="none" w:sz="0" w:space="0" w:color="auto"/>
        <w:bottom w:val="none" w:sz="0" w:space="0" w:color="auto"/>
        <w:right w:val="none" w:sz="0" w:space="0" w:color="auto"/>
      </w:divBdr>
    </w:div>
    <w:div w:id="1048409185">
      <w:bodyDiv w:val="1"/>
      <w:marLeft w:val="0"/>
      <w:marRight w:val="0"/>
      <w:marTop w:val="0"/>
      <w:marBottom w:val="0"/>
      <w:divBdr>
        <w:top w:val="none" w:sz="0" w:space="0" w:color="auto"/>
        <w:left w:val="none" w:sz="0" w:space="0" w:color="auto"/>
        <w:bottom w:val="none" w:sz="0" w:space="0" w:color="auto"/>
        <w:right w:val="none" w:sz="0" w:space="0" w:color="auto"/>
      </w:divBdr>
    </w:div>
    <w:div w:id="1050111489">
      <w:bodyDiv w:val="1"/>
      <w:marLeft w:val="0"/>
      <w:marRight w:val="0"/>
      <w:marTop w:val="0"/>
      <w:marBottom w:val="0"/>
      <w:divBdr>
        <w:top w:val="none" w:sz="0" w:space="0" w:color="auto"/>
        <w:left w:val="none" w:sz="0" w:space="0" w:color="auto"/>
        <w:bottom w:val="none" w:sz="0" w:space="0" w:color="auto"/>
        <w:right w:val="none" w:sz="0" w:space="0" w:color="auto"/>
      </w:divBdr>
    </w:div>
    <w:div w:id="1054541930">
      <w:bodyDiv w:val="1"/>
      <w:marLeft w:val="0"/>
      <w:marRight w:val="0"/>
      <w:marTop w:val="0"/>
      <w:marBottom w:val="0"/>
      <w:divBdr>
        <w:top w:val="none" w:sz="0" w:space="0" w:color="auto"/>
        <w:left w:val="none" w:sz="0" w:space="0" w:color="auto"/>
        <w:bottom w:val="none" w:sz="0" w:space="0" w:color="auto"/>
        <w:right w:val="none" w:sz="0" w:space="0" w:color="auto"/>
      </w:divBdr>
    </w:div>
    <w:div w:id="1108429310">
      <w:bodyDiv w:val="1"/>
      <w:marLeft w:val="0"/>
      <w:marRight w:val="0"/>
      <w:marTop w:val="0"/>
      <w:marBottom w:val="0"/>
      <w:divBdr>
        <w:top w:val="none" w:sz="0" w:space="0" w:color="auto"/>
        <w:left w:val="none" w:sz="0" w:space="0" w:color="auto"/>
        <w:bottom w:val="none" w:sz="0" w:space="0" w:color="auto"/>
        <w:right w:val="none" w:sz="0" w:space="0" w:color="auto"/>
      </w:divBdr>
    </w:div>
    <w:div w:id="1149595468">
      <w:bodyDiv w:val="1"/>
      <w:marLeft w:val="0"/>
      <w:marRight w:val="0"/>
      <w:marTop w:val="0"/>
      <w:marBottom w:val="0"/>
      <w:divBdr>
        <w:top w:val="none" w:sz="0" w:space="0" w:color="auto"/>
        <w:left w:val="none" w:sz="0" w:space="0" w:color="auto"/>
        <w:bottom w:val="none" w:sz="0" w:space="0" w:color="auto"/>
        <w:right w:val="none" w:sz="0" w:space="0" w:color="auto"/>
      </w:divBdr>
    </w:div>
    <w:div w:id="1178034267">
      <w:bodyDiv w:val="1"/>
      <w:marLeft w:val="0"/>
      <w:marRight w:val="0"/>
      <w:marTop w:val="0"/>
      <w:marBottom w:val="0"/>
      <w:divBdr>
        <w:top w:val="none" w:sz="0" w:space="0" w:color="auto"/>
        <w:left w:val="none" w:sz="0" w:space="0" w:color="auto"/>
        <w:bottom w:val="none" w:sz="0" w:space="0" w:color="auto"/>
        <w:right w:val="none" w:sz="0" w:space="0" w:color="auto"/>
      </w:divBdr>
    </w:div>
    <w:div w:id="1203901766">
      <w:bodyDiv w:val="1"/>
      <w:marLeft w:val="0"/>
      <w:marRight w:val="0"/>
      <w:marTop w:val="0"/>
      <w:marBottom w:val="0"/>
      <w:divBdr>
        <w:top w:val="none" w:sz="0" w:space="0" w:color="auto"/>
        <w:left w:val="none" w:sz="0" w:space="0" w:color="auto"/>
        <w:bottom w:val="none" w:sz="0" w:space="0" w:color="auto"/>
        <w:right w:val="none" w:sz="0" w:space="0" w:color="auto"/>
      </w:divBdr>
    </w:div>
    <w:div w:id="1218466856">
      <w:bodyDiv w:val="1"/>
      <w:marLeft w:val="0"/>
      <w:marRight w:val="0"/>
      <w:marTop w:val="0"/>
      <w:marBottom w:val="0"/>
      <w:divBdr>
        <w:top w:val="none" w:sz="0" w:space="0" w:color="auto"/>
        <w:left w:val="none" w:sz="0" w:space="0" w:color="auto"/>
        <w:bottom w:val="none" w:sz="0" w:space="0" w:color="auto"/>
        <w:right w:val="none" w:sz="0" w:space="0" w:color="auto"/>
      </w:divBdr>
    </w:div>
    <w:div w:id="1224367946">
      <w:bodyDiv w:val="1"/>
      <w:marLeft w:val="0"/>
      <w:marRight w:val="0"/>
      <w:marTop w:val="0"/>
      <w:marBottom w:val="0"/>
      <w:divBdr>
        <w:top w:val="none" w:sz="0" w:space="0" w:color="auto"/>
        <w:left w:val="none" w:sz="0" w:space="0" w:color="auto"/>
        <w:bottom w:val="none" w:sz="0" w:space="0" w:color="auto"/>
        <w:right w:val="none" w:sz="0" w:space="0" w:color="auto"/>
      </w:divBdr>
    </w:div>
    <w:div w:id="1404765268">
      <w:bodyDiv w:val="1"/>
      <w:marLeft w:val="0"/>
      <w:marRight w:val="0"/>
      <w:marTop w:val="0"/>
      <w:marBottom w:val="0"/>
      <w:divBdr>
        <w:top w:val="none" w:sz="0" w:space="0" w:color="auto"/>
        <w:left w:val="none" w:sz="0" w:space="0" w:color="auto"/>
        <w:bottom w:val="none" w:sz="0" w:space="0" w:color="auto"/>
        <w:right w:val="none" w:sz="0" w:space="0" w:color="auto"/>
      </w:divBdr>
    </w:div>
    <w:div w:id="1444812321">
      <w:bodyDiv w:val="1"/>
      <w:marLeft w:val="0"/>
      <w:marRight w:val="0"/>
      <w:marTop w:val="0"/>
      <w:marBottom w:val="0"/>
      <w:divBdr>
        <w:top w:val="none" w:sz="0" w:space="0" w:color="auto"/>
        <w:left w:val="none" w:sz="0" w:space="0" w:color="auto"/>
        <w:bottom w:val="none" w:sz="0" w:space="0" w:color="auto"/>
        <w:right w:val="none" w:sz="0" w:space="0" w:color="auto"/>
      </w:divBdr>
    </w:div>
    <w:div w:id="1480731797">
      <w:bodyDiv w:val="1"/>
      <w:marLeft w:val="0"/>
      <w:marRight w:val="0"/>
      <w:marTop w:val="0"/>
      <w:marBottom w:val="0"/>
      <w:divBdr>
        <w:top w:val="none" w:sz="0" w:space="0" w:color="auto"/>
        <w:left w:val="none" w:sz="0" w:space="0" w:color="auto"/>
        <w:bottom w:val="none" w:sz="0" w:space="0" w:color="auto"/>
        <w:right w:val="none" w:sz="0" w:space="0" w:color="auto"/>
      </w:divBdr>
    </w:div>
    <w:div w:id="1592734513">
      <w:bodyDiv w:val="1"/>
      <w:marLeft w:val="0"/>
      <w:marRight w:val="0"/>
      <w:marTop w:val="0"/>
      <w:marBottom w:val="0"/>
      <w:divBdr>
        <w:top w:val="none" w:sz="0" w:space="0" w:color="auto"/>
        <w:left w:val="none" w:sz="0" w:space="0" w:color="auto"/>
        <w:bottom w:val="none" w:sz="0" w:space="0" w:color="auto"/>
        <w:right w:val="none" w:sz="0" w:space="0" w:color="auto"/>
      </w:divBdr>
    </w:div>
    <w:div w:id="1595363250">
      <w:bodyDiv w:val="1"/>
      <w:marLeft w:val="0"/>
      <w:marRight w:val="0"/>
      <w:marTop w:val="0"/>
      <w:marBottom w:val="0"/>
      <w:divBdr>
        <w:top w:val="none" w:sz="0" w:space="0" w:color="auto"/>
        <w:left w:val="none" w:sz="0" w:space="0" w:color="auto"/>
        <w:bottom w:val="none" w:sz="0" w:space="0" w:color="auto"/>
        <w:right w:val="none" w:sz="0" w:space="0" w:color="auto"/>
      </w:divBdr>
    </w:div>
    <w:div w:id="1898198705">
      <w:bodyDiv w:val="1"/>
      <w:marLeft w:val="0"/>
      <w:marRight w:val="0"/>
      <w:marTop w:val="0"/>
      <w:marBottom w:val="0"/>
      <w:divBdr>
        <w:top w:val="none" w:sz="0" w:space="0" w:color="auto"/>
        <w:left w:val="none" w:sz="0" w:space="0" w:color="auto"/>
        <w:bottom w:val="none" w:sz="0" w:space="0" w:color="auto"/>
        <w:right w:val="none" w:sz="0" w:space="0" w:color="auto"/>
      </w:divBdr>
    </w:div>
    <w:div w:id="1899320853">
      <w:bodyDiv w:val="1"/>
      <w:marLeft w:val="0"/>
      <w:marRight w:val="0"/>
      <w:marTop w:val="0"/>
      <w:marBottom w:val="0"/>
      <w:divBdr>
        <w:top w:val="none" w:sz="0" w:space="0" w:color="auto"/>
        <w:left w:val="none" w:sz="0" w:space="0" w:color="auto"/>
        <w:bottom w:val="none" w:sz="0" w:space="0" w:color="auto"/>
        <w:right w:val="none" w:sz="0" w:space="0" w:color="auto"/>
      </w:divBdr>
    </w:div>
    <w:div w:id="1916478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2.png"/><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4.xm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chart" Target="charts/chart3.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header" Target="header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Vertical</a:t>
            </a:r>
            <a:r>
              <a:rPr lang="en-GB" baseline="0"/>
              <a:t> load (Lateral) Vs G Force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1"/>
          <c:tx>
            <c:strRef>
              <c:f>Sheet1!$I$13</c:f>
              <c:strCache>
                <c:ptCount val="1"/>
                <c:pt idx="0">
                  <c:v>Vertical Load FL</c:v>
                </c:pt>
              </c:strCache>
            </c:strRef>
          </c:tx>
          <c:spPr>
            <a:solidFill>
              <a:schemeClr val="accent2"/>
            </a:solidFill>
            <a:ln>
              <a:noFill/>
            </a:ln>
            <a:effectLst/>
          </c:spPr>
          <c:invertIfNegative val="0"/>
          <c:cat>
            <c:numRef>
              <c:f>Sheet1!$H$14:$H$29</c:f>
              <c:numCache>
                <c:formatCode>General</c:formatCode>
                <c:ptCount val="16"/>
                <c:pt idx="0">
                  <c:v>0</c:v>
                </c:pt>
                <c:pt idx="1">
                  <c:v>0.1</c:v>
                </c:pt>
                <c:pt idx="2">
                  <c:v>0.2</c:v>
                </c:pt>
                <c:pt idx="3">
                  <c:v>0.30000000000000004</c:v>
                </c:pt>
                <c:pt idx="4">
                  <c:v>0.4</c:v>
                </c:pt>
                <c:pt idx="5">
                  <c:v>0.5</c:v>
                </c:pt>
                <c:pt idx="6">
                  <c:v>0.6</c:v>
                </c:pt>
                <c:pt idx="7">
                  <c:v>0.7</c:v>
                </c:pt>
                <c:pt idx="8">
                  <c:v>0.79999999999999993</c:v>
                </c:pt>
                <c:pt idx="9">
                  <c:v>0.89999999999999991</c:v>
                </c:pt>
                <c:pt idx="10">
                  <c:v>0.99999999999999989</c:v>
                </c:pt>
                <c:pt idx="11">
                  <c:v>1.0999999999999999</c:v>
                </c:pt>
                <c:pt idx="12">
                  <c:v>1.2</c:v>
                </c:pt>
                <c:pt idx="13">
                  <c:v>1.3</c:v>
                </c:pt>
                <c:pt idx="14">
                  <c:v>1.4000000000000001</c:v>
                </c:pt>
                <c:pt idx="15">
                  <c:v>1.5000000000000002</c:v>
                </c:pt>
              </c:numCache>
            </c:numRef>
          </c:cat>
          <c:val>
            <c:numRef>
              <c:f>Sheet1!$I$14:$I$29</c:f>
              <c:numCache>
                <c:formatCode>General</c:formatCode>
                <c:ptCount val="16"/>
                <c:pt idx="0">
                  <c:v>1535.3049960000001</c:v>
                </c:pt>
                <c:pt idx="1">
                  <c:v>1538.6501426666669</c:v>
                </c:pt>
                <c:pt idx="2">
                  <c:v>1541.9952893333334</c:v>
                </c:pt>
                <c:pt idx="3">
                  <c:v>1545.3404360000002</c:v>
                </c:pt>
                <c:pt idx="4">
                  <c:v>1548.6855826666667</c:v>
                </c:pt>
                <c:pt idx="5">
                  <c:v>1552.0307293333335</c:v>
                </c:pt>
                <c:pt idx="6">
                  <c:v>1555.3758760000001</c:v>
                </c:pt>
                <c:pt idx="7">
                  <c:v>1558.7210226666668</c:v>
                </c:pt>
                <c:pt idx="8">
                  <c:v>1562.0661693333334</c:v>
                </c:pt>
                <c:pt idx="9">
                  <c:v>1565.4113160000002</c:v>
                </c:pt>
                <c:pt idx="10">
                  <c:v>1568.7564626666667</c:v>
                </c:pt>
                <c:pt idx="11">
                  <c:v>1572.1016093333335</c:v>
                </c:pt>
                <c:pt idx="12">
                  <c:v>1575.4467560000001</c:v>
                </c:pt>
                <c:pt idx="13">
                  <c:v>1578.7919026666668</c:v>
                </c:pt>
                <c:pt idx="14">
                  <c:v>1582.1370493333334</c:v>
                </c:pt>
                <c:pt idx="15">
                  <c:v>1585.4821960000002</c:v>
                </c:pt>
              </c:numCache>
            </c:numRef>
          </c:val>
          <c:extLst>
            <c:ext xmlns:c16="http://schemas.microsoft.com/office/drawing/2014/chart" uri="{C3380CC4-5D6E-409C-BE32-E72D297353CC}">
              <c16:uniqueId val="{00000000-E352-4339-A6E6-1E8657D37E05}"/>
            </c:ext>
          </c:extLst>
        </c:ser>
        <c:ser>
          <c:idx val="2"/>
          <c:order val="2"/>
          <c:tx>
            <c:strRef>
              <c:f>Sheet1!$J$13</c:f>
              <c:strCache>
                <c:ptCount val="1"/>
                <c:pt idx="0">
                  <c:v>Vertical Load RR</c:v>
                </c:pt>
              </c:strCache>
            </c:strRef>
          </c:tx>
          <c:spPr>
            <a:solidFill>
              <a:schemeClr val="accent3"/>
            </a:solidFill>
            <a:ln>
              <a:noFill/>
            </a:ln>
            <a:effectLst/>
          </c:spPr>
          <c:invertIfNegative val="0"/>
          <c:cat>
            <c:numRef>
              <c:f>Sheet1!$H$14:$H$29</c:f>
              <c:numCache>
                <c:formatCode>General</c:formatCode>
                <c:ptCount val="16"/>
                <c:pt idx="0">
                  <c:v>0</c:v>
                </c:pt>
                <c:pt idx="1">
                  <c:v>0.1</c:v>
                </c:pt>
                <c:pt idx="2">
                  <c:v>0.2</c:v>
                </c:pt>
                <c:pt idx="3">
                  <c:v>0.30000000000000004</c:v>
                </c:pt>
                <c:pt idx="4">
                  <c:v>0.4</c:v>
                </c:pt>
                <c:pt idx="5">
                  <c:v>0.5</c:v>
                </c:pt>
                <c:pt idx="6">
                  <c:v>0.6</c:v>
                </c:pt>
                <c:pt idx="7">
                  <c:v>0.7</c:v>
                </c:pt>
                <c:pt idx="8">
                  <c:v>0.79999999999999993</c:v>
                </c:pt>
                <c:pt idx="9">
                  <c:v>0.89999999999999991</c:v>
                </c:pt>
                <c:pt idx="10">
                  <c:v>0.99999999999999989</c:v>
                </c:pt>
                <c:pt idx="11">
                  <c:v>1.0999999999999999</c:v>
                </c:pt>
                <c:pt idx="12">
                  <c:v>1.2</c:v>
                </c:pt>
                <c:pt idx="13">
                  <c:v>1.3</c:v>
                </c:pt>
                <c:pt idx="14">
                  <c:v>1.4000000000000001</c:v>
                </c:pt>
                <c:pt idx="15">
                  <c:v>1.5000000000000002</c:v>
                </c:pt>
              </c:numCache>
            </c:numRef>
          </c:cat>
          <c:val>
            <c:numRef>
              <c:f>Sheet1!$J$14:$J$29</c:f>
              <c:numCache>
                <c:formatCode>General</c:formatCode>
                <c:ptCount val="16"/>
                <c:pt idx="0">
                  <c:v>1658.52</c:v>
                </c:pt>
                <c:pt idx="1">
                  <c:v>1654.8957422222222</c:v>
                </c:pt>
                <c:pt idx="2">
                  <c:v>1651.2714844444445</c:v>
                </c:pt>
                <c:pt idx="3">
                  <c:v>1647.6472266666667</c:v>
                </c:pt>
                <c:pt idx="4">
                  <c:v>1644.022968888889</c:v>
                </c:pt>
                <c:pt idx="5">
                  <c:v>1640.3987111111112</c:v>
                </c:pt>
                <c:pt idx="6">
                  <c:v>1636.7744533333332</c:v>
                </c:pt>
                <c:pt idx="7">
                  <c:v>1633.1501955555555</c:v>
                </c:pt>
                <c:pt idx="8">
                  <c:v>1629.5259377777777</c:v>
                </c:pt>
                <c:pt idx="9">
                  <c:v>1625.9016799999999</c:v>
                </c:pt>
                <c:pt idx="10">
                  <c:v>1622.2774222222222</c:v>
                </c:pt>
                <c:pt idx="11">
                  <c:v>1618.6531644444444</c:v>
                </c:pt>
                <c:pt idx="12">
                  <c:v>1615.0289066666667</c:v>
                </c:pt>
                <c:pt idx="13">
                  <c:v>1611.4046488888889</c:v>
                </c:pt>
                <c:pt idx="14">
                  <c:v>1607.7803911111112</c:v>
                </c:pt>
                <c:pt idx="15">
                  <c:v>1604.1561333333334</c:v>
                </c:pt>
              </c:numCache>
            </c:numRef>
          </c:val>
          <c:extLst>
            <c:ext xmlns:c16="http://schemas.microsoft.com/office/drawing/2014/chart" uri="{C3380CC4-5D6E-409C-BE32-E72D297353CC}">
              <c16:uniqueId val="{00000001-E352-4339-A6E6-1E8657D37E05}"/>
            </c:ext>
          </c:extLst>
        </c:ser>
        <c:ser>
          <c:idx val="3"/>
          <c:order val="3"/>
          <c:tx>
            <c:strRef>
              <c:f>Sheet1!$K$13</c:f>
              <c:strCache>
                <c:ptCount val="1"/>
                <c:pt idx="0">
                  <c:v>Vertical Load RL</c:v>
                </c:pt>
              </c:strCache>
            </c:strRef>
          </c:tx>
          <c:spPr>
            <a:solidFill>
              <a:schemeClr val="accent4"/>
            </a:solidFill>
            <a:ln>
              <a:noFill/>
            </a:ln>
            <a:effectLst/>
          </c:spPr>
          <c:invertIfNegative val="0"/>
          <c:cat>
            <c:numRef>
              <c:f>Sheet1!$H$14:$H$29</c:f>
              <c:numCache>
                <c:formatCode>General</c:formatCode>
                <c:ptCount val="16"/>
                <c:pt idx="0">
                  <c:v>0</c:v>
                </c:pt>
                <c:pt idx="1">
                  <c:v>0.1</c:v>
                </c:pt>
                <c:pt idx="2">
                  <c:v>0.2</c:v>
                </c:pt>
                <c:pt idx="3">
                  <c:v>0.30000000000000004</c:v>
                </c:pt>
                <c:pt idx="4">
                  <c:v>0.4</c:v>
                </c:pt>
                <c:pt idx="5">
                  <c:v>0.5</c:v>
                </c:pt>
                <c:pt idx="6">
                  <c:v>0.6</c:v>
                </c:pt>
                <c:pt idx="7">
                  <c:v>0.7</c:v>
                </c:pt>
                <c:pt idx="8">
                  <c:v>0.79999999999999993</c:v>
                </c:pt>
                <c:pt idx="9">
                  <c:v>0.89999999999999991</c:v>
                </c:pt>
                <c:pt idx="10">
                  <c:v>0.99999999999999989</c:v>
                </c:pt>
                <c:pt idx="11">
                  <c:v>1.0999999999999999</c:v>
                </c:pt>
                <c:pt idx="12">
                  <c:v>1.2</c:v>
                </c:pt>
                <c:pt idx="13">
                  <c:v>1.3</c:v>
                </c:pt>
                <c:pt idx="14">
                  <c:v>1.4000000000000001</c:v>
                </c:pt>
                <c:pt idx="15">
                  <c:v>1.5000000000000002</c:v>
                </c:pt>
              </c:numCache>
            </c:numRef>
          </c:cat>
          <c:val>
            <c:numRef>
              <c:f>Sheet1!$K$14:$K$29</c:f>
              <c:numCache>
                <c:formatCode>General</c:formatCode>
                <c:ptCount val="16"/>
                <c:pt idx="0">
                  <c:v>1723.82</c:v>
                </c:pt>
                <c:pt idx="1">
                  <c:v>1720.0478133333334</c:v>
                </c:pt>
                <c:pt idx="2">
                  <c:v>1716.2756266666665</c:v>
                </c:pt>
                <c:pt idx="3">
                  <c:v>1712.50344</c:v>
                </c:pt>
                <c:pt idx="4">
                  <c:v>1708.7312533333334</c:v>
                </c:pt>
                <c:pt idx="5">
                  <c:v>1704.9590666666666</c:v>
                </c:pt>
                <c:pt idx="6">
                  <c:v>1701.18688</c:v>
                </c:pt>
                <c:pt idx="7">
                  <c:v>1697.4146933333334</c:v>
                </c:pt>
                <c:pt idx="8">
                  <c:v>1693.6425066666666</c:v>
                </c:pt>
                <c:pt idx="9">
                  <c:v>1689.87032</c:v>
                </c:pt>
                <c:pt idx="10">
                  <c:v>1686.0981333333332</c:v>
                </c:pt>
                <c:pt idx="11">
                  <c:v>1682.3259466666666</c:v>
                </c:pt>
                <c:pt idx="12">
                  <c:v>1678.55376</c:v>
                </c:pt>
                <c:pt idx="13">
                  <c:v>1674.7815733333332</c:v>
                </c:pt>
                <c:pt idx="14">
                  <c:v>1671.0093866666666</c:v>
                </c:pt>
                <c:pt idx="15">
                  <c:v>1667.2372</c:v>
                </c:pt>
              </c:numCache>
            </c:numRef>
          </c:val>
          <c:extLst>
            <c:ext xmlns:c16="http://schemas.microsoft.com/office/drawing/2014/chart" uri="{C3380CC4-5D6E-409C-BE32-E72D297353CC}">
              <c16:uniqueId val="{00000002-E352-4339-A6E6-1E8657D37E05}"/>
            </c:ext>
          </c:extLst>
        </c:ser>
        <c:ser>
          <c:idx val="4"/>
          <c:order val="4"/>
          <c:tx>
            <c:strRef>
              <c:f>Sheet1!$L$13</c:f>
              <c:strCache>
                <c:ptCount val="1"/>
                <c:pt idx="0">
                  <c:v>Vertical load FR</c:v>
                </c:pt>
              </c:strCache>
            </c:strRef>
          </c:tx>
          <c:spPr>
            <a:solidFill>
              <a:schemeClr val="accent5"/>
            </a:solidFill>
            <a:ln>
              <a:noFill/>
            </a:ln>
            <a:effectLst/>
          </c:spPr>
          <c:invertIfNegative val="0"/>
          <c:cat>
            <c:numRef>
              <c:f>Sheet1!$H$14:$H$29</c:f>
              <c:numCache>
                <c:formatCode>General</c:formatCode>
                <c:ptCount val="16"/>
                <c:pt idx="0">
                  <c:v>0</c:v>
                </c:pt>
                <c:pt idx="1">
                  <c:v>0.1</c:v>
                </c:pt>
                <c:pt idx="2">
                  <c:v>0.2</c:v>
                </c:pt>
                <c:pt idx="3">
                  <c:v>0.30000000000000004</c:v>
                </c:pt>
                <c:pt idx="4">
                  <c:v>0.4</c:v>
                </c:pt>
                <c:pt idx="5">
                  <c:v>0.5</c:v>
                </c:pt>
                <c:pt idx="6">
                  <c:v>0.6</c:v>
                </c:pt>
                <c:pt idx="7">
                  <c:v>0.7</c:v>
                </c:pt>
                <c:pt idx="8">
                  <c:v>0.79999999999999993</c:v>
                </c:pt>
                <c:pt idx="9">
                  <c:v>0.89999999999999991</c:v>
                </c:pt>
                <c:pt idx="10">
                  <c:v>0.99999999999999989</c:v>
                </c:pt>
                <c:pt idx="11">
                  <c:v>1.0999999999999999</c:v>
                </c:pt>
                <c:pt idx="12">
                  <c:v>1.2</c:v>
                </c:pt>
                <c:pt idx="13">
                  <c:v>1.3</c:v>
                </c:pt>
                <c:pt idx="14">
                  <c:v>1.4000000000000001</c:v>
                </c:pt>
                <c:pt idx="15">
                  <c:v>1.5000000000000002</c:v>
                </c:pt>
              </c:numCache>
            </c:numRef>
          </c:cat>
          <c:val>
            <c:numRef>
              <c:f>Sheet1!$L$14:$L$29</c:f>
              <c:numCache>
                <c:formatCode>General</c:formatCode>
                <c:ptCount val="16"/>
                <c:pt idx="0">
                  <c:v>1477.3899999999999</c:v>
                </c:pt>
                <c:pt idx="1">
                  <c:v>1480.6039644444443</c:v>
                </c:pt>
                <c:pt idx="2">
                  <c:v>1483.8179288888887</c:v>
                </c:pt>
                <c:pt idx="3">
                  <c:v>1487.0318933333333</c:v>
                </c:pt>
                <c:pt idx="4">
                  <c:v>1490.2458577777777</c:v>
                </c:pt>
                <c:pt idx="5">
                  <c:v>1493.4598222222221</c:v>
                </c:pt>
                <c:pt idx="6">
                  <c:v>1496.6737866666665</c:v>
                </c:pt>
                <c:pt idx="7">
                  <c:v>1499.8877511111109</c:v>
                </c:pt>
                <c:pt idx="8">
                  <c:v>1503.1017155555555</c:v>
                </c:pt>
                <c:pt idx="9">
                  <c:v>1506.3156799999999</c:v>
                </c:pt>
                <c:pt idx="10">
                  <c:v>1509.5296444444443</c:v>
                </c:pt>
                <c:pt idx="11">
                  <c:v>1512.7436088888887</c:v>
                </c:pt>
                <c:pt idx="12">
                  <c:v>1515.9575733333331</c:v>
                </c:pt>
                <c:pt idx="13">
                  <c:v>1519.1715377777778</c:v>
                </c:pt>
                <c:pt idx="14">
                  <c:v>1522.3855022222222</c:v>
                </c:pt>
                <c:pt idx="15">
                  <c:v>1525.5994666666666</c:v>
                </c:pt>
              </c:numCache>
            </c:numRef>
          </c:val>
          <c:extLst>
            <c:ext xmlns:c16="http://schemas.microsoft.com/office/drawing/2014/chart" uri="{C3380CC4-5D6E-409C-BE32-E72D297353CC}">
              <c16:uniqueId val="{00000003-E352-4339-A6E6-1E8657D37E05}"/>
            </c:ext>
          </c:extLst>
        </c:ser>
        <c:dLbls>
          <c:showLegendKey val="0"/>
          <c:showVal val="0"/>
          <c:showCatName val="0"/>
          <c:showSerName val="0"/>
          <c:showPercent val="0"/>
          <c:showBubbleSize val="0"/>
        </c:dLbls>
        <c:gapWidth val="219"/>
        <c:overlap val="-27"/>
        <c:axId val="451702056"/>
        <c:axId val="451701400"/>
        <c:extLst>
          <c:ext xmlns:c15="http://schemas.microsoft.com/office/drawing/2012/chart" uri="{02D57815-91ED-43cb-92C2-25804820EDAC}">
            <c15:filteredBarSeries>
              <c15:ser>
                <c:idx val="0"/>
                <c:order val="0"/>
                <c:tx>
                  <c:strRef>
                    <c:extLst>
                      <c:ext uri="{02D57815-91ED-43cb-92C2-25804820EDAC}">
                        <c15:formulaRef>
                          <c15:sqref>Sheet1!$H$13</c15:sqref>
                        </c15:formulaRef>
                      </c:ext>
                    </c:extLst>
                    <c:strCache>
                      <c:ptCount val="1"/>
                      <c:pt idx="0">
                        <c:v>G Force</c:v>
                      </c:pt>
                    </c:strCache>
                  </c:strRef>
                </c:tx>
                <c:spPr>
                  <a:solidFill>
                    <a:schemeClr val="accent1"/>
                  </a:solidFill>
                  <a:ln>
                    <a:noFill/>
                  </a:ln>
                  <a:effectLst/>
                </c:spPr>
                <c:invertIfNegative val="0"/>
                <c:cat>
                  <c:numRef>
                    <c:extLst>
                      <c:ext uri="{02D57815-91ED-43cb-92C2-25804820EDAC}">
                        <c15:formulaRef>
                          <c15:sqref>Sheet1!$H$14:$H$29</c15:sqref>
                        </c15:formulaRef>
                      </c:ext>
                    </c:extLst>
                    <c:numCache>
                      <c:formatCode>General</c:formatCode>
                      <c:ptCount val="16"/>
                      <c:pt idx="0">
                        <c:v>0</c:v>
                      </c:pt>
                      <c:pt idx="1">
                        <c:v>0.1</c:v>
                      </c:pt>
                      <c:pt idx="2">
                        <c:v>0.2</c:v>
                      </c:pt>
                      <c:pt idx="3">
                        <c:v>0.30000000000000004</c:v>
                      </c:pt>
                      <c:pt idx="4">
                        <c:v>0.4</c:v>
                      </c:pt>
                      <c:pt idx="5">
                        <c:v>0.5</c:v>
                      </c:pt>
                      <c:pt idx="6">
                        <c:v>0.6</c:v>
                      </c:pt>
                      <c:pt idx="7">
                        <c:v>0.7</c:v>
                      </c:pt>
                      <c:pt idx="8">
                        <c:v>0.79999999999999993</c:v>
                      </c:pt>
                      <c:pt idx="9">
                        <c:v>0.89999999999999991</c:v>
                      </c:pt>
                      <c:pt idx="10">
                        <c:v>0.99999999999999989</c:v>
                      </c:pt>
                      <c:pt idx="11">
                        <c:v>1.0999999999999999</c:v>
                      </c:pt>
                      <c:pt idx="12">
                        <c:v>1.2</c:v>
                      </c:pt>
                      <c:pt idx="13">
                        <c:v>1.3</c:v>
                      </c:pt>
                      <c:pt idx="14">
                        <c:v>1.4000000000000001</c:v>
                      </c:pt>
                      <c:pt idx="15">
                        <c:v>1.5000000000000002</c:v>
                      </c:pt>
                    </c:numCache>
                  </c:numRef>
                </c:cat>
                <c:val>
                  <c:numRef>
                    <c:extLst>
                      <c:ext uri="{02D57815-91ED-43cb-92C2-25804820EDAC}">
                        <c15:formulaRef>
                          <c15:sqref>Sheet1!$H$14:$H$29</c15:sqref>
                        </c15:formulaRef>
                      </c:ext>
                    </c:extLst>
                    <c:numCache>
                      <c:formatCode>General</c:formatCode>
                      <c:ptCount val="16"/>
                      <c:pt idx="0">
                        <c:v>0</c:v>
                      </c:pt>
                      <c:pt idx="1">
                        <c:v>0.1</c:v>
                      </c:pt>
                      <c:pt idx="2">
                        <c:v>0.2</c:v>
                      </c:pt>
                      <c:pt idx="3">
                        <c:v>0.30000000000000004</c:v>
                      </c:pt>
                      <c:pt idx="4">
                        <c:v>0.4</c:v>
                      </c:pt>
                      <c:pt idx="5">
                        <c:v>0.5</c:v>
                      </c:pt>
                      <c:pt idx="6">
                        <c:v>0.6</c:v>
                      </c:pt>
                      <c:pt idx="7">
                        <c:v>0.7</c:v>
                      </c:pt>
                      <c:pt idx="8">
                        <c:v>0.79999999999999993</c:v>
                      </c:pt>
                      <c:pt idx="9">
                        <c:v>0.89999999999999991</c:v>
                      </c:pt>
                      <c:pt idx="10">
                        <c:v>0.99999999999999989</c:v>
                      </c:pt>
                      <c:pt idx="11">
                        <c:v>1.0999999999999999</c:v>
                      </c:pt>
                      <c:pt idx="12">
                        <c:v>1.2</c:v>
                      </c:pt>
                      <c:pt idx="13">
                        <c:v>1.3</c:v>
                      </c:pt>
                      <c:pt idx="14">
                        <c:v>1.4000000000000001</c:v>
                      </c:pt>
                      <c:pt idx="15">
                        <c:v>1.5000000000000002</c:v>
                      </c:pt>
                    </c:numCache>
                  </c:numRef>
                </c:val>
                <c:extLst>
                  <c:ext xmlns:c16="http://schemas.microsoft.com/office/drawing/2014/chart" uri="{C3380CC4-5D6E-409C-BE32-E72D297353CC}">
                    <c16:uniqueId val="{00000004-E352-4339-A6E6-1E8657D37E05}"/>
                  </c:ext>
                </c:extLst>
              </c15:ser>
            </c15:filteredBarSeries>
          </c:ext>
        </c:extLst>
      </c:barChart>
      <c:catAx>
        <c:axId val="4517020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a:t>
                </a:r>
                <a:r>
                  <a:rPr lang="en-GB" baseline="0"/>
                  <a:t> max</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1701400"/>
        <c:crosses val="autoZero"/>
        <c:auto val="1"/>
        <c:lblAlgn val="ctr"/>
        <c:lblOffset val="100"/>
        <c:noMultiLvlLbl val="0"/>
      </c:catAx>
      <c:valAx>
        <c:axId val="4517014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Vertical</a:t>
                </a:r>
                <a:r>
                  <a:rPr lang="en-GB" baseline="0"/>
                  <a:t> Load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17020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Vertical</a:t>
            </a:r>
            <a:r>
              <a:rPr lang="en-GB" baseline="0"/>
              <a:t> load (Longitudinal) Vs G Force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1"/>
          <c:tx>
            <c:strRef>
              <c:f>Sheet1!$O$13</c:f>
              <c:strCache>
                <c:ptCount val="1"/>
                <c:pt idx="0">
                  <c:v>Vertical Load FL</c:v>
                </c:pt>
              </c:strCache>
            </c:strRef>
          </c:tx>
          <c:spPr>
            <a:solidFill>
              <a:schemeClr val="accent2"/>
            </a:solidFill>
            <a:ln>
              <a:noFill/>
            </a:ln>
            <a:effectLst/>
          </c:spPr>
          <c:invertIfNegative val="0"/>
          <c:cat>
            <c:numRef>
              <c:f>Sheet1!$N$14:$N$29</c:f>
              <c:numCache>
                <c:formatCode>General</c:formatCode>
                <c:ptCount val="16"/>
                <c:pt idx="0">
                  <c:v>0</c:v>
                </c:pt>
                <c:pt idx="1">
                  <c:v>0.1</c:v>
                </c:pt>
                <c:pt idx="2">
                  <c:v>0.2</c:v>
                </c:pt>
                <c:pt idx="3">
                  <c:v>0.30000000000000004</c:v>
                </c:pt>
                <c:pt idx="4">
                  <c:v>0.4</c:v>
                </c:pt>
                <c:pt idx="5">
                  <c:v>0.5</c:v>
                </c:pt>
                <c:pt idx="6">
                  <c:v>0.6</c:v>
                </c:pt>
                <c:pt idx="7">
                  <c:v>0.7</c:v>
                </c:pt>
                <c:pt idx="8">
                  <c:v>0.79999999999999993</c:v>
                </c:pt>
                <c:pt idx="9">
                  <c:v>0.89999999999999991</c:v>
                </c:pt>
                <c:pt idx="10">
                  <c:v>0.99999999999999989</c:v>
                </c:pt>
                <c:pt idx="11">
                  <c:v>1.0999999999999999</c:v>
                </c:pt>
                <c:pt idx="12">
                  <c:v>1.2</c:v>
                </c:pt>
                <c:pt idx="13">
                  <c:v>1.3</c:v>
                </c:pt>
                <c:pt idx="14">
                  <c:v>1.4000000000000001</c:v>
                </c:pt>
                <c:pt idx="15">
                  <c:v>1.5000000000000002</c:v>
                </c:pt>
              </c:numCache>
            </c:numRef>
          </c:cat>
          <c:val>
            <c:numRef>
              <c:f>Sheet1!$O$14:$O$29</c:f>
              <c:numCache>
                <c:formatCode>General</c:formatCode>
                <c:ptCount val="16"/>
                <c:pt idx="0">
                  <c:v>1535.3049960000001</c:v>
                </c:pt>
                <c:pt idx="1">
                  <c:v>1537.2404022857143</c:v>
                </c:pt>
                <c:pt idx="2">
                  <c:v>1539.1758085714287</c:v>
                </c:pt>
                <c:pt idx="3">
                  <c:v>1541.1112148571428</c:v>
                </c:pt>
                <c:pt idx="4">
                  <c:v>1543.0466211428572</c:v>
                </c:pt>
                <c:pt idx="5">
                  <c:v>1544.9820274285714</c:v>
                </c:pt>
                <c:pt idx="6">
                  <c:v>1546.9174337142858</c:v>
                </c:pt>
                <c:pt idx="7">
                  <c:v>1548.85284</c:v>
                </c:pt>
                <c:pt idx="8">
                  <c:v>1550.7882462857144</c:v>
                </c:pt>
                <c:pt idx="9">
                  <c:v>1552.7236525714286</c:v>
                </c:pt>
                <c:pt idx="10">
                  <c:v>1554.659058857143</c:v>
                </c:pt>
                <c:pt idx="11">
                  <c:v>1556.5944651428572</c:v>
                </c:pt>
                <c:pt idx="12">
                  <c:v>1558.5298714285716</c:v>
                </c:pt>
                <c:pt idx="13">
                  <c:v>1560.4652777142858</c:v>
                </c:pt>
                <c:pt idx="14">
                  <c:v>1562.4006840000002</c:v>
                </c:pt>
                <c:pt idx="15">
                  <c:v>1564.3360902857144</c:v>
                </c:pt>
              </c:numCache>
            </c:numRef>
          </c:val>
          <c:extLst>
            <c:ext xmlns:c16="http://schemas.microsoft.com/office/drawing/2014/chart" uri="{C3380CC4-5D6E-409C-BE32-E72D297353CC}">
              <c16:uniqueId val="{00000000-820C-4CF1-B62B-98D44EEF8766}"/>
            </c:ext>
          </c:extLst>
        </c:ser>
        <c:ser>
          <c:idx val="2"/>
          <c:order val="2"/>
          <c:tx>
            <c:strRef>
              <c:f>Sheet1!$P$13</c:f>
              <c:strCache>
                <c:ptCount val="1"/>
                <c:pt idx="0">
                  <c:v>Vertical Load RR</c:v>
                </c:pt>
              </c:strCache>
            </c:strRef>
          </c:tx>
          <c:spPr>
            <a:solidFill>
              <a:schemeClr val="accent3"/>
            </a:solidFill>
            <a:ln>
              <a:noFill/>
            </a:ln>
            <a:effectLst/>
          </c:spPr>
          <c:invertIfNegative val="0"/>
          <c:cat>
            <c:numRef>
              <c:f>Sheet1!$N$14:$N$29</c:f>
              <c:numCache>
                <c:formatCode>General</c:formatCode>
                <c:ptCount val="16"/>
                <c:pt idx="0">
                  <c:v>0</c:v>
                </c:pt>
                <c:pt idx="1">
                  <c:v>0.1</c:v>
                </c:pt>
                <c:pt idx="2">
                  <c:v>0.2</c:v>
                </c:pt>
                <c:pt idx="3">
                  <c:v>0.30000000000000004</c:v>
                </c:pt>
                <c:pt idx="4">
                  <c:v>0.4</c:v>
                </c:pt>
                <c:pt idx="5">
                  <c:v>0.5</c:v>
                </c:pt>
                <c:pt idx="6">
                  <c:v>0.6</c:v>
                </c:pt>
                <c:pt idx="7">
                  <c:v>0.7</c:v>
                </c:pt>
                <c:pt idx="8">
                  <c:v>0.79999999999999993</c:v>
                </c:pt>
                <c:pt idx="9">
                  <c:v>0.89999999999999991</c:v>
                </c:pt>
                <c:pt idx="10">
                  <c:v>0.99999999999999989</c:v>
                </c:pt>
                <c:pt idx="11">
                  <c:v>1.0999999999999999</c:v>
                </c:pt>
                <c:pt idx="12">
                  <c:v>1.2</c:v>
                </c:pt>
                <c:pt idx="13">
                  <c:v>1.3</c:v>
                </c:pt>
                <c:pt idx="14">
                  <c:v>1.4000000000000001</c:v>
                </c:pt>
                <c:pt idx="15">
                  <c:v>1.5000000000000002</c:v>
                </c:pt>
              </c:numCache>
            </c:numRef>
          </c:cat>
          <c:val>
            <c:numRef>
              <c:f>Sheet1!$P$14:$P$29</c:f>
              <c:numCache>
                <c:formatCode>General</c:formatCode>
                <c:ptCount val="16"/>
                <c:pt idx="0">
                  <c:v>1658.52</c:v>
                </c:pt>
                <c:pt idx="1">
                  <c:v>1656.423108</c:v>
                </c:pt>
                <c:pt idx="2">
                  <c:v>1654.3262159999999</c:v>
                </c:pt>
                <c:pt idx="3">
                  <c:v>1652.2293239999999</c:v>
                </c:pt>
                <c:pt idx="4">
                  <c:v>1650.1324319999999</c:v>
                </c:pt>
                <c:pt idx="5">
                  <c:v>1648.0355400000001</c:v>
                </c:pt>
                <c:pt idx="6">
                  <c:v>1645.9386480000001</c:v>
                </c:pt>
                <c:pt idx="7">
                  <c:v>1643.841756</c:v>
                </c:pt>
                <c:pt idx="8">
                  <c:v>1641.744864</c:v>
                </c:pt>
                <c:pt idx="9">
                  <c:v>1639.647972</c:v>
                </c:pt>
                <c:pt idx="10">
                  <c:v>1637.55108</c:v>
                </c:pt>
                <c:pt idx="11">
                  <c:v>1635.4541879999999</c:v>
                </c:pt>
                <c:pt idx="12">
                  <c:v>1633.3572959999999</c:v>
                </c:pt>
                <c:pt idx="13">
                  <c:v>1631.2604039999999</c:v>
                </c:pt>
                <c:pt idx="14">
                  <c:v>1629.1635120000001</c:v>
                </c:pt>
                <c:pt idx="15">
                  <c:v>1627.0666200000001</c:v>
                </c:pt>
              </c:numCache>
            </c:numRef>
          </c:val>
          <c:extLst>
            <c:ext xmlns:c16="http://schemas.microsoft.com/office/drawing/2014/chart" uri="{C3380CC4-5D6E-409C-BE32-E72D297353CC}">
              <c16:uniqueId val="{00000001-820C-4CF1-B62B-98D44EEF8766}"/>
            </c:ext>
          </c:extLst>
        </c:ser>
        <c:ser>
          <c:idx val="3"/>
          <c:order val="3"/>
          <c:tx>
            <c:strRef>
              <c:f>Sheet1!$Q$13</c:f>
              <c:strCache>
                <c:ptCount val="1"/>
                <c:pt idx="0">
                  <c:v>Vertical Load RL</c:v>
                </c:pt>
              </c:strCache>
            </c:strRef>
          </c:tx>
          <c:spPr>
            <a:solidFill>
              <a:schemeClr val="accent4"/>
            </a:solidFill>
            <a:ln>
              <a:noFill/>
            </a:ln>
            <a:effectLst/>
          </c:spPr>
          <c:invertIfNegative val="0"/>
          <c:cat>
            <c:numRef>
              <c:f>Sheet1!$N$14:$N$29</c:f>
              <c:numCache>
                <c:formatCode>General</c:formatCode>
                <c:ptCount val="16"/>
                <c:pt idx="0">
                  <c:v>0</c:v>
                </c:pt>
                <c:pt idx="1">
                  <c:v>0.1</c:v>
                </c:pt>
                <c:pt idx="2">
                  <c:v>0.2</c:v>
                </c:pt>
                <c:pt idx="3">
                  <c:v>0.30000000000000004</c:v>
                </c:pt>
                <c:pt idx="4">
                  <c:v>0.4</c:v>
                </c:pt>
                <c:pt idx="5">
                  <c:v>0.5</c:v>
                </c:pt>
                <c:pt idx="6">
                  <c:v>0.6</c:v>
                </c:pt>
                <c:pt idx="7">
                  <c:v>0.7</c:v>
                </c:pt>
                <c:pt idx="8">
                  <c:v>0.79999999999999993</c:v>
                </c:pt>
                <c:pt idx="9">
                  <c:v>0.89999999999999991</c:v>
                </c:pt>
                <c:pt idx="10">
                  <c:v>0.99999999999999989</c:v>
                </c:pt>
                <c:pt idx="11">
                  <c:v>1.0999999999999999</c:v>
                </c:pt>
                <c:pt idx="12">
                  <c:v>1.2</c:v>
                </c:pt>
                <c:pt idx="13">
                  <c:v>1.3</c:v>
                </c:pt>
                <c:pt idx="14">
                  <c:v>1.4000000000000001</c:v>
                </c:pt>
                <c:pt idx="15">
                  <c:v>1.5000000000000002</c:v>
                </c:pt>
              </c:numCache>
            </c:numRef>
          </c:cat>
          <c:val>
            <c:numRef>
              <c:f>Sheet1!$Q$14:$Q$29</c:f>
              <c:numCache>
                <c:formatCode>General</c:formatCode>
                <c:ptCount val="16"/>
                <c:pt idx="0">
                  <c:v>1723.82</c:v>
                </c:pt>
                <c:pt idx="1">
                  <c:v>1721.6375205714285</c:v>
                </c:pt>
                <c:pt idx="2">
                  <c:v>1719.455041142857</c:v>
                </c:pt>
                <c:pt idx="3">
                  <c:v>1717.2725617142858</c:v>
                </c:pt>
                <c:pt idx="4">
                  <c:v>1715.0900822857143</c:v>
                </c:pt>
                <c:pt idx="5">
                  <c:v>1712.9076028571428</c:v>
                </c:pt>
                <c:pt idx="6">
                  <c:v>1710.7251234285714</c:v>
                </c:pt>
                <c:pt idx="7">
                  <c:v>1708.5426439999999</c:v>
                </c:pt>
                <c:pt idx="8">
                  <c:v>1706.3601645714284</c:v>
                </c:pt>
                <c:pt idx="9">
                  <c:v>1704.1776851428572</c:v>
                </c:pt>
                <c:pt idx="10">
                  <c:v>1701.9952057142857</c:v>
                </c:pt>
                <c:pt idx="11">
                  <c:v>1699.8127262857142</c:v>
                </c:pt>
                <c:pt idx="12">
                  <c:v>1697.6302468571428</c:v>
                </c:pt>
                <c:pt idx="13">
                  <c:v>1695.4477674285713</c:v>
                </c:pt>
                <c:pt idx="14">
                  <c:v>1693.2652879999998</c:v>
                </c:pt>
                <c:pt idx="15">
                  <c:v>1691.0828085714286</c:v>
                </c:pt>
              </c:numCache>
            </c:numRef>
          </c:val>
          <c:extLst>
            <c:ext xmlns:c16="http://schemas.microsoft.com/office/drawing/2014/chart" uri="{C3380CC4-5D6E-409C-BE32-E72D297353CC}">
              <c16:uniqueId val="{00000002-820C-4CF1-B62B-98D44EEF8766}"/>
            </c:ext>
          </c:extLst>
        </c:ser>
        <c:ser>
          <c:idx val="4"/>
          <c:order val="4"/>
          <c:tx>
            <c:strRef>
              <c:f>Sheet1!$R$13</c:f>
              <c:strCache>
                <c:ptCount val="1"/>
                <c:pt idx="0">
                  <c:v>Vertical load FR</c:v>
                </c:pt>
              </c:strCache>
            </c:strRef>
          </c:tx>
          <c:spPr>
            <a:solidFill>
              <a:schemeClr val="accent5"/>
            </a:solidFill>
            <a:ln>
              <a:noFill/>
            </a:ln>
            <a:effectLst/>
          </c:spPr>
          <c:invertIfNegative val="0"/>
          <c:cat>
            <c:numRef>
              <c:f>Sheet1!$N$14:$N$29</c:f>
              <c:numCache>
                <c:formatCode>General</c:formatCode>
                <c:ptCount val="16"/>
                <c:pt idx="0">
                  <c:v>0</c:v>
                </c:pt>
                <c:pt idx="1">
                  <c:v>0.1</c:v>
                </c:pt>
                <c:pt idx="2">
                  <c:v>0.2</c:v>
                </c:pt>
                <c:pt idx="3">
                  <c:v>0.30000000000000004</c:v>
                </c:pt>
                <c:pt idx="4">
                  <c:v>0.4</c:v>
                </c:pt>
                <c:pt idx="5">
                  <c:v>0.5</c:v>
                </c:pt>
                <c:pt idx="6">
                  <c:v>0.6</c:v>
                </c:pt>
                <c:pt idx="7">
                  <c:v>0.7</c:v>
                </c:pt>
                <c:pt idx="8">
                  <c:v>0.79999999999999993</c:v>
                </c:pt>
                <c:pt idx="9">
                  <c:v>0.89999999999999991</c:v>
                </c:pt>
                <c:pt idx="10">
                  <c:v>0.99999999999999989</c:v>
                </c:pt>
                <c:pt idx="11">
                  <c:v>1.0999999999999999</c:v>
                </c:pt>
                <c:pt idx="12">
                  <c:v>1.2</c:v>
                </c:pt>
                <c:pt idx="13">
                  <c:v>1.3</c:v>
                </c:pt>
                <c:pt idx="14">
                  <c:v>1.4000000000000001</c:v>
                </c:pt>
                <c:pt idx="15">
                  <c:v>1.5000000000000002</c:v>
                </c:pt>
              </c:numCache>
            </c:numRef>
          </c:cat>
          <c:val>
            <c:numRef>
              <c:f>Sheet1!$R$14:$R$29</c:f>
              <c:numCache>
                <c:formatCode>General</c:formatCode>
                <c:ptCount val="16"/>
                <c:pt idx="0">
                  <c:v>1477.3899999999999</c:v>
                </c:pt>
                <c:pt idx="1">
                  <c:v>1479.2495079999999</c:v>
                </c:pt>
                <c:pt idx="2">
                  <c:v>1481.1090159999999</c:v>
                </c:pt>
                <c:pt idx="3">
                  <c:v>1482.9685239999999</c:v>
                </c:pt>
                <c:pt idx="4">
                  <c:v>1484.8280319999999</c:v>
                </c:pt>
                <c:pt idx="5">
                  <c:v>1486.6875399999999</c:v>
                </c:pt>
                <c:pt idx="6">
                  <c:v>1488.5470479999999</c:v>
                </c:pt>
                <c:pt idx="7">
                  <c:v>1490.4065559999999</c:v>
                </c:pt>
                <c:pt idx="8">
                  <c:v>1492.2660639999999</c:v>
                </c:pt>
                <c:pt idx="9">
                  <c:v>1494.1255719999999</c:v>
                </c:pt>
                <c:pt idx="10">
                  <c:v>1495.9850799999999</c:v>
                </c:pt>
                <c:pt idx="11">
                  <c:v>1497.8445879999999</c:v>
                </c:pt>
                <c:pt idx="12">
                  <c:v>1499.7040959999999</c:v>
                </c:pt>
                <c:pt idx="13">
                  <c:v>1501.5636039999999</c:v>
                </c:pt>
                <c:pt idx="14">
                  <c:v>1503.4231119999999</c:v>
                </c:pt>
                <c:pt idx="15">
                  <c:v>1505.28262</c:v>
                </c:pt>
              </c:numCache>
            </c:numRef>
          </c:val>
          <c:extLst>
            <c:ext xmlns:c16="http://schemas.microsoft.com/office/drawing/2014/chart" uri="{C3380CC4-5D6E-409C-BE32-E72D297353CC}">
              <c16:uniqueId val="{00000003-820C-4CF1-B62B-98D44EEF8766}"/>
            </c:ext>
          </c:extLst>
        </c:ser>
        <c:dLbls>
          <c:showLegendKey val="0"/>
          <c:showVal val="0"/>
          <c:showCatName val="0"/>
          <c:showSerName val="0"/>
          <c:showPercent val="0"/>
          <c:showBubbleSize val="0"/>
        </c:dLbls>
        <c:gapWidth val="219"/>
        <c:overlap val="-27"/>
        <c:axId val="454462272"/>
        <c:axId val="454466208"/>
        <c:extLst>
          <c:ext xmlns:c15="http://schemas.microsoft.com/office/drawing/2012/chart" uri="{02D57815-91ED-43cb-92C2-25804820EDAC}">
            <c15:filteredBarSeries>
              <c15:ser>
                <c:idx val="0"/>
                <c:order val="0"/>
                <c:tx>
                  <c:strRef>
                    <c:extLst>
                      <c:ext uri="{02D57815-91ED-43cb-92C2-25804820EDAC}">
                        <c15:formulaRef>
                          <c15:sqref>Sheet1!$N$13</c15:sqref>
                        </c15:formulaRef>
                      </c:ext>
                    </c:extLst>
                    <c:strCache>
                      <c:ptCount val="1"/>
                      <c:pt idx="0">
                        <c:v>G Force</c:v>
                      </c:pt>
                    </c:strCache>
                  </c:strRef>
                </c:tx>
                <c:spPr>
                  <a:solidFill>
                    <a:schemeClr val="accent1"/>
                  </a:solidFill>
                  <a:ln>
                    <a:noFill/>
                  </a:ln>
                  <a:effectLst/>
                </c:spPr>
                <c:invertIfNegative val="0"/>
                <c:cat>
                  <c:numRef>
                    <c:extLst>
                      <c:ext uri="{02D57815-91ED-43cb-92C2-25804820EDAC}">
                        <c15:formulaRef>
                          <c15:sqref>Sheet1!$N$14:$N$29</c15:sqref>
                        </c15:formulaRef>
                      </c:ext>
                    </c:extLst>
                    <c:numCache>
                      <c:formatCode>General</c:formatCode>
                      <c:ptCount val="16"/>
                      <c:pt idx="0">
                        <c:v>0</c:v>
                      </c:pt>
                      <c:pt idx="1">
                        <c:v>0.1</c:v>
                      </c:pt>
                      <c:pt idx="2">
                        <c:v>0.2</c:v>
                      </c:pt>
                      <c:pt idx="3">
                        <c:v>0.30000000000000004</c:v>
                      </c:pt>
                      <c:pt idx="4">
                        <c:v>0.4</c:v>
                      </c:pt>
                      <c:pt idx="5">
                        <c:v>0.5</c:v>
                      </c:pt>
                      <c:pt idx="6">
                        <c:v>0.6</c:v>
                      </c:pt>
                      <c:pt idx="7">
                        <c:v>0.7</c:v>
                      </c:pt>
                      <c:pt idx="8">
                        <c:v>0.79999999999999993</c:v>
                      </c:pt>
                      <c:pt idx="9">
                        <c:v>0.89999999999999991</c:v>
                      </c:pt>
                      <c:pt idx="10">
                        <c:v>0.99999999999999989</c:v>
                      </c:pt>
                      <c:pt idx="11">
                        <c:v>1.0999999999999999</c:v>
                      </c:pt>
                      <c:pt idx="12">
                        <c:v>1.2</c:v>
                      </c:pt>
                      <c:pt idx="13">
                        <c:v>1.3</c:v>
                      </c:pt>
                      <c:pt idx="14">
                        <c:v>1.4000000000000001</c:v>
                      </c:pt>
                      <c:pt idx="15">
                        <c:v>1.5000000000000002</c:v>
                      </c:pt>
                    </c:numCache>
                  </c:numRef>
                </c:cat>
                <c:val>
                  <c:numRef>
                    <c:extLst>
                      <c:ext uri="{02D57815-91ED-43cb-92C2-25804820EDAC}">
                        <c15:formulaRef>
                          <c15:sqref>Sheet1!$N$14:$N$29</c15:sqref>
                        </c15:formulaRef>
                      </c:ext>
                    </c:extLst>
                    <c:numCache>
                      <c:formatCode>General</c:formatCode>
                      <c:ptCount val="16"/>
                      <c:pt idx="0">
                        <c:v>0</c:v>
                      </c:pt>
                      <c:pt idx="1">
                        <c:v>0.1</c:v>
                      </c:pt>
                      <c:pt idx="2">
                        <c:v>0.2</c:v>
                      </c:pt>
                      <c:pt idx="3">
                        <c:v>0.30000000000000004</c:v>
                      </c:pt>
                      <c:pt idx="4">
                        <c:v>0.4</c:v>
                      </c:pt>
                      <c:pt idx="5">
                        <c:v>0.5</c:v>
                      </c:pt>
                      <c:pt idx="6">
                        <c:v>0.6</c:v>
                      </c:pt>
                      <c:pt idx="7">
                        <c:v>0.7</c:v>
                      </c:pt>
                      <c:pt idx="8">
                        <c:v>0.79999999999999993</c:v>
                      </c:pt>
                      <c:pt idx="9">
                        <c:v>0.89999999999999991</c:v>
                      </c:pt>
                      <c:pt idx="10">
                        <c:v>0.99999999999999989</c:v>
                      </c:pt>
                      <c:pt idx="11">
                        <c:v>1.0999999999999999</c:v>
                      </c:pt>
                      <c:pt idx="12">
                        <c:v>1.2</c:v>
                      </c:pt>
                      <c:pt idx="13">
                        <c:v>1.3</c:v>
                      </c:pt>
                      <c:pt idx="14">
                        <c:v>1.4000000000000001</c:v>
                      </c:pt>
                      <c:pt idx="15">
                        <c:v>1.5000000000000002</c:v>
                      </c:pt>
                    </c:numCache>
                  </c:numRef>
                </c:val>
                <c:extLst>
                  <c:ext xmlns:c16="http://schemas.microsoft.com/office/drawing/2014/chart" uri="{C3380CC4-5D6E-409C-BE32-E72D297353CC}">
                    <c16:uniqueId val="{00000004-820C-4CF1-B62B-98D44EEF8766}"/>
                  </c:ext>
                </c:extLst>
              </c15:ser>
            </c15:filteredBarSeries>
          </c:ext>
        </c:extLst>
      </c:barChart>
      <c:catAx>
        <c:axId val="4544622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a:t>
                </a:r>
                <a:r>
                  <a:rPr lang="en-GB" baseline="0"/>
                  <a:t> max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4466208"/>
        <c:crosses val="autoZero"/>
        <c:auto val="1"/>
        <c:lblAlgn val="ctr"/>
        <c:lblOffset val="100"/>
        <c:noMultiLvlLbl val="0"/>
      </c:catAx>
      <c:valAx>
        <c:axId val="4544662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Vertical</a:t>
                </a:r>
                <a:r>
                  <a:rPr lang="en-GB" baseline="0"/>
                  <a:t> Load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44622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Vertical load (Lateral) Vs Velocity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1"/>
          <c:tx>
            <c:strRef>
              <c:f>Sheet1!$V$13</c:f>
              <c:strCache>
                <c:ptCount val="1"/>
                <c:pt idx="0">
                  <c:v>Vertical Load FL</c:v>
                </c:pt>
              </c:strCache>
            </c:strRef>
          </c:tx>
          <c:spPr>
            <a:solidFill>
              <a:schemeClr val="accent2"/>
            </a:solidFill>
            <a:ln>
              <a:noFill/>
            </a:ln>
            <a:effectLst/>
          </c:spPr>
          <c:invertIfNegative val="0"/>
          <c:cat>
            <c:numRef>
              <c:f>Sheet1!$U$14:$U$44</c:f>
              <c:numCache>
                <c:formatCode>General</c:formatCode>
                <c:ptCount val="3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numCache>
            </c:numRef>
          </c:cat>
          <c:val>
            <c:numRef>
              <c:f>Sheet1!$V$14:$V$44</c:f>
              <c:numCache>
                <c:formatCode>General</c:formatCode>
                <c:ptCount val="31"/>
                <c:pt idx="0">
                  <c:v>1535.3049960000001</c:v>
                </c:pt>
                <c:pt idx="1">
                  <c:v>1568.7564626666667</c:v>
                </c:pt>
                <c:pt idx="2">
                  <c:v>1602.2079293333334</c:v>
                </c:pt>
                <c:pt idx="3">
                  <c:v>1635.659396</c:v>
                </c:pt>
                <c:pt idx="4">
                  <c:v>1669.1108626666667</c:v>
                </c:pt>
                <c:pt idx="5">
                  <c:v>1702.5623293333333</c:v>
                </c:pt>
                <c:pt idx="6">
                  <c:v>1736.013796</c:v>
                </c:pt>
                <c:pt idx="7">
                  <c:v>1769.4652626666668</c:v>
                </c:pt>
                <c:pt idx="8">
                  <c:v>1802.9167293333333</c:v>
                </c:pt>
                <c:pt idx="9">
                  <c:v>1836.3681960000001</c:v>
                </c:pt>
                <c:pt idx="10">
                  <c:v>1869.8196626666665</c:v>
                </c:pt>
                <c:pt idx="11">
                  <c:v>1903.2711293333334</c:v>
                </c:pt>
                <c:pt idx="12">
                  <c:v>1936.7225960000001</c:v>
                </c:pt>
                <c:pt idx="13">
                  <c:v>1970.1740626666667</c:v>
                </c:pt>
                <c:pt idx="14">
                  <c:v>2003.6255293333334</c:v>
                </c:pt>
                <c:pt idx="15">
                  <c:v>2037.076996</c:v>
                </c:pt>
                <c:pt idx="16">
                  <c:v>2070.5284626666667</c:v>
                </c:pt>
                <c:pt idx="17">
                  <c:v>2103.9799293333335</c:v>
                </c:pt>
                <c:pt idx="18">
                  <c:v>2137.4313960000004</c:v>
                </c:pt>
                <c:pt idx="19">
                  <c:v>2170.8828626666668</c:v>
                </c:pt>
                <c:pt idx="20">
                  <c:v>2204.3343293333337</c:v>
                </c:pt>
                <c:pt idx="21">
                  <c:v>2237.7857960000001</c:v>
                </c:pt>
                <c:pt idx="22">
                  <c:v>2271.237262666667</c:v>
                </c:pt>
                <c:pt idx="23">
                  <c:v>2304.6887293333334</c:v>
                </c:pt>
                <c:pt idx="24">
                  <c:v>2338.1401960000003</c:v>
                </c:pt>
                <c:pt idx="25">
                  <c:v>2371.5916626666667</c:v>
                </c:pt>
                <c:pt idx="26">
                  <c:v>2405.0431293333336</c:v>
                </c:pt>
                <c:pt idx="27">
                  <c:v>2438.494596</c:v>
                </c:pt>
                <c:pt idx="28">
                  <c:v>2471.9460626666669</c:v>
                </c:pt>
                <c:pt idx="29">
                  <c:v>2505.3975293333333</c:v>
                </c:pt>
                <c:pt idx="30">
                  <c:v>2538.8489960000002</c:v>
                </c:pt>
              </c:numCache>
            </c:numRef>
          </c:val>
          <c:extLst>
            <c:ext xmlns:c16="http://schemas.microsoft.com/office/drawing/2014/chart" uri="{C3380CC4-5D6E-409C-BE32-E72D297353CC}">
              <c16:uniqueId val="{00000000-069A-4DBB-9245-6C6FFDD50EDB}"/>
            </c:ext>
          </c:extLst>
        </c:ser>
        <c:ser>
          <c:idx val="2"/>
          <c:order val="2"/>
          <c:tx>
            <c:strRef>
              <c:f>Sheet1!$W$13</c:f>
              <c:strCache>
                <c:ptCount val="1"/>
                <c:pt idx="0">
                  <c:v>Vertical Load RR</c:v>
                </c:pt>
              </c:strCache>
            </c:strRef>
          </c:tx>
          <c:spPr>
            <a:solidFill>
              <a:schemeClr val="accent3"/>
            </a:solidFill>
            <a:ln>
              <a:noFill/>
            </a:ln>
            <a:effectLst/>
          </c:spPr>
          <c:invertIfNegative val="0"/>
          <c:cat>
            <c:numRef>
              <c:f>Sheet1!$U$14:$U$44</c:f>
              <c:numCache>
                <c:formatCode>General</c:formatCode>
                <c:ptCount val="3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numCache>
            </c:numRef>
          </c:cat>
          <c:val>
            <c:numRef>
              <c:f>Sheet1!$W$14:$W$44</c:f>
              <c:numCache>
                <c:formatCode>General</c:formatCode>
                <c:ptCount val="31"/>
                <c:pt idx="0">
                  <c:v>1658.52</c:v>
                </c:pt>
                <c:pt idx="1">
                  <c:v>1622.2774222222222</c:v>
                </c:pt>
                <c:pt idx="2">
                  <c:v>1586.0348444444444</c:v>
                </c:pt>
                <c:pt idx="3">
                  <c:v>1549.7922666666666</c:v>
                </c:pt>
                <c:pt idx="4">
                  <c:v>1513.5496888888888</c:v>
                </c:pt>
                <c:pt idx="5">
                  <c:v>1477.3071111111112</c:v>
                </c:pt>
                <c:pt idx="6">
                  <c:v>1441.0645333333334</c:v>
                </c:pt>
                <c:pt idx="7">
                  <c:v>1404.8219555555556</c:v>
                </c:pt>
                <c:pt idx="8">
                  <c:v>1368.5793777777778</c:v>
                </c:pt>
                <c:pt idx="9">
                  <c:v>1332.3368</c:v>
                </c:pt>
                <c:pt idx="10">
                  <c:v>1296.0942222222222</c:v>
                </c:pt>
                <c:pt idx="11">
                  <c:v>1259.8516444444444</c:v>
                </c:pt>
                <c:pt idx="12">
                  <c:v>1223.6090666666666</c:v>
                </c:pt>
                <c:pt idx="13">
                  <c:v>1187.3664888888889</c:v>
                </c:pt>
                <c:pt idx="14">
                  <c:v>1151.1239111111111</c:v>
                </c:pt>
                <c:pt idx="15">
                  <c:v>1114.8813333333335</c:v>
                </c:pt>
                <c:pt idx="16">
                  <c:v>1078.6387555555557</c:v>
                </c:pt>
                <c:pt idx="17">
                  <c:v>1042.3961777777779</c:v>
                </c:pt>
                <c:pt idx="18">
                  <c:v>1006.1536000000001</c:v>
                </c:pt>
                <c:pt idx="19">
                  <c:v>969.91102222222241</c:v>
                </c:pt>
                <c:pt idx="20">
                  <c:v>933.66844444444473</c:v>
                </c:pt>
                <c:pt idx="21">
                  <c:v>897.42586666666693</c:v>
                </c:pt>
                <c:pt idx="22">
                  <c:v>861.18328888888891</c:v>
                </c:pt>
                <c:pt idx="23">
                  <c:v>824.94071111111111</c:v>
                </c:pt>
                <c:pt idx="24">
                  <c:v>788.69813333333354</c:v>
                </c:pt>
                <c:pt idx="25">
                  <c:v>752.45555555555563</c:v>
                </c:pt>
                <c:pt idx="26">
                  <c:v>716.21297777777784</c:v>
                </c:pt>
                <c:pt idx="27">
                  <c:v>679.97040000000015</c:v>
                </c:pt>
                <c:pt idx="28">
                  <c:v>643.72782222222236</c:v>
                </c:pt>
                <c:pt idx="29">
                  <c:v>607.48524444444445</c:v>
                </c:pt>
                <c:pt idx="30">
                  <c:v>571.24266666666688</c:v>
                </c:pt>
              </c:numCache>
            </c:numRef>
          </c:val>
          <c:extLst>
            <c:ext xmlns:c16="http://schemas.microsoft.com/office/drawing/2014/chart" uri="{C3380CC4-5D6E-409C-BE32-E72D297353CC}">
              <c16:uniqueId val="{00000001-069A-4DBB-9245-6C6FFDD50EDB}"/>
            </c:ext>
          </c:extLst>
        </c:ser>
        <c:ser>
          <c:idx val="3"/>
          <c:order val="3"/>
          <c:tx>
            <c:strRef>
              <c:f>Sheet1!$X$13</c:f>
              <c:strCache>
                <c:ptCount val="1"/>
                <c:pt idx="0">
                  <c:v>Vertical Load RL</c:v>
                </c:pt>
              </c:strCache>
            </c:strRef>
          </c:tx>
          <c:spPr>
            <a:solidFill>
              <a:schemeClr val="accent4"/>
            </a:solidFill>
            <a:ln>
              <a:noFill/>
            </a:ln>
            <a:effectLst/>
          </c:spPr>
          <c:invertIfNegative val="0"/>
          <c:cat>
            <c:numRef>
              <c:f>Sheet1!$U$14:$U$44</c:f>
              <c:numCache>
                <c:formatCode>General</c:formatCode>
                <c:ptCount val="3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numCache>
            </c:numRef>
          </c:cat>
          <c:val>
            <c:numRef>
              <c:f>Sheet1!$X$14:$X$44</c:f>
              <c:numCache>
                <c:formatCode>General</c:formatCode>
                <c:ptCount val="31"/>
                <c:pt idx="0">
                  <c:v>1723.82</c:v>
                </c:pt>
                <c:pt idx="1">
                  <c:v>1686.0981333333332</c:v>
                </c:pt>
                <c:pt idx="2">
                  <c:v>1648.3762666666667</c:v>
                </c:pt>
                <c:pt idx="3">
                  <c:v>1610.6543999999999</c:v>
                </c:pt>
                <c:pt idx="4">
                  <c:v>1572.9325333333334</c:v>
                </c:pt>
                <c:pt idx="5">
                  <c:v>1535.2106666666666</c:v>
                </c:pt>
                <c:pt idx="6">
                  <c:v>1497.4887999999999</c:v>
                </c:pt>
                <c:pt idx="7">
                  <c:v>1459.7669333333333</c:v>
                </c:pt>
                <c:pt idx="8">
                  <c:v>1422.0450666666666</c:v>
                </c:pt>
                <c:pt idx="9">
                  <c:v>1384.3231999999998</c:v>
                </c:pt>
                <c:pt idx="10">
                  <c:v>1346.6013333333333</c:v>
                </c:pt>
                <c:pt idx="11">
                  <c:v>1308.8794666666665</c:v>
                </c:pt>
                <c:pt idx="12">
                  <c:v>1271.1576</c:v>
                </c:pt>
                <c:pt idx="13">
                  <c:v>1233.4357333333332</c:v>
                </c:pt>
                <c:pt idx="14">
                  <c:v>1195.7138666666667</c:v>
                </c:pt>
                <c:pt idx="15">
                  <c:v>1157.992</c:v>
                </c:pt>
                <c:pt idx="16">
                  <c:v>1120.2701333333332</c:v>
                </c:pt>
                <c:pt idx="17">
                  <c:v>1082.5482666666667</c:v>
                </c:pt>
                <c:pt idx="18">
                  <c:v>1044.8263999999999</c:v>
                </c:pt>
                <c:pt idx="19">
                  <c:v>1007.1045333333335</c:v>
                </c:pt>
                <c:pt idx="20">
                  <c:v>969.38266666666686</c:v>
                </c:pt>
                <c:pt idx="21">
                  <c:v>931.66080000000011</c:v>
                </c:pt>
                <c:pt idx="22">
                  <c:v>893.93893333333335</c:v>
                </c:pt>
                <c:pt idx="23">
                  <c:v>856.2170666666666</c:v>
                </c:pt>
                <c:pt idx="24">
                  <c:v>818.49520000000007</c:v>
                </c:pt>
                <c:pt idx="25">
                  <c:v>780.77333333333343</c:v>
                </c:pt>
                <c:pt idx="26">
                  <c:v>743.05146666666667</c:v>
                </c:pt>
                <c:pt idx="27">
                  <c:v>705.32960000000003</c:v>
                </c:pt>
                <c:pt idx="28">
                  <c:v>667.60773333333339</c:v>
                </c:pt>
                <c:pt idx="29">
                  <c:v>629.88586666666663</c:v>
                </c:pt>
                <c:pt idx="30">
                  <c:v>592.16400000000033</c:v>
                </c:pt>
              </c:numCache>
            </c:numRef>
          </c:val>
          <c:extLst>
            <c:ext xmlns:c16="http://schemas.microsoft.com/office/drawing/2014/chart" uri="{C3380CC4-5D6E-409C-BE32-E72D297353CC}">
              <c16:uniqueId val="{00000002-069A-4DBB-9245-6C6FFDD50EDB}"/>
            </c:ext>
          </c:extLst>
        </c:ser>
        <c:ser>
          <c:idx val="4"/>
          <c:order val="4"/>
          <c:tx>
            <c:strRef>
              <c:f>Sheet1!$Y$13</c:f>
              <c:strCache>
                <c:ptCount val="1"/>
                <c:pt idx="0">
                  <c:v>Vertical load FR</c:v>
                </c:pt>
              </c:strCache>
            </c:strRef>
          </c:tx>
          <c:spPr>
            <a:solidFill>
              <a:schemeClr val="accent5"/>
            </a:solidFill>
            <a:ln>
              <a:noFill/>
            </a:ln>
            <a:effectLst/>
          </c:spPr>
          <c:invertIfNegative val="0"/>
          <c:cat>
            <c:numRef>
              <c:f>Sheet1!$U$14:$U$44</c:f>
              <c:numCache>
                <c:formatCode>General</c:formatCode>
                <c:ptCount val="3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numCache>
            </c:numRef>
          </c:cat>
          <c:val>
            <c:numRef>
              <c:f>Sheet1!$Y$14:$Y$44</c:f>
              <c:numCache>
                <c:formatCode>General</c:formatCode>
                <c:ptCount val="31"/>
                <c:pt idx="0">
                  <c:v>1477.3899999999999</c:v>
                </c:pt>
                <c:pt idx="1">
                  <c:v>1509.5296444444443</c:v>
                </c:pt>
                <c:pt idx="2">
                  <c:v>1541.6692888888888</c:v>
                </c:pt>
                <c:pt idx="3">
                  <c:v>1573.8089333333332</c:v>
                </c:pt>
                <c:pt idx="4">
                  <c:v>1605.9485777777777</c:v>
                </c:pt>
                <c:pt idx="5">
                  <c:v>1638.0882222222219</c:v>
                </c:pt>
                <c:pt idx="6">
                  <c:v>1670.2278666666666</c:v>
                </c:pt>
                <c:pt idx="7">
                  <c:v>1702.3675111111108</c:v>
                </c:pt>
                <c:pt idx="8">
                  <c:v>1734.5071555555553</c:v>
                </c:pt>
                <c:pt idx="9">
                  <c:v>1766.6467999999998</c:v>
                </c:pt>
                <c:pt idx="10">
                  <c:v>1798.7864444444442</c:v>
                </c:pt>
                <c:pt idx="11">
                  <c:v>1830.9260888888887</c:v>
                </c:pt>
                <c:pt idx="12">
                  <c:v>1863.0657333333331</c:v>
                </c:pt>
                <c:pt idx="13">
                  <c:v>1895.2053777777776</c:v>
                </c:pt>
                <c:pt idx="14">
                  <c:v>1927.345022222222</c:v>
                </c:pt>
                <c:pt idx="15">
                  <c:v>1959.4846666666665</c:v>
                </c:pt>
                <c:pt idx="16">
                  <c:v>1991.624311111111</c:v>
                </c:pt>
                <c:pt idx="17">
                  <c:v>2023.7639555555554</c:v>
                </c:pt>
                <c:pt idx="18">
                  <c:v>2055.9036000000001</c:v>
                </c:pt>
                <c:pt idx="19">
                  <c:v>2088.0432444444446</c:v>
                </c:pt>
                <c:pt idx="20">
                  <c:v>2120.1828888888886</c:v>
                </c:pt>
                <c:pt idx="21">
                  <c:v>2152.322533333333</c:v>
                </c:pt>
                <c:pt idx="22">
                  <c:v>2184.4621777777779</c:v>
                </c:pt>
                <c:pt idx="23">
                  <c:v>2216.6018222222224</c:v>
                </c:pt>
                <c:pt idx="24">
                  <c:v>2248.7414666666668</c:v>
                </c:pt>
                <c:pt idx="25">
                  <c:v>2280.8811111111108</c:v>
                </c:pt>
                <c:pt idx="26">
                  <c:v>2313.0207555555553</c:v>
                </c:pt>
                <c:pt idx="27">
                  <c:v>2345.1603999999998</c:v>
                </c:pt>
                <c:pt idx="28">
                  <c:v>2377.3000444444442</c:v>
                </c:pt>
                <c:pt idx="29">
                  <c:v>2409.4396888888887</c:v>
                </c:pt>
                <c:pt idx="30">
                  <c:v>2441.5793333333331</c:v>
                </c:pt>
              </c:numCache>
            </c:numRef>
          </c:val>
          <c:extLst>
            <c:ext xmlns:c16="http://schemas.microsoft.com/office/drawing/2014/chart" uri="{C3380CC4-5D6E-409C-BE32-E72D297353CC}">
              <c16:uniqueId val="{00000003-069A-4DBB-9245-6C6FFDD50EDB}"/>
            </c:ext>
          </c:extLst>
        </c:ser>
        <c:dLbls>
          <c:showLegendKey val="0"/>
          <c:showVal val="0"/>
          <c:showCatName val="0"/>
          <c:showSerName val="0"/>
          <c:showPercent val="0"/>
          <c:showBubbleSize val="0"/>
        </c:dLbls>
        <c:gapWidth val="219"/>
        <c:overlap val="-27"/>
        <c:axId val="481217232"/>
        <c:axId val="481217560"/>
        <c:extLst>
          <c:ext xmlns:c15="http://schemas.microsoft.com/office/drawing/2012/chart" uri="{02D57815-91ED-43cb-92C2-25804820EDAC}">
            <c15:filteredBarSeries>
              <c15:ser>
                <c:idx val="0"/>
                <c:order val="0"/>
                <c:tx>
                  <c:strRef>
                    <c:extLst>
                      <c:ext uri="{02D57815-91ED-43cb-92C2-25804820EDAC}">
                        <c15:formulaRef>
                          <c15:sqref>Sheet1!$U$13</c15:sqref>
                        </c15:formulaRef>
                      </c:ext>
                    </c:extLst>
                    <c:strCache>
                      <c:ptCount val="1"/>
                      <c:pt idx="0">
                        <c:v>Velocity </c:v>
                      </c:pt>
                    </c:strCache>
                  </c:strRef>
                </c:tx>
                <c:spPr>
                  <a:solidFill>
                    <a:schemeClr val="accent1"/>
                  </a:solidFill>
                  <a:ln>
                    <a:noFill/>
                  </a:ln>
                  <a:effectLst/>
                </c:spPr>
                <c:invertIfNegative val="0"/>
                <c:cat>
                  <c:numRef>
                    <c:extLst>
                      <c:ext uri="{02D57815-91ED-43cb-92C2-25804820EDAC}">
                        <c15:formulaRef>
                          <c15:sqref>Sheet1!$U$14:$U$44</c15:sqref>
                        </c15:formulaRef>
                      </c:ext>
                    </c:extLst>
                    <c:numCache>
                      <c:formatCode>General</c:formatCode>
                      <c:ptCount val="3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numCache>
                  </c:numRef>
                </c:cat>
                <c:val>
                  <c:numRef>
                    <c:extLst>
                      <c:ext uri="{02D57815-91ED-43cb-92C2-25804820EDAC}">
                        <c15:formulaRef>
                          <c15:sqref>Sheet1!$U$14:$U$44</c15:sqref>
                        </c15:formulaRef>
                      </c:ext>
                    </c:extLst>
                    <c:numCache>
                      <c:formatCode>General</c:formatCode>
                      <c:ptCount val="3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numCache>
                  </c:numRef>
                </c:val>
                <c:extLst>
                  <c:ext xmlns:c16="http://schemas.microsoft.com/office/drawing/2014/chart" uri="{C3380CC4-5D6E-409C-BE32-E72D297353CC}">
                    <c16:uniqueId val="{00000004-069A-4DBB-9245-6C6FFDD50EDB}"/>
                  </c:ext>
                </c:extLst>
              </c15:ser>
            </c15:filteredBarSeries>
          </c:ext>
        </c:extLst>
      </c:barChart>
      <c:catAx>
        <c:axId val="4812172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 m/s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1217560"/>
        <c:crosses val="autoZero"/>
        <c:auto val="1"/>
        <c:lblAlgn val="ctr"/>
        <c:lblOffset val="100"/>
        <c:noMultiLvlLbl val="0"/>
      </c:catAx>
      <c:valAx>
        <c:axId val="4812175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Vertical</a:t>
                </a:r>
                <a:r>
                  <a:rPr lang="en-GB" baseline="0"/>
                  <a:t> Load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12172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Vertical load (Longitudinal) Vs Velocity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1"/>
          <c:tx>
            <c:strRef>
              <c:f>Sheet1!$AC$13</c:f>
              <c:strCache>
                <c:ptCount val="1"/>
                <c:pt idx="0">
                  <c:v>Vertical Load FL</c:v>
                </c:pt>
              </c:strCache>
            </c:strRef>
          </c:tx>
          <c:spPr>
            <a:solidFill>
              <a:schemeClr val="accent2"/>
            </a:solidFill>
            <a:ln>
              <a:noFill/>
            </a:ln>
            <a:effectLst/>
          </c:spPr>
          <c:invertIfNegative val="0"/>
          <c:cat>
            <c:numRef>
              <c:f>Sheet1!$AB$14:$AB$44</c:f>
              <c:numCache>
                <c:formatCode>General</c:formatCode>
                <c:ptCount val="3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numCache>
            </c:numRef>
          </c:cat>
          <c:val>
            <c:numRef>
              <c:f>Sheet1!$AC$14:$AC$44</c:f>
              <c:numCache>
                <c:formatCode>General</c:formatCode>
                <c:ptCount val="31"/>
                <c:pt idx="0">
                  <c:v>1535.3049960000001</c:v>
                </c:pt>
                <c:pt idx="1">
                  <c:v>1554.659058857143</c:v>
                </c:pt>
                <c:pt idx="2">
                  <c:v>1574.0131217142857</c:v>
                </c:pt>
                <c:pt idx="3">
                  <c:v>1593.3671845714287</c:v>
                </c:pt>
                <c:pt idx="4">
                  <c:v>1612.7212474285716</c:v>
                </c:pt>
                <c:pt idx="5">
                  <c:v>1632.0753102857143</c:v>
                </c:pt>
                <c:pt idx="6">
                  <c:v>1651.4293731428572</c:v>
                </c:pt>
                <c:pt idx="7">
                  <c:v>1670.7834360000002</c:v>
                </c:pt>
                <c:pt idx="8">
                  <c:v>1690.1374988571429</c:v>
                </c:pt>
                <c:pt idx="9">
                  <c:v>1709.4915617142858</c:v>
                </c:pt>
                <c:pt idx="10">
                  <c:v>1728.8456245714285</c:v>
                </c:pt>
                <c:pt idx="11">
                  <c:v>1748.1996874285715</c:v>
                </c:pt>
                <c:pt idx="12">
                  <c:v>1767.5537502857144</c:v>
                </c:pt>
                <c:pt idx="13">
                  <c:v>1786.9078131428571</c:v>
                </c:pt>
                <c:pt idx="14">
                  <c:v>1806.261876</c:v>
                </c:pt>
                <c:pt idx="15">
                  <c:v>1825.615938857143</c:v>
                </c:pt>
                <c:pt idx="16">
                  <c:v>1844.9700017142859</c:v>
                </c:pt>
                <c:pt idx="17">
                  <c:v>1864.3240645714286</c:v>
                </c:pt>
                <c:pt idx="18">
                  <c:v>1883.6781274285715</c:v>
                </c:pt>
                <c:pt idx="19">
                  <c:v>1903.0321902857143</c:v>
                </c:pt>
                <c:pt idx="20">
                  <c:v>1922.3862531428572</c:v>
                </c:pt>
                <c:pt idx="21">
                  <c:v>1941.7403160000001</c:v>
                </c:pt>
                <c:pt idx="22">
                  <c:v>1961.0943788571428</c:v>
                </c:pt>
                <c:pt idx="23">
                  <c:v>1980.4484417142858</c:v>
                </c:pt>
                <c:pt idx="24">
                  <c:v>1999.8025045714287</c:v>
                </c:pt>
                <c:pt idx="25">
                  <c:v>2019.1565674285714</c:v>
                </c:pt>
                <c:pt idx="26">
                  <c:v>2038.5106302857143</c:v>
                </c:pt>
                <c:pt idx="27">
                  <c:v>2057.8646931428575</c:v>
                </c:pt>
                <c:pt idx="28">
                  <c:v>2077.2187560000002</c:v>
                </c:pt>
                <c:pt idx="29">
                  <c:v>2096.5728188571429</c:v>
                </c:pt>
                <c:pt idx="30">
                  <c:v>2115.9268817142861</c:v>
                </c:pt>
              </c:numCache>
            </c:numRef>
          </c:val>
          <c:extLst>
            <c:ext xmlns:c16="http://schemas.microsoft.com/office/drawing/2014/chart" uri="{C3380CC4-5D6E-409C-BE32-E72D297353CC}">
              <c16:uniqueId val="{00000000-0815-41B7-881F-F4C9619AF0E9}"/>
            </c:ext>
          </c:extLst>
        </c:ser>
        <c:ser>
          <c:idx val="2"/>
          <c:order val="2"/>
          <c:tx>
            <c:strRef>
              <c:f>Sheet1!$AD$13</c:f>
              <c:strCache>
                <c:ptCount val="1"/>
                <c:pt idx="0">
                  <c:v>Vertical Load RR</c:v>
                </c:pt>
              </c:strCache>
            </c:strRef>
          </c:tx>
          <c:spPr>
            <a:solidFill>
              <a:schemeClr val="accent3"/>
            </a:solidFill>
            <a:ln>
              <a:noFill/>
            </a:ln>
            <a:effectLst/>
          </c:spPr>
          <c:invertIfNegative val="0"/>
          <c:cat>
            <c:numRef>
              <c:f>Sheet1!$AB$14:$AB$44</c:f>
              <c:numCache>
                <c:formatCode>General</c:formatCode>
                <c:ptCount val="3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numCache>
            </c:numRef>
          </c:cat>
          <c:val>
            <c:numRef>
              <c:f>Sheet1!$AD$14:$AD$44</c:f>
              <c:numCache>
                <c:formatCode>General</c:formatCode>
                <c:ptCount val="31"/>
                <c:pt idx="0">
                  <c:v>1658.52</c:v>
                </c:pt>
                <c:pt idx="1">
                  <c:v>1637.55108</c:v>
                </c:pt>
                <c:pt idx="2">
                  <c:v>1616.5821599999999</c:v>
                </c:pt>
                <c:pt idx="3">
                  <c:v>1595.6132399999999</c:v>
                </c:pt>
                <c:pt idx="4">
                  <c:v>1574.6443199999999</c:v>
                </c:pt>
                <c:pt idx="5">
                  <c:v>1553.6754000000001</c:v>
                </c:pt>
                <c:pt idx="6">
                  <c:v>1532.7064800000001</c:v>
                </c:pt>
                <c:pt idx="7">
                  <c:v>1511.73756</c:v>
                </c:pt>
                <c:pt idx="8">
                  <c:v>1490.76864</c:v>
                </c:pt>
                <c:pt idx="9">
                  <c:v>1469.79972</c:v>
                </c:pt>
                <c:pt idx="10">
                  <c:v>1448.8308</c:v>
                </c:pt>
                <c:pt idx="11">
                  <c:v>1427.8618799999999</c:v>
                </c:pt>
                <c:pt idx="12">
                  <c:v>1406.8929599999999</c:v>
                </c:pt>
                <c:pt idx="13">
                  <c:v>1385.9240400000001</c:v>
                </c:pt>
                <c:pt idx="14">
                  <c:v>1364.9551199999999</c:v>
                </c:pt>
                <c:pt idx="15">
                  <c:v>1343.9862000000001</c:v>
                </c:pt>
                <c:pt idx="16">
                  <c:v>1323.01728</c:v>
                </c:pt>
                <c:pt idx="17">
                  <c:v>1302.04836</c:v>
                </c:pt>
                <c:pt idx="18">
                  <c:v>1281.07944</c:v>
                </c:pt>
                <c:pt idx="19">
                  <c:v>1260.11052</c:v>
                </c:pt>
                <c:pt idx="20">
                  <c:v>1239.1416000000002</c:v>
                </c:pt>
                <c:pt idx="21">
                  <c:v>1218.1726799999999</c:v>
                </c:pt>
                <c:pt idx="22">
                  <c:v>1197.2037599999999</c:v>
                </c:pt>
                <c:pt idx="23">
                  <c:v>1176.2348399999998</c:v>
                </c:pt>
                <c:pt idx="24">
                  <c:v>1155.2659199999998</c:v>
                </c:pt>
                <c:pt idx="25">
                  <c:v>1134.297</c:v>
                </c:pt>
                <c:pt idx="26">
                  <c:v>1113.32808</c:v>
                </c:pt>
                <c:pt idx="27">
                  <c:v>1092.3591599999997</c:v>
                </c:pt>
                <c:pt idx="28">
                  <c:v>1071.3902399999999</c:v>
                </c:pt>
                <c:pt idx="29">
                  <c:v>1050.4213200000002</c:v>
                </c:pt>
                <c:pt idx="30">
                  <c:v>1029.4523999999999</c:v>
                </c:pt>
              </c:numCache>
            </c:numRef>
          </c:val>
          <c:extLst>
            <c:ext xmlns:c16="http://schemas.microsoft.com/office/drawing/2014/chart" uri="{C3380CC4-5D6E-409C-BE32-E72D297353CC}">
              <c16:uniqueId val="{00000001-0815-41B7-881F-F4C9619AF0E9}"/>
            </c:ext>
          </c:extLst>
        </c:ser>
        <c:ser>
          <c:idx val="3"/>
          <c:order val="3"/>
          <c:tx>
            <c:strRef>
              <c:f>Sheet1!$AE$13</c:f>
              <c:strCache>
                <c:ptCount val="1"/>
                <c:pt idx="0">
                  <c:v>Vertical Load RL</c:v>
                </c:pt>
              </c:strCache>
            </c:strRef>
          </c:tx>
          <c:spPr>
            <a:solidFill>
              <a:schemeClr val="accent4"/>
            </a:solidFill>
            <a:ln>
              <a:noFill/>
            </a:ln>
            <a:effectLst/>
          </c:spPr>
          <c:invertIfNegative val="0"/>
          <c:cat>
            <c:numRef>
              <c:f>Sheet1!$AB$14:$AB$44</c:f>
              <c:numCache>
                <c:formatCode>General</c:formatCode>
                <c:ptCount val="3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numCache>
            </c:numRef>
          </c:cat>
          <c:val>
            <c:numRef>
              <c:f>Sheet1!$AE$14:$AE$44</c:f>
              <c:numCache>
                <c:formatCode>General</c:formatCode>
                <c:ptCount val="31"/>
                <c:pt idx="0">
                  <c:v>1723.82</c:v>
                </c:pt>
                <c:pt idx="1">
                  <c:v>1701.9952057142857</c:v>
                </c:pt>
                <c:pt idx="2">
                  <c:v>1680.1704114285715</c:v>
                </c:pt>
                <c:pt idx="3">
                  <c:v>1658.345617142857</c:v>
                </c:pt>
                <c:pt idx="4">
                  <c:v>1636.5208228571428</c:v>
                </c:pt>
                <c:pt idx="5">
                  <c:v>1614.6960285714285</c:v>
                </c:pt>
                <c:pt idx="6">
                  <c:v>1592.8712342857141</c:v>
                </c:pt>
                <c:pt idx="7">
                  <c:v>1571.0464399999998</c:v>
                </c:pt>
                <c:pt idx="8">
                  <c:v>1549.2216457142856</c:v>
                </c:pt>
                <c:pt idx="9">
                  <c:v>1527.3968514285714</c:v>
                </c:pt>
                <c:pt idx="10">
                  <c:v>1505.5720571428571</c:v>
                </c:pt>
                <c:pt idx="11">
                  <c:v>1483.7472628571427</c:v>
                </c:pt>
                <c:pt idx="12">
                  <c:v>1461.9224685714285</c:v>
                </c:pt>
                <c:pt idx="13">
                  <c:v>1440.0976742857142</c:v>
                </c:pt>
                <c:pt idx="14">
                  <c:v>1418.2728799999998</c:v>
                </c:pt>
                <c:pt idx="15">
                  <c:v>1396.4480857142855</c:v>
                </c:pt>
                <c:pt idx="16">
                  <c:v>1374.6232914285713</c:v>
                </c:pt>
                <c:pt idx="17">
                  <c:v>1352.7984971428571</c:v>
                </c:pt>
                <c:pt idx="18">
                  <c:v>1330.9737028571428</c:v>
                </c:pt>
                <c:pt idx="19">
                  <c:v>1309.1489085714286</c:v>
                </c:pt>
                <c:pt idx="20">
                  <c:v>1287.3241142857144</c:v>
                </c:pt>
                <c:pt idx="21">
                  <c:v>1265.4993199999999</c:v>
                </c:pt>
                <c:pt idx="22">
                  <c:v>1243.6745257142854</c:v>
                </c:pt>
                <c:pt idx="23">
                  <c:v>1221.8497314285712</c:v>
                </c:pt>
                <c:pt idx="24">
                  <c:v>1200.024937142857</c:v>
                </c:pt>
                <c:pt idx="25">
                  <c:v>1178.2001428571427</c:v>
                </c:pt>
                <c:pt idx="26">
                  <c:v>1156.3753485714285</c:v>
                </c:pt>
                <c:pt idx="27">
                  <c:v>1134.5505542857143</c:v>
                </c:pt>
                <c:pt idx="28">
                  <c:v>1112.7257599999998</c:v>
                </c:pt>
                <c:pt idx="29">
                  <c:v>1090.9009657142858</c:v>
                </c:pt>
                <c:pt idx="30">
                  <c:v>1069.0761714285713</c:v>
                </c:pt>
              </c:numCache>
            </c:numRef>
          </c:val>
          <c:extLst>
            <c:ext xmlns:c16="http://schemas.microsoft.com/office/drawing/2014/chart" uri="{C3380CC4-5D6E-409C-BE32-E72D297353CC}">
              <c16:uniqueId val="{00000002-0815-41B7-881F-F4C9619AF0E9}"/>
            </c:ext>
          </c:extLst>
        </c:ser>
        <c:ser>
          <c:idx val="4"/>
          <c:order val="4"/>
          <c:tx>
            <c:strRef>
              <c:f>Sheet1!$AF$13</c:f>
              <c:strCache>
                <c:ptCount val="1"/>
                <c:pt idx="0">
                  <c:v>Vertical load FR</c:v>
                </c:pt>
              </c:strCache>
            </c:strRef>
          </c:tx>
          <c:spPr>
            <a:solidFill>
              <a:schemeClr val="accent5"/>
            </a:solidFill>
            <a:ln>
              <a:noFill/>
            </a:ln>
            <a:effectLst/>
          </c:spPr>
          <c:invertIfNegative val="0"/>
          <c:cat>
            <c:numRef>
              <c:f>Sheet1!$AB$14:$AB$44</c:f>
              <c:numCache>
                <c:formatCode>General</c:formatCode>
                <c:ptCount val="3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numCache>
            </c:numRef>
          </c:cat>
          <c:val>
            <c:numRef>
              <c:f>Sheet1!$AF$14:$AF$44</c:f>
              <c:numCache>
                <c:formatCode>General</c:formatCode>
                <c:ptCount val="31"/>
                <c:pt idx="0">
                  <c:v>1477.3899999999999</c:v>
                </c:pt>
                <c:pt idx="1">
                  <c:v>1495.9850799999999</c:v>
                </c:pt>
                <c:pt idx="2">
                  <c:v>1514.58016</c:v>
                </c:pt>
                <c:pt idx="3">
                  <c:v>1533.1752399999998</c:v>
                </c:pt>
                <c:pt idx="4">
                  <c:v>1551.7703199999999</c:v>
                </c:pt>
                <c:pt idx="5">
                  <c:v>1570.3653999999999</c:v>
                </c:pt>
                <c:pt idx="6">
                  <c:v>1588.96048</c:v>
                </c:pt>
                <c:pt idx="7">
                  <c:v>1607.5555599999998</c:v>
                </c:pt>
                <c:pt idx="8">
                  <c:v>1626.1506399999998</c:v>
                </c:pt>
                <c:pt idx="9">
                  <c:v>1644.7457199999999</c:v>
                </c:pt>
                <c:pt idx="10">
                  <c:v>1663.3407999999997</c:v>
                </c:pt>
                <c:pt idx="11">
                  <c:v>1681.9358799999998</c:v>
                </c:pt>
                <c:pt idx="12">
                  <c:v>1700.5309599999998</c:v>
                </c:pt>
                <c:pt idx="13">
                  <c:v>1719.1260399999999</c:v>
                </c:pt>
                <c:pt idx="14">
                  <c:v>1737.7211199999999</c:v>
                </c:pt>
                <c:pt idx="15">
                  <c:v>1756.3161999999998</c:v>
                </c:pt>
                <c:pt idx="16">
                  <c:v>1774.9112799999998</c:v>
                </c:pt>
                <c:pt idx="17">
                  <c:v>1793.5063599999999</c:v>
                </c:pt>
                <c:pt idx="18">
                  <c:v>1812.1014399999999</c:v>
                </c:pt>
                <c:pt idx="19">
                  <c:v>1830.6965199999997</c:v>
                </c:pt>
                <c:pt idx="20">
                  <c:v>1849.2915999999998</c:v>
                </c:pt>
                <c:pt idx="21">
                  <c:v>1867.8866799999998</c:v>
                </c:pt>
                <c:pt idx="22">
                  <c:v>1886.4817599999999</c:v>
                </c:pt>
                <c:pt idx="23">
                  <c:v>1905.0768399999999</c:v>
                </c:pt>
                <c:pt idx="24">
                  <c:v>1923.67192</c:v>
                </c:pt>
                <c:pt idx="25">
                  <c:v>1942.2669999999998</c:v>
                </c:pt>
                <c:pt idx="26">
                  <c:v>1960.8620799999999</c:v>
                </c:pt>
                <c:pt idx="27">
                  <c:v>1979.4571599999997</c:v>
                </c:pt>
                <c:pt idx="28">
                  <c:v>1998.0522399999998</c:v>
                </c:pt>
                <c:pt idx="29">
                  <c:v>2016.6473199999998</c:v>
                </c:pt>
                <c:pt idx="30">
                  <c:v>2035.2423999999999</c:v>
                </c:pt>
              </c:numCache>
            </c:numRef>
          </c:val>
          <c:extLst>
            <c:ext xmlns:c16="http://schemas.microsoft.com/office/drawing/2014/chart" uri="{C3380CC4-5D6E-409C-BE32-E72D297353CC}">
              <c16:uniqueId val="{00000003-0815-41B7-881F-F4C9619AF0E9}"/>
            </c:ext>
          </c:extLst>
        </c:ser>
        <c:dLbls>
          <c:showLegendKey val="0"/>
          <c:showVal val="0"/>
          <c:showCatName val="0"/>
          <c:showSerName val="0"/>
          <c:showPercent val="0"/>
          <c:showBubbleSize val="0"/>
        </c:dLbls>
        <c:gapWidth val="219"/>
        <c:overlap val="-27"/>
        <c:axId val="446281224"/>
        <c:axId val="446282536"/>
        <c:extLst>
          <c:ext xmlns:c15="http://schemas.microsoft.com/office/drawing/2012/chart" uri="{02D57815-91ED-43cb-92C2-25804820EDAC}">
            <c15:filteredBarSeries>
              <c15:ser>
                <c:idx val="0"/>
                <c:order val="0"/>
                <c:tx>
                  <c:strRef>
                    <c:extLst>
                      <c:ext uri="{02D57815-91ED-43cb-92C2-25804820EDAC}">
                        <c15:formulaRef>
                          <c15:sqref>Sheet1!$AB$13</c15:sqref>
                        </c15:formulaRef>
                      </c:ext>
                    </c:extLst>
                    <c:strCache>
                      <c:ptCount val="1"/>
                      <c:pt idx="0">
                        <c:v>Velocity </c:v>
                      </c:pt>
                    </c:strCache>
                  </c:strRef>
                </c:tx>
                <c:spPr>
                  <a:solidFill>
                    <a:schemeClr val="accent1"/>
                  </a:solidFill>
                  <a:ln>
                    <a:noFill/>
                  </a:ln>
                  <a:effectLst/>
                </c:spPr>
                <c:invertIfNegative val="0"/>
                <c:cat>
                  <c:numRef>
                    <c:extLst>
                      <c:ext uri="{02D57815-91ED-43cb-92C2-25804820EDAC}">
                        <c15:formulaRef>
                          <c15:sqref>Sheet1!$AB$14:$AB$44</c15:sqref>
                        </c15:formulaRef>
                      </c:ext>
                    </c:extLst>
                    <c:numCache>
                      <c:formatCode>General</c:formatCode>
                      <c:ptCount val="3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numCache>
                  </c:numRef>
                </c:cat>
                <c:val>
                  <c:numRef>
                    <c:extLst>
                      <c:ext uri="{02D57815-91ED-43cb-92C2-25804820EDAC}">
                        <c15:formulaRef>
                          <c15:sqref>Sheet1!$AB$14:$AB$44</c15:sqref>
                        </c15:formulaRef>
                      </c:ext>
                    </c:extLst>
                    <c:numCache>
                      <c:formatCode>General</c:formatCode>
                      <c:ptCount val="3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numCache>
                  </c:numRef>
                </c:val>
                <c:extLst>
                  <c:ext xmlns:c16="http://schemas.microsoft.com/office/drawing/2014/chart" uri="{C3380CC4-5D6E-409C-BE32-E72D297353CC}">
                    <c16:uniqueId val="{00000004-0815-41B7-881F-F4C9619AF0E9}"/>
                  </c:ext>
                </c:extLst>
              </c15:ser>
            </c15:filteredBarSeries>
          </c:ext>
        </c:extLst>
      </c:barChart>
      <c:catAx>
        <c:axId val="4462812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 m/s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6282536"/>
        <c:crosses val="autoZero"/>
        <c:auto val="1"/>
        <c:lblAlgn val="ctr"/>
        <c:lblOffset val="100"/>
        <c:noMultiLvlLbl val="0"/>
      </c:catAx>
      <c:valAx>
        <c:axId val="4462825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Vertical</a:t>
                </a:r>
                <a:r>
                  <a:rPr lang="en-GB" baseline="0"/>
                  <a:t> Load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62812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Cas</b:Tag>
    <b:SourceType>InternetSite</b:SourceType>
    <b:Guid>{3837EFD7-E7ED-49DC-B223-573D28333041}</b:Guid>
    <b:Title>Caster,Camber &amp; Toe Explaned</b:Title>
    <b:InternetSiteTitle>explorationoutfitters</b:InternetSiteTitle>
    <b:URL>https://explorationoutfitters.com/pages/caster-camber-toe-explained</b:URL>
    <b:Year>2020</b:Year>
    <b:RefOrder>1</b:RefOrder>
  </b:Source>
  <b:Source>
    <b:Tag>RBO18</b:Tag>
    <b:SourceType>Book</b:SourceType>
    <b:Guid>{28EF71F0-5D88-46DA-BA09-A7F44CB41928}</b:Guid>
    <b:Title>Automotive Handbook</b:Title>
    <b:Year>2018</b:Year>
    <b:City>[S.l.]</b:City>
    <b:Publisher>Wiley-Blackwell</b:Publisher>
    <b:Author>
      <b:Author>
        <b:NameList>
          <b:Person>
            <b:Last>GMBH</b:Last>
            <b:First>R</b:First>
            <b:Middle>BOSCH</b:Middle>
          </b:Person>
        </b:NameList>
      </b:Author>
    </b:Author>
    <b:RefOrder>2</b:RefOrder>
  </b:Source>
  <b:Source>
    <b:Tag>Raj19</b:Tag>
    <b:SourceType>InternetSite</b:SourceType>
    <b:Guid>{EBB9C428-CC33-49E2-BC5C-90A4EA1276AB}</b:Guid>
    <b:Title>FSAE Tutor</b:Title>
    <b:Year>2019</b:Year>
    <b:Author>
      <b:Author>
        <b:NameList>
          <b:Person>
            <b:Last>Raj</b:Last>
            <b:First>Nikhil</b:First>
          </b:Person>
        </b:NameList>
      </b:Author>
    </b:Author>
    <b:InternetSiteTitle>FSAE Tutor</b:InternetSiteTitle>
    <b:Month>june</b:Month>
    <b:Day>10</b:Day>
    <b:URL>https://www.fsaetutor.org/suspension/anti-dive-and-anti-squat/</b:URL>
    <b:RefOrder>4</b:RefOrder>
  </b:Source>
  <b:Source>
    <b:Tag>Zam87</b:Tag>
    <b:SourceType>Book</b:SourceType>
    <b:Guid>{A8B24910-DB67-4DF2-ADA5-B1C3763EBA1C}</b:Guid>
    <b:Author>
      <b:Author>
        <b:NameList>
          <b:Person>
            <b:Last>Zammit</b:Last>
            <b:First>S</b:First>
          </b:Person>
        </b:NameList>
      </b:Author>
    </b:Author>
    <b:Title>Motor vehicle engineering science for technicians, level 2</b:Title>
    <b:Year>1987</b:Year>
    <b:City>London</b:City>
    <b:Publisher>Harlow: Longman Scientific &amp; Technical</b:Publisher>
    <b:RefOrder>3</b:RefOrder>
  </b:Source>
  <b:Source>
    <b:Tag>Van17</b:Tag>
    <b:SourceType>Book</b:SourceType>
    <b:Guid>{5B5E281A-5CAF-418C-AF06-EEFCEDCA5267}</b:Guid>
    <b:Author>
      <b:Author>
        <b:NameList>
          <b:Person>
            <b:Last>Emden</b:Last>
            <b:First>Van</b:First>
          </b:Person>
        </b:NameList>
      </b:Author>
    </b:Author>
    <b:Title>Writing for Engineers. 4th edition </b:Title>
    <b:Year>2017</b:Year>
    <b:City>london</b:City>
    <b:Publisher>Palgrave Macmillan</b:Publisher>
    <b:RefOrder>5</b:RefOrder>
  </b:Source>
</b:Sources>
</file>

<file path=customXml/itemProps1.xml><?xml version="1.0" encoding="utf-8"?>
<ds:datastoreItem xmlns:ds="http://schemas.openxmlformats.org/officeDocument/2006/customXml" ds:itemID="{CC20C9C3-6E5B-4869-A0FE-8AB64F6DB3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1793</TotalTime>
  <Pages>7</Pages>
  <Words>1701</Words>
  <Characters>9702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Bradley Thomas</dc:creator>
  <cp:keywords/>
  <dc:description/>
  <cp:lastModifiedBy>Bradley Thomas</cp:lastModifiedBy>
  <cp:revision>228</cp:revision>
  <dcterms:created xsi:type="dcterms:W3CDTF">2020-02-24T20:23:00Z</dcterms:created>
  <dcterms:modified xsi:type="dcterms:W3CDTF">2020-03-22T12:33:00Z</dcterms:modified>
</cp:coreProperties>
</file>