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255A49" w14:textId="77777777" w:rsidR="00E05242" w:rsidRPr="004C76EB" w:rsidRDefault="00E05242" w:rsidP="0031676F">
      <w:pPr>
        <w:spacing w:line="360" w:lineRule="auto"/>
        <w:jc w:val="both"/>
        <w:rPr>
          <w:rFonts w:ascii="Times New Roman" w:hAnsi="Times New Roman" w:cs="Times New Roman"/>
          <w:sz w:val="24"/>
          <w:szCs w:val="24"/>
        </w:rPr>
      </w:pPr>
    </w:p>
    <w:p w14:paraId="7E348E73" w14:textId="77777777" w:rsidR="00E05242" w:rsidRPr="004C76EB" w:rsidRDefault="00E05242" w:rsidP="0031676F">
      <w:pPr>
        <w:spacing w:line="360" w:lineRule="auto"/>
        <w:jc w:val="both"/>
        <w:rPr>
          <w:rFonts w:ascii="Times New Roman" w:hAnsi="Times New Roman" w:cs="Times New Roman"/>
          <w:sz w:val="24"/>
          <w:szCs w:val="24"/>
        </w:rPr>
      </w:pPr>
    </w:p>
    <w:p w14:paraId="4509DE63" w14:textId="77777777" w:rsidR="00E05242" w:rsidRPr="004C76EB" w:rsidRDefault="00E05242" w:rsidP="0031676F">
      <w:pPr>
        <w:spacing w:line="360" w:lineRule="auto"/>
        <w:jc w:val="both"/>
        <w:rPr>
          <w:rFonts w:ascii="Times New Roman" w:hAnsi="Times New Roman" w:cs="Times New Roman"/>
          <w:sz w:val="24"/>
          <w:szCs w:val="24"/>
        </w:rPr>
      </w:pPr>
    </w:p>
    <w:p w14:paraId="2DF3C75E" w14:textId="77777777" w:rsidR="00E05242" w:rsidRPr="004C76EB" w:rsidRDefault="00E05242" w:rsidP="0031676F">
      <w:pPr>
        <w:spacing w:line="360" w:lineRule="auto"/>
        <w:jc w:val="both"/>
        <w:rPr>
          <w:rFonts w:ascii="Times New Roman" w:hAnsi="Times New Roman" w:cs="Times New Roman"/>
          <w:sz w:val="24"/>
          <w:szCs w:val="24"/>
        </w:rPr>
      </w:pPr>
    </w:p>
    <w:p w14:paraId="75D9E65A" w14:textId="7055A706" w:rsidR="00E05242" w:rsidRPr="004C76EB" w:rsidRDefault="00A7679B" w:rsidP="0031676F">
      <w:pPr>
        <w:spacing w:line="360" w:lineRule="auto"/>
        <w:jc w:val="both"/>
        <w:rPr>
          <w:rFonts w:ascii="Times New Roman" w:hAnsi="Times New Roman" w:cs="Times New Roman"/>
          <w:sz w:val="24"/>
          <w:szCs w:val="24"/>
        </w:rPr>
      </w:pPr>
      <w:r w:rsidRPr="004C76EB">
        <w:rPr>
          <w:rFonts w:ascii="Times New Roman" w:hAnsi="Times New Roman" w:cs="Times New Roman"/>
          <w:noProof/>
          <w:sz w:val="24"/>
          <w:szCs w:val="24"/>
        </w:rPr>
        <w:drawing>
          <wp:inline distT="0" distB="0" distL="0" distR="0" wp14:anchorId="20F5895E" wp14:editId="784349AE">
            <wp:extent cx="3931920" cy="100584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931920" cy="1005840"/>
                    </a:xfrm>
                    <a:prstGeom prst="rect">
                      <a:avLst/>
                    </a:prstGeom>
                    <a:noFill/>
                    <a:ln>
                      <a:noFill/>
                    </a:ln>
                  </pic:spPr>
                </pic:pic>
              </a:graphicData>
            </a:graphic>
          </wp:inline>
        </w:drawing>
      </w:r>
    </w:p>
    <w:p w14:paraId="1C56F44B" w14:textId="77777777" w:rsidR="002923E0" w:rsidRPr="004C76EB" w:rsidRDefault="002923E0" w:rsidP="0031676F">
      <w:pPr>
        <w:spacing w:line="360" w:lineRule="auto"/>
        <w:jc w:val="both"/>
        <w:rPr>
          <w:rFonts w:ascii="Times New Roman" w:hAnsi="Times New Roman" w:cs="Times New Roman"/>
          <w:sz w:val="24"/>
          <w:szCs w:val="24"/>
        </w:rPr>
      </w:pPr>
    </w:p>
    <w:p w14:paraId="128779E5" w14:textId="77777777" w:rsidR="00A30FDC" w:rsidRPr="004C76EB" w:rsidRDefault="00A30FDC" w:rsidP="0031676F">
      <w:pPr>
        <w:spacing w:line="360" w:lineRule="auto"/>
        <w:jc w:val="both"/>
        <w:rPr>
          <w:rFonts w:ascii="Times New Roman" w:hAnsi="Times New Roman" w:cs="Times New Roman"/>
          <w:sz w:val="24"/>
          <w:szCs w:val="24"/>
        </w:rPr>
      </w:pPr>
    </w:p>
    <w:p w14:paraId="4DD0A36E" w14:textId="77777777" w:rsidR="00A30FDC" w:rsidRPr="004C76EB" w:rsidRDefault="00A30FDC" w:rsidP="0031676F">
      <w:pPr>
        <w:spacing w:line="360" w:lineRule="auto"/>
        <w:jc w:val="both"/>
        <w:rPr>
          <w:rFonts w:ascii="Times New Roman" w:hAnsi="Times New Roman" w:cs="Times New Roman"/>
          <w:sz w:val="24"/>
          <w:szCs w:val="24"/>
        </w:rPr>
      </w:pPr>
    </w:p>
    <w:p w14:paraId="519F2A0A" w14:textId="77777777" w:rsidR="00E05242" w:rsidRPr="004C76EB" w:rsidRDefault="00E05242" w:rsidP="0031676F">
      <w:pPr>
        <w:spacing w:line="360" w:lineRule="auto"/>
        <w:jc w:val="both"/>
        <w:rPr>
          <w:rFonts w:ascii="Times New Roman" w:hAnsi="Times New Roman" w:cs="Times New Roman"/>
          <w:b/>
          <w:bCs/>
          <w:sz w:val="24"/>
          <w:szCs w:val="24"/>
        </w:rPr>
      </w:pPr>
      <w:r w:rsidRPr="004C76EB">
        <w:rPr>
          <w:rFonts w:ascii="Times New Roman" w:hAnsi="Times New Roman" w:cs="Times New Roman"/>
          <w:b/>
          <w:bCs/>
          <w:sz w:val="24"/>
          <w:szCs w:val="24"/>
        </w:rPr>
        <w:t>Student Name: Andrea Helen Walker</w:t>
      </w:r>
    </w:p>
    <w:p w14:paraId="621CA489" w14:textId="77777777" w:rsidR="00E05242" w:rsidRPr="004C76EB" w:rsidRDefault="00E05242" w:rsidP="0031676F">
      <w:pPr>
        <w:spacing w:line="360" w:lineRule="auto"/>
        <w:jc w:val="both"/>
        <w:rPr>
          <w:rFonts w:ascii="Times New Roman" w:hAnsi="Times New Roman" w:cs="Times New Roman"/>
          <w:b/>
          <w:bCs/>
          <w:sz w:val="24"/>
          <w:szCs w:val="24"/>
        </w:rPr>
      </w:pPr>
      <w:r w:rsidRPr="004C76EB">
        <w:rPr>
          <w:rFonts w:ascii="Times New Roman" w:hAnsi="Times New Roman" w:cs="Times New Roman"/>
          <w:b/>
          <w:bCs/>
          <w:sz w:val="24"/>
          <w:szCs w:val="24"/>
        </w:rPr>
        <w:t>Student ID: 2308953</w:t>
      </w:r>
    </w:p>
    <w:p w14:paraId="7FE112FA" w14:textId="17E9EE72" w:rsidR="00E05242" w:rsidRPr="004C76EB" w:rsidRDefault="00E05242" w:rsidP="0031676F">
      <w:pPr>
        <w:spacing w:line="360" w:lineRule="auto"/>
        <w:jc w:val="both"/>
        <w:rPr>
          <w:rFonts w:ascii="Times New Roman" w:hAnsi="Times New Roman" w:cs="Times New Roman"/>
          <w:b/>
          <w:bCs/>
          <w:sz w:val="24"/>
          <w:szCs w:val="24"/>
        </w:rPr>
      </w:pPr>
      <w:r w:rsidRPr="004C76EB">
        <w:rPr>
          <w:rFonts w:ascii="Times New Roman" w:hAnsi="Times New Roman" w:cs="Times New Roman"/>
          <w:b/>
          <w:bCs/>
          <w:sz w:val="24"/>
          <w:szCs w:val="24"/>
        </w:rPr>
        <w:t>Program: BA (Hons) Business Management</w:t>
      </w:r>
    </w:p>
    <w:p w14:paraId="78A200A5" w14:textId="77777777" w:rsidR="00E05242" w:rsidRPr="004C76EB" w:rsidRDefault="00E05242" w:rsidP="0031676F">
      <w:pPr>
        <w:spacing w:line="360" w:lineRule="auto"/>
        <w:jc w:val="both"/>
        <w:rPr>
          <w:rFonts w:ascii="Times New Roman" w:hAnsi="Times New Roman" w:cs="Times New Roman"/>
          <w:b/>
          <w:bCs/>
          <w:sz w:val="24"/>
          <w:szCs w:val="24"/>
        </w:rPr>
      </w:pPr>
      <w:r w:rsidRPr="004C76EB">
        <w:rPr>
          <w:rFonts w:ascii="Times New Roman" w:hAnsi="Times New Roman" w:cs="Times New Roman"/>
          <w:b/>
          <w:bCs/>
          <w:sz w:val="24"/>
          <w:szCs w:val="24"/>
        </w:rPr>
        <w:t>Module: Principles of Marketing (LCBB5015)</w:t>
      </w:r>
    </w:p>
    <w:p w14:paraId="79FFB5A5" w14:textId="71C33FFF" w:rsidR="00E05242" w:rsidRPr="004C76EB" w:rsidRDefault="00E05242" w:rsidP="0031676F">
      <w:pPr>
        <w:spacing w:line="360" w:lineRule="auto"/>
        <w:jc w:val="both"/>
        <w:rPr>
          <w:rFonts w:ascii="Times New Roman" w:hAnsi="Times New Roman" w:cs="Times New Roman"/>
          <w:b/>
          <w:bCs/>
          <w:sz w:val="24"/>
          <w:szCs w:val="24"/>
        </w:rPr>
      </w:pPr>
      <w:r w:rsidRPr="004C76EB">
        <w:rPr>
          <w:rFonts w:ascii="Times New Roman" w:hAnsi="Times New Roman" w:cs="Times New Roman"/>
          <w:b/>
          <w:bCs/>
          <w:sz w:val="24"/>
          <w:szCs w:val="24"/>
        </w:rPr>
        <w:t xml:space="preserve">Lecturer: </w:t>
      </w:r>
      <w:r w:rsidR="005313CB" w:rsidRPr="004C76EB">
        <w:rPr>
          <w:rFonts w:ascii="Times New Roman" w:hAnsi="Times New Roman" w:cs="Times New Roman"/>
          <w:b/>
          <w:bCs/>
          <w:sz w:val="24"/>
          <w:szCs w:val="24"/>
        </w:rPr>
        <w:t xml:space="preserve">Dr </w:t>
      </w:r>
      <w:proofErr w:type="spellStart"/>
      <w:r w:rsidR="004C76EB" w:rsidRPr="004C76EB">
        <w:rPr>
          <w:rFonts w:ascii="Times New Roman" w:hAnsi="Times New Roman" w:cs="Times New Roman"/>
          <w:b/>
          <w:bCs/>
          <w:sz w:val="24"/>
          <w:szCs w:val="24"/>
        </w:rPr>
        <w:t>Ashikul</w:t>
      </w:r>
      <w:proofErr w:type="spellEnd"/>
      <w:r w:rsidR="004C76EB" w:rsidRPr="004C76EB">
        <w:rPr>
          <w:rFonts w:ascii="Times New Roman" w:hAnsi="Times New Roman" w:cs="Times New Roman"/>
          <w:b/>
          <w:bCs/>
          <w:sz w:val="24"/>
          <w:szCs w:val="24"/>
        </w:rPr>
        <w:t xml:space="preserve"> Khan</w:t>
      </w:r>
    </w:p>
    <w:p w14:paraId="61E876F2" w14:textId="77777777" w:rsidR="00E05242" w:rsidRPr="004C76EB" w:rsidRDefault="00E05242" w:rsidP="0031676F">
      <w:pPr>
        <w:spacing w:line="360" w:lineRule="auto"/>
        <w:jc w:val="both"/>
        <w:rPr>
          <w:rFonts w:ascii="Times New Roman" w:hAnsi="Times New Roman" w:cs="Times New Roman"/>
          <w:b/>
          <w:bCs/>
          <w:sz w:val="24"/>
          <w:szCs w:val="24"/>
        </w:rPr>
      </w:pPr>
      <w:r w:rsidRPr="004C76EB">
        <w:rPr>
          <w:rFonts w:ascii="Times New Roman" w:hAnsi="Times New Roman" w:cs="Times New Roman"/>
          <w:b/>
          <w:bCs/>
          <w:sz w:val="24"/>
          <w:szCs w:val="24"/>
        </w:rPr>
        <w:t>Assignment Title: Component 1 – Individual Report</w:t>
      </w:r>
    </w:p>
    <w:p w14:paraId="2E28136F" w14:textId="77777777" w:rsidR="00E05242" w:rsidRPr="004C76EB" w:rsidRDefault="00E05242" w:rsidP="0031676F">
      <w:pPr>
        <w:spacing w:line="360" w:lineRule="auto"/>
        <w:jc w:val="both"/>
        <w:rPr>
          <w:rFonts w:ascii="Times New Roman" w:hAnsi="Times New Roman" w:cs="Times New Roman"/>
          <w:b/>
          <w:bCs/>
          <w:sz w:val="24"/>
          <w:szCs w:val="24"/>
        </w:rPr>
      </w:pPr>
      <w:r w:rsidRPr="004C76EB">
        <w:rPr>
          <w:rFonts w:ascii="Times New Roman" w:hAnsi="Times New Roman" w:cs="Times New Roman"/>
          <w:b/>
          <w:bCs/>
          <w:sz w:val="24"/>
          <w:szCs w:val="24"/>
        </w:rPr>
        <w:t>Submission Date: 13 October 2025</w:t>
      </w:r>
    </w:p>
    <w:p w14:paraId="527E43EB" w14:textId="77777777" w:rsidR="00E05242" w:rsidRPr="004C76EB" w:rsidRDefault="00E05242" w:rsidP="0031676F">
      <w:pPr>
        <w:tabs>
          <w:tab w:val="left" w:pos="1932"/>
        </w:tabs>
        <w:spacing w:line="360" w:lineRule="auto"/>
        <w:jc w:val="both"/>
        <w:rPr>
          <w:rFonts w:ascii="Times New Roman" w:hAnsi="Times New Roman" w:cs="Times New Roman"/>
          <w:b/>
          <w:bCs/>
          <w:sz w:val="24"/>
          <w:szCs w:val="24"/>
        </w:rPr>
      </w:pPr>
    </w:p>
    <w:p w14:paraId="19987D1B" w14:textId="77777777" w:rsidR="00C82C03" w:rsidRDefault="00C82C03" w:rsidP="0031676F">
      <w:pPr>
        <w:spacing w:line="360" w:lineRule="auto"/>
        <w:jc w:val="both"/>
        <w:rPr>
          <w:rFonts w:ascii="Times New Roman" w:hAnsi="Times New Roman" w:cs="Times New Roman"/>
          <w:sz w:val="24"/>
          <w:szCs w:val="24"/>
        </w:rPr>
      </w:pPr>
    </w:p>
    <w:p w14:paraId="5C288E96" w14:textId="77777777" w:rsidR="00C82C03" w:rsidRDefault="00C82C03" w:rsidP="0031676F">
      <w:pPr>
        <w:spacing w:line="360" w:lineRule="auto"/>
        <w:jc w:val="both"/>
        <w:rPr>
          <w:rFonts w:ascii="Times New Roman" w:hAnsi="Times New Roman" w:cs="Times New Roman"/>
          <w:sz w:val="24"/>
          <w:szCs w:val="24"/>
        </w:rPr>
      </w:pPr>
    </w:p>
    <w:p w14:paraId="76365D6A" w14:textId="4824A1FE" w:rsidR="003A3560" w:rsidRPr="004C76EB" w:rsidRDefault="000D7B2B" w:rsidP="0031676F">
      <w:pPr>
        <w:spacing w:line="360" w:lineRule="auto"/>
        <w:jc w:val="both"/>
        <w:rPr>
          <w:rFonts w:ascii="Times New Roman" w:hAnsi="Times New Roman" w:cs="Times New Roman"/>
          <w:sz w:val="24"/>
          <w:szCs w:val="24"/>
        </w:rPr>
      </w:pPr>
      <w:r w:rsidRPr="004C76EB">
        <w:rPr>
          <w:rFonts w:ascii="Times New Roman" w:hAnsi="Times New Roman" w:cs="Times New Roman"/>
          <w:sz w:val="24"/>
          <w:szCs w:val="24"/>
        </w:rPr>
        <w:br w:type="page"/>
      </w:r>
    </w:p>
    <w:sdt>
      <w:sdtPr>
        <w:rPr>
          <w:rFonts w:ascii="Times New Roman" w:eastAsiaTheme="minorEastAsia" w:hAnsi="Times New Roman" w:cs="Times New Roman"/>
          <w:b w:val="0"/>
          <w:bCs w:val="0"/>
          <w:color w:val="auto"/>
          <w:sz w:val="24"/>
          <w:szCs w:val="24"/>
          <w:lang w:val="en-GB"/>
        </w:rPr>
        <w:id w:val="475112400"/>
        <w:docPartObj>
          <w:docPartGallery w:val="Table of Contents"/>
          <w:docPartUnique/>
        </w:docPartObj>
      </w:sdtPr>
      <w:sdtEndPr>
        <w:rPr>
          <w:lang w:val="en-US"/>
        </w:rPr>
      </w:sdtEndPr>
      <w:sdtContent>
        <w:p w14:paraId="3C9EAD2D" w14:textId="33033D55" w:rsidR="00204F22" w:rsidRPr="004C76EB" w:rsidRDefault="00204F22" w:rsidP="0031676F">
          <w:pPr>
            <w:pStyle w:val="TOCHeading"/>
            <w:spacing w:line="360" w:lineRule="auto"/>
            <w:jc w:val="both"/>
            <w:rPr>
              <w:rFonts w:ascii="Times New Roman" w:hAnsi="Times New Roman" w:cs="Times New Roman"/>
              <w:color w:val="auto"/>
              <w:sz w:val="24"/>
              <w:szCs w:val="24"/>
            </w:rPr>
          </w:pPr>
          <w:r w:rsidRPr="004C76EB">
            <w:rPr>
              <w:rFonts w:ascii="Times New Roman" w:hAnsi="Times New Roman" w:cs="Times New Roman"/>
              <w:color w:val="auto"/>
              <w:sz w:val="24"/>
              <w:szCs w:val="24"/>
              <w:lang w:val="en-GB"/>
            </w:rPr>
            <w:t>Table of Contents</w:t>
          </w:r>
        </w:p>
        <w:p w14:paraId="2F44C4A4" w14:textId="5C37EBA3" w:rsidR="009B5545" w:rsidRDefault="00204F22">
          <w:pPr>
            <w:pStyle w:val="TOC3"/>
            <w:tabs>
              <w:tab w:val="right" w:leader="dot" w:pos="9350"/>
            </w:tabs>
            <w:rPr>
              <w:noProof/>
            </w:rPr>
          </w:pPr>
          <w:r w:rsidRPr="004C76EB">
            <w:rPr>
              <w:rFonts w:ascii="Times New Roman" w:hAnsi="Times New Roman" w:cs="Times New Roman"/>
              <w:b/>
              <w:bCs/>
              <w:sz w:val="24"/>
              <w:szCs w:val="24"/>
            </w:rPr>
            <w:fldChar w:fldCharType="begin"/>
          </w:r>
          <w:r w:rsidRPr="004C76EB">
            <w:rPr>
              <w:rFonts w:ascii="Times New Roman" w:hAnsi="Times New Roman" w:cs="Times New Roman"/>
              <w:b/>
              <w:bCs/>
              <w:sz w:val="24"/>
              <w:szCs w:val="24"/>
            </w:rPr>
            <w:instrText xml:space="preserve"> TOC \o "1-3" \h \z \u </w:instrText>
          </w:r>
          <w:r w:rsidRPr="004C76EB">
            <w:rPr>
              <w:rFonts w:ascii="Times New Roman" w:hAnsi="Times New Roman" w:cs="Times New Roman"/>
              <w:b/>
              <w:bCs/>
              <w:sz w:val="24"/>
              <w:szCs w:val="24"/>
            </w:rPr>
            <w:fldChar w:fldCharType="separate"/>
          </w:r>
          <w:hyperlink w:anchor="_Toc211186121" w:history="1">
            <w:r w:rsidR="009B5545" w:rsidRPr="00A93697">
              <w:rPr>
                <w:rStyle w:val="Hyperlink"/>
                <w:rFonts w:ascii="Times New Roman" w:eastAsia="Times New Roman" w:hAnsi="Times New Roman" w:cs="Times New Roman"/>
                <w:b/>
                <w:bCs/>
                <w:noProof/>
                <w:lang w:eastAsia="en-GB"/>
              </w:rPr>
              <w:t>1. Introduction</w:t>
            </w:r>
            <w:r w:rsidR="009B5545">
              <w:rPr>
                <w:noProof/>
                <w:webHidden/>
              </w:rPr>
              <w:tab/>
            </w:r>
            <w:r w:rsidR="009B5545">
              <w:rPr>
                <w:noProof/>
                <w:webHidden/>
              </w:rPr>
              <w:fldChar w:fldCharType="begin"/>
            </w:r>
            <w:r w:rsidR="009B5545">
              <w:rPr>
                <w:noProof/>
                <w:webHidden/>
              </w:rPr>
              <w:instrText xml:space="preserve"> PAGEREF _Toc211186121 \h </w:instrText>
            </w:r>
            <w:r w:rsidR="009B5545">
              <w:rPr>
                <w:noProof/>
                <w:webHidden/>
              </w:rPr>
            </w:r>
            <w:r w:rsidR="009B5545">
              <w:rPr>
                <w:noProof/>
                <w:webHidden/>
              </w:rPr>
              <w:fldChar w:fldCharType="separate"/>
            </w:r>
            <w:r w:rsidR="009B5545">
              <w:rPr>
                <w:noProof/>
                <w:webHidden/>
              </w:rPr>
              <w:t>3</w:t>
            </w:r>
            <w:r w:rsidR="009B5545">
              <w:rPr>
                <w:noProof/>
                <w:webHidden/>
              </w:rPr>
              <w:fldChar w:fldCharType="end"/>
            </w:r>
          </w:hyperlink>
        </w:p>
        <w:p w14:paraId="7C389CD8" w14:textId="0719C6C9" w:rsidR="009B5545" w:rsidRDefault="009B5545">
          <w:pPr>
            <w:pStyle w:val="TOC3"/>
            <w:tabs>
              <w:tab w:val="right" w:leader="dot" w:pos="9350"/>
            </w:tabs>
            <w:rPr>
              <w:noProof/>
            </w:rPr>
          </w:pPr>
          <w:hyperlink w:anchor="_Toc211186122" w:history="1">
            <w:r w:rsidRPr="00A93697">
              <w:rPr>
                <w:rStyle w:val="Hyperlink"/>
                <w:rFonts w:ascii="Times New Roman" w:eastAsia="Times New Roman" w:hAnsi="Times New Roman" w:cs="Times New Roman"/>
                <w:b/>
                <w:bCs/>
                <w:noProof/>
                <w:lang w:eastAsia="en-GB"/>
              </w:rPr>
              <w:t>2. Situational Analysis: PESTLE Framework</w:t>
            </w:r>
            <w:r>
              <w:rPr>
                <w:noProof/>
                <w:webHidden/>
              </w:rPr>
              <w:tab/>
            </w:r>
            <w:r>
              <w:rPr>
                <w:noProof/>
                <w:webHidden/>
              </w:rPr>
              <w:fldChar w:fldCharType="begin"/>
            </w:r>
            <w:r>
              <w:rPr>
                <w:noProof/>
                <w:webHidden/>
              </w:rPr>
              <w:instrText xml:space="preserve"> PAGEREF _Toc211186122 \h </w:instrText>
            </w:r>
            <w:r>
              <w:rPr>
                <w:noProof/>
                <w:webHidden/>
              </w:rPr>
            </w:r>
            <w:r>
              <w:rPr>
                <w:noProof/>
                <w:webHidden/>
              </w:rPr>
              <w:fldChar w:fldCharType="separate"/>
            </w:r>
            <w:r>
              <w:rPr>
                <w:noProof/>
                <w:webHidden/>
              </w:rPr>
              <w:t>3</w:t>
            </w:r>
            <w:r>
              <w:rPr>
                <w:noProof/>
                <w:webHidden/>
              </w:rPr>
              <w:fldChar w:fldCharType="end"/>
            </w:r>
          </w:hyperlink>
        </w:p>
        <w:p w14:paraId="22E5FF6F" w14:textId="2997F60F" w:rsidR="009B5545" w:rsidRDefault="009B5545">
          <w:pPr>
            <w:pStyle w:val="TOC3"/>
            <w:tabs>
              <w:tab w:val="right" w:leader="dot" w:pos="9350"/>
            </w:tabs>
            <w:rPr>
              <w:noProof/>
            </w:rPr>
          </w:pPr>
          <w:hyperlink w:anchor="_Toc211186123" w:history="1">
            <w:r w:rsidRPr="00A93697">
              <w:rPr>
                <w:rStyle w:val="Hyperlink"/>
                <w:rFonts w:ascii="Times New Roman" w:eastAsia="Times New Roman" w:hAnsi="Times New Roman" w:cs="Times New Roman"/>
                <w:b/>
                <w:bCs/>
                <w:noProof/>
                <w:lang w:eastAsia="en-GB"/>
              </w:rPr>
              <w:t>3. SWOT Analysis</w:t>
            </w:r>
            <w:r>
              <w:rPr>
                <w:noProof/>
                <w:webHidden/>
              </w:rPr>
              <w:tab/>
            </w:r>
            <w:r>
              <w:rPr>
                <w:noProof/>
                <w:webHidden/>
              </w:rPr>
              <w:fldChar w:fldCharType="begin"/>
            </w:r>
            <w:r>
              <w:rPr>
                <w:noProof/>
                <w:webHidden/>
              </w:rPr>
              <w:instrText xml:space="preserve"> PAGEREF _Toc211186123 \h </w:instrText>
            </w:r>
            <w:r>
              <w:rPr>
                <w:noProof/>
                <w:webHidden/>
              </w:rPr>
            </w:r>
            <w:r>
              <w:rPr>
                <w:noProof/>
                <w:webHidden/>
              </w:rPr>
              <w:fldChar w:fldCharType="separate"/>
            </w:r>
            <w:r>
              <w:rPr>
                <w:noProof/>
                <w:webHidden/>
              </w:rPr>
              <w:t>4</w:t>
            </w:r>
            <w:r>
              <w:rPr>
                <w:noProof/>
                <w:webHidden/>
              </w:rPr>
              <w:fldChar w:fldCharType="end"/>
            </w:r>
          </w:hyperlink>
        </w:p>
        <w:p w14:paraId="6C850DA1" w14:textId="0F7D62F8" w:rsidR="009B5545" w:rsidRDefault="009B5545">
          <w:pPr>
            <w:pStyle w:val="TOC3"/>
            <w:tabs>
              <w:tab w:val="right" w:leader="dot" w:pos="9350"/>
            </w:tabs>
            <w:rPr>
              <w:noProof/>
            </w:rPr>
          </w:pPr>
          <w:hyperlink w:anchor="_Toc211186124" w:history="1">
            <w:r w:rsidRPr="00A93697">
              <w:rPr>
                <w:rStyle w:val="Hyperlink"/>
                <w:rFonts w:ascii="Times New Roman" w:eastAsia="Times New Roman" w:hAnsi="Times New Roman" w:cs="Times New Roman"/>
                <w:b/>
                <w:bCs/>
                <w:noProof/>
                <w:lang w:eastAsia="en-GB"/>
              </w:rPr>
              <w:t>4. Critical Analysis and Evaluation</w:t>
            </w:r>
            <w:r>
              <w:rPr>
                <w:noProof/>
                <w:webHidden/>
              </w:rPr>
              <w:tab/>
            </w:r>
            <w:r>
              <w:rPr>
                <w:noProof/>
                <w:webHidden/>
              </w:rPr>
              <w:fldChar w:fldCharType="begin"/>
            </w:r>
            <w:r>
              <w:rPr>
                <w:noProof/>
                <w:webHidden/>
              </w:rPr>
              <w:instrText xml:space="preserve"> PAGEREF _Toc211186124 \h </w:instrText>
            </w:r>
            <w:r>
              <w:rPr>
                <w:noProof/>
                <w:webHidden/>
              </w:rPr>
            </w:r>
            <w:r>
              <w:rPr>
                <w:noProof/>
                <w:webHidden/>
              </w:rPr>
              <w:fldChar w:fldCharType="separate"/>
            </w:r>
            <w:r>
              <w:rPr>
                <w:noProof/>
                <w:webHidden/>
              </w:rPr>
              <w:t>5</w:t>
            </w:r>
            <w:r>
              <w:rPr>
                <w:noProof/>
                <w:webHidden/>
              </w:rPr>
              <w:fldChar w:fldCharType="end"/>
            </w:r>
          </w:hyperlink>
        </w:p>
        <w:p w14:paraId="4768BE31" w14:textId="3A52FF4D" w:rsidR="009B5545" w:rsidRDefault="009B5545">
          <w:pPr>
            <w:pStyle w:val="TOC3"/>
            <w:tabs>
              <w:tab w:val="right" w:leader="dot" w:pos="9350"/>
            </w:tabs>
            <w:rPr>
              <w:noProof/>
            </w:rPr>
          </w:pPr>
          <w:hyperlink w:anchor="_Toc211186125" w:history="1">
            <w:r w:rsidRPr="00A93697">
              <w:rPr>
                <w:rStyle w:val="Hyperlink"/>
                <w:rFonts w:ascii="Times New Roman" w:eastAsia="Times New Roman" w:hAnsi="Times New Roman" w:cs="Times New Roman"/>
                <w:b/>
                <w:bCs/>
                <w:noProof/>
                <w:lang w:eastAsia="en-GB"/>
              </w:rPr>
              <w:t>5. Conclusion and Recommendations</w:t>
            </w:r>
            <w:r>
              <w:rPr>
                <w:noProof/>
                <w:webHidden/>
              </w:rPr>
              <w:tab/>
            </w:r>
            <w:r>
              <w:rPr>
                <w:noProof/>
                <w:webHidden/>
              </w:rPr>
              <w:fldChar w:fldCharType="begin"/>
            </w:r>
            <w:r>
              <w:rPr>
                <w:noProof/>
                <w:webHidden/>
              </w:rPr>
              <w:instrText xml:space="preserve"> PAGEREF _Toc211186125 \h </w:instrText>
            </w:r>
            <w:r>
              <w:rPr>
                <w:noProof/>
                <w:webHidden/>
              </w:rPr>
            </w:r>
            <w:r>
              <w:rPr>
                <w:noProof/>
                <w:webHidden/>
              </w:rPr>
              <w:fldChar w:fldCharType="separate"/>
            </w:r>
            <w:r>
              <w:rPr>
                <w:noProof/>
                <w:webHidden/>
              </w:rPr>
              <w:t>5</w:t>
            </w:r>
            <w:r>
              <w:rPr>
                <w:noProof/>
                <w:webHidden/>
              </w:rPr>
              <w:fldChar w:fldCharType="end"/>
            </w:r>
          </w:hyperlink>
        </w:p>
        <w:p w14:paraId="18553C70" w14:textId="61D705E0" w:rsidR="009B5545" w:rsidRDefault="009B5545">
          <w:pPr>
            <w:pStyle w:val="TOC3"/>
            <w:tabs>
              <w:tab w:val="right" w:leader="dot" w:pos="9350"/>
            </w:tabs>
            <w:rPr>
              <w:noProof/>
            </w:rPr>
          </w:pPr>
          <w:hyperlink w:anchor="_Toc211186126" w:history="1">
            <w:r w:rsidRPr="00A93697">
              <w:rPr>
                <w:rStyle w:val="Hyperlink"/>
                <w:rFonts w:ascii="Times New Roman" w:eastAsia="Times New Roman" w:hAnsi="Times New Roman" w:cs="Times New Roman"/>
                <w:b/>
                <w:bCs/>
                <w:noProof/>
                <w:lang w:eastAsia="en-GB"/>
              </w:rPr>
              <w:t>6. References</w:t>
            </w:r>
            <w:r>
              <w:rPr>
                <w:noProof/>
                <w:webHidden/>
              </w:rPr>
              <w:tab/>
            </w:r>
            <w:r>
              <w:rPr>
                <w:noProof/>
                <w:webHidden/>
              </w:rPr>
              <w:fldChar w:fldCharType="begin"/>
            </w:r>
            <w:r>
              <w:rPr>
                <w:noProof/>
                <w:webHidden/>
              </w:rPr>
              <w:instrText xml:space="preserve"> PAGEREF _Toc211186126 \h </w:instrText>
            </w:r>
            <w:r>
              <w:rPr>
                <w:noProof/>
                <w:webHidden/>
              </w:rPr>
            </w:r>
            <w:r>
              <w:rPr>
                <w:noProof/>
                <w:webHidden/>
              </w:rPr>
              <w:fldChar w:fldCharType="separate"/>
            </w:r>
            <w:r>
              <w:rPr>
                <w:noProof/>
                <w:webHidden/>
              </w:rPr>
              <w:t>6</w:t>
            </w:r>
            <w:r>
              <w:rPr>
                <w:noProof/>
                <w:webHidden/>
              </w:rPr>
              <w:fldChar w:fldCharType="end"/>
            </w:r>
          </w:hyperlink>
        </w:p>
        <w:p w14:paraId="2E6664E6" w14:textId="18FC57FA" w:rsidR="00204F22" w:rsidRPr="004C76EB" w:rsidRDefault="00204F22" w:rsidP="0031676F">
          <w:pPr>
            <w:spacing w:line="360" w:lineRule="auto"/>
            <w:jc w:val="both"/>
            <w:rPr>
              <w:rFonts w:ascii="Times New Roman" w:hAnsi="Times New Roman" w:cs="Times New Roman"/>
              <w:sz w:val="24"/>
              <w:szCs w:val="24"/>
            </w:rPr>
          </w:pPr>
          <w:r w:rsidRPr="004C76EB">
            <w:rPr>
              <w:rFonts w:ascii="Times New Roman" w:hAnsi="Times New Roman" w:cs="Times New Roman"/>
              <w:b/>
              <w:bCs/>
              <w:sz w:val="24"/>
              <w:szCs w:val="24"/>
            </w:rPr>
            <w:fldChar w:fldCharType="end"/>
          </w:r>
        </w:p>
      </w:sdtContent>
    </w:sdt>
    <w:p w14:paraId="3CF6F445" w14:textId="77777777" w:rsidR="00C82C03" w:rsidRDefault="00C82C03" w:rsidP="00AE7EEE">
      <w:pPr>
        <w:spacing w:before="100" w:beforeAutospacing="1" w:after="100" w:afterAutospacing="1" w:line="240" w:lineRule="auto"/>
        <w:outlineLvl w:val="2"/>
        <w:rPr>
          <w:rFonts w:ascii="Times New Roman" w:hAnsi="Times New Roman" w:cs="Times New Roman"/>
          <w:sz w:val="24"/>
          <w:szCs w:val="24"/>
        </w:rPr>
      </w:pPr>
    </w:p>
    <w:p w14:paraId="20D5F5B8" w14:textId="77777777" w:rsidR="00C82C03" w:rsidRPr="00C82C03" w:rsidRDefault="00C82C03" w:rsidP="00C82C03">
      <w:pPr>
        <w:rPr>
          <w:rFonts w:ascii="Times New Roman" w:hAnsi="Times New Roman" w:cs="Times New Roman"/>
          <w:sz w:val="24"/>
          <w:szCs w:val="24"/>
        </w:rPr>
      </w:pPr>
    </w:p>
    <w:p w14:paraId="00E7EDD2" w14:textId="77777777" w:rsidR="00C82C03" w:rsidRPr="00C82C03" w:rsidRDefault="00C82C03" w:rsidP="00C82C03">
      <w:pPr>
        <w:rPr>
          <w:rFonts w:ascii="Times New Roman" w:hAnsi="Times New Roman" w:cs="Times New Roman"/>
          <w:sz w:val="24"/>
          <w:szCs w:val="24"/>
        </w:rPr>
      </w:pPr>
    </w:p>
    <w:p w14:paraId="4B4DE904" w14:textId="77777777" w:rsidR="00C82C03" w:rsidRPr="00C82C03" w:rsidRDefault="00C82C03" w:rsidP="00C82C03">
      <w:pPr>
        <w:rPr>
          <w:rFonts w:ascii="Times New Roman" w:hAnsi="Times New Roman" w:cs="Times New Roman"/>
          <w:sz w:val="24"/>
          <w:szCs w:val="24"/>
        </w:rPr>
      </w:pPr>
    </w:p>
    <w:p w14:paraId="68A87927" w14:textId="77777777" w:rsidR="00C82C03" w:rsidRPr="00C82C03" w:rsidRDefault="00C82C03" w:rsidP="00C82C03">
      <w:pPr>
        <w:rPr>
          <w:rFonts w:ascii="Times New Roman" w:hAnsi="Times New Roman" w:cs="Times New Roman"/>
          <w:sz w:val="24"/>
          <w:szCs w:val="24"/>
        </w:rPr>
      </w:pPr>
    </w:p>
    <w:p w14:paraId="0CA6207A" w14:textId="77777777" w:rsidR="00C82C03" w:rsidRPr="00C82C03" w:rsidRDefault="00C82C03" w:rsidP="00C82C03">
      <w:pPr>
        <w:rPr>
          <w:rFonts w:ascii="Times New Roman" w:hAnsi="Times New Roman" w:cs="Times New Roman"/>
          <w:sz w:val="24"/>
          <w:szCs w:val="24"/>
        </w:rPr>
      </w:pPr>
    </w:p>
    <w:p w14:paraId="060DACA2" w14:textId="77777777" w:rsidR="00C82C03" w:rsidRPr="00C82C03" w:rsidRDefault="00C82C03" w:rsidP="00C82C03">
      <w:pPr>
        <w:rPr>
          <w:rFonts w:ascii="Times New Roman" w:hAnsi="Times New Roman" w:cs="Times New Roman"/>
          <w:sz w:val="24"/>
          <w:szCs w:val="24"/>
        </w:rPr>
      </w:pPr>
    </w:p>
    <w:p w14:paraId="23141267" w14:textId="77777777" w:rsidR="00C82C03" w:rsidRPr="00C82C03" w:rsidRDefault="00C82C03" w:rsidP="00C82C03">
      <w:pPr>
        <w:rPr>
          <w:rFonts w:ascii="Times New Roman" w:hAnsi="Times New Roman" w:cs="Times New Roman"/>
          <w:sz w:val="24"/>
          <w:szCs w:val="24"/>
        </w:rPr>
      </w:pPr>
    </w:p>
    <w:p w14:paraId="6EAD1A43" w14:textId="77777777" w:rsidR="00C82C03" w:rsidRPr="00C82C03" w:rsidRDefault="00C82C03" w:rsidP="00C82C03">
      <w:pPr>
        <w:rPr>
          <w:rFonts w:ascii="Times New Roman" w:hAnsi="Times New Roman" w:cs="Times New Roman"/>
          <w:sz w:val="24"/>
          <w:szCs w:val="24"/>
        </w:rPr>
      </w:pPr>
    </w:p>
    <w:p w14:paraId="73B92D74" w14:textId="77777777" w:rsidR="00C82C03" w:rsidRPr="00C82C03" w:rsidRDefault="00C82C03" w:rsidP="00C82C03">
      <w:pPr>
        <w:rPr>
          <w:rFonts w:ascii="Times New Roman" w:hAnsi="Times New Roman" w:cs="Times New Roman"/>
          <w:sz w:val="24"/>
          <w:szCs w:val="24"/>
        </w:rPr>
      </w:pPr>
    </w:p>
    <w:p w14:paraId="1B503E9D" w14:textId="77777777" w:rsidR="00C82C03" w:rsidRPr="00C82C03" w:rsidRDefault="00C82C03" w:rsidP="00C82C03">
      <w:pPr>
        <w:rPr>
          <w:rFonts w:ascii="Times New Roman" w:hAnsi="Times New Roman" w:cs="Times New Roman"/>
          <w:sz w:val="24"/>
          <w:szCs w:val="24"/>
        </w:rPr>
      </w:pPr>
    </w:p>
    <w:p w14:paraId="495E96C1" w14:textId="77777777" w:rsidR="00C82C03" w:rsidRPr="00C82C03" w:rsidRDefault="00C82C03" w:rsidP="00C82C03">
      <w:pPr>
        <w:rPr>
          <w:rFonts w:ascii="Times New Roman" w:hAnsi="Times New Roman" w:cs="Times New Roman"/>
          <w:sz w:val="24"/>
          <w:szCs w:val="24"/>
        </w:rPr>
      </w:pPr>
    </w:p>
    <w:p w14:paraId="05FCC08F" w14:textId="77777777" w:rsidR="00C82C03" w:rsidRPr="00C82C03" w:rsidRDefault="00C82C03" w:rsidP="00C82C03">
      <w:pPr>
        <w:rPr>
          <w:rFonts w:ascii="Times New Roman" w:hAnsi="Times New Roman" w:cs="Times New Roman"/>
          <w:sz w:val="24"/>
          <w:szCs w:val="24"/>
        </w:rPr>
      </w:pPr>
    </w:p>
    <w:p w14:paraId="14A1A404" w14:textId="77777777" w:rsidR="00C82C03" w:rsidRDefault="00C82C03" w:rsidP="00AE7EEE">
      <w:pPr>
        <w:spacing w:before="100" w:beforeAutospacing="1" w:after="100" w:afterAutospacing="1" w:line="240" w:lineRule="auto"/>
        <w:outlineLvl w:val="2"/>
        <w:rPr>
          <w:rFonts w:ascii="Times New Roman" w:hAnsi="Times New Roman" w:cs="Times New Roman"/>
          <w:sz w:val="24"/>
          <w:szCs w:val="24"/>
        </w:rPr>
      </w:pPr>
    </w:p>
    <w:p w14:paraId="1EB2B7DA" w14:textId="77777777" w:rsidR="00C82C03" w:rsidRDefault="00C82C03" w:rsidP="00AE7EEE">
      <w:pPr>
        <w:spacing w:before="100" w:beforeAutospacing="1" w:after="100" w:afterAutospacing="1" w:line="240" w:lineRule="auto"/>
        <w:outlineLvl w:val="2"/>
        <w:rPr>
          <w:rFonts w:ascii="Times New Roman" w:hAnsi="Times New Roman" w:cs="Times New Roman"/>
          <w:sz w:val="24"/>
          <w:szCs w:val="24"/>
        </w:rPr>
      </w:pPr>
    </w:p>
    <w:p w14:paraId="45EEBA1B" w14:textId="77777777" w:rsidR="00C82C03" w:rsidRDefault="00C82C03" w:rsidP="00AE7EEE">
      <w:pPr>
        <w:spacing w:before="100" w:beforeAutospacing="1" w:after="100" w:afterAutospacing="1" w:line="240" w:lineRule="auto"/>
        <w:outlineLvl w:val="2"/>
        <w:rPr>
          <w:rFonts w:ascii="Times New Roman" w:hAnsi="Times New Roman" w:cs="Times New Roman"/>
          <w:sz w:val="24"/>
          <w:szCs w:val="24"/>
        </w:rPr>
      </w:pPr>
    </w:p>
    <w:p w14:paraId="2A02D927" w14:textId="77777777" w:rsidR="00C82C03" w:rsidRDefault="00C82C03" w:rsidP="00AE7EEE">
      <w:pPr>
        <w:spacing w:before="100" w:beforeAutospacing="1" w:after="100" w:afterAutospacing="1" w:line="240" w:lineRule="auto"/>
        <w:outlineLvl w:val="2"/>
        <w:rPr>
          <w:rFonts w:ascii="Times New Roman" w:hAnsi="Times New Roman" w:cs="Times New Roman"/>
          <w:sz w:val="24"/>
          <w:szCs w:val="24"/>
        </w:rPr>
      </w:pPr>
    </w:p>
    <w:p w14:paraId="233A31A6" w14:textId="77777777" w:rsidR="00C82C03" w:rsidRDefault="00C82C03" w:rsidP="00AE7EEE">
      <w:pPr>
        <w:spacing w:before="100" w:beforeAutospacing="1" w:after="100" w:afterAutospacing="1" w:line="240" w:lineRule="auto"/>
        <w:outlineLvl w:val="2"/>
        <w:rPr>
          <w:rFonts w:ascii="Times New Roman" w:hAnsi="Times New Roman" w:cs="Times New Roman"/>
          <w:sz w:val="24"/>
          <w:szCs w:val="24"/>
        </w:rPr>
      </w:pPr>
    </w:p>
    <w:p w14:paraId="4F12A796" w14:textId="0BBE4D93" w:rsidR="00AE7EEE" w:rsidRPr="00D057C5" w:rsidRDefault="000D7B2B" w:rsidP="00AE7EE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C82C03">
        <w:rPr>
          <w:rFonts w:ascii="Times New Roman" w:hAnsi="Times New Roman" w:cs="Times New Roman"/>
          <w:sz w:val="24"/>
          <w:szCs w:val="24"/>
        </w:rPr>
        <w:br w:type="page"/>
      </w:r>
      <w:bookmarkStart w:id="0" w:name="_Toc211186121"/>
      <w:r w:rsidR="00AE7EEE" w:rsidRPr="00D057C5">
        <w:rPr>
          <w:rFonts w:ascii="Times New Roman" w:eastAsia="Times New Roman" w:hAnsi="Times New Roman" w:cs="Times New Roman"/>
          <w:b/>
          <w:bCs/>
          <w:sz w:val="27"/>
          <w:szCs w:val="27"/>
          <w:lang w:eastAsia="en-GB"/>
        </w:rPr>
        <w:lastRenderedPageBreak/>
        <w:t>1. Introduction</w:t>
      </w:r>
      <w:bookmarkEnd w:id="0"/>
    </w:p>
    <w:p w14:paraId="19B4045B" w14:textId="1AA41CB3"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 xml:space="preserve">Unilever PLC is a </w:t>
      </w:r>
      <w:r w:rsidR="009B5545" w:rsidRPr="00D057C5">
        <w:rPr>
          <w:rFonts w:ascii="Times New Roman" w:eastAsia="Times New Roman" w:hAnsi="Times New Roman" w:cs="Times New Roman"/>
          <w:lang w:eastAsia="en-GB"/>
        </w:rPr>
        <w:t>British Dutch</w:t>
      </w:r>
      <w:r w:rsidRPr="00D057C5">
        <w:rPr>
          <w:rFonts w:ascii="Times New Roman" w:eastAsia="Times New Roman" w:hAnsi="Times New Roman" w:cs="Times New Roman"/>
          <w:lang w:eastAsia="en-GB"/>
        </w:rPr>
        <w:t xml:space="preserve"> multinational enterprise widely </w:t>
      </w:r>
      <w:proofErr w:type="spellStart"/>
      <w:r w:rsidRPr="00D057C5">
        <w:rPr>
          <w:rFonts w:ascii="Times New Roman" w:eastAsia="Times New Roman" w:hAnsi="Times New Roman" w:cs="Times New Roman"/>
          <w:lang w:eastAsia="en-GB"/>
        </w:rPr>
        <w:t>recognised</w:t>
      </w:r>
      <w:proofErr w:type="spellEnd"/>
      <w:r w:rsidRPr="00D057C5">
        <w:rPr>
          <w:rFonts w:ascii="Times New Roman" w:eastAsia="Times New Roman" w:hAnsi="Times New Roman" w:cs="Times New Roman"/>
          <w:lang w:eastAsia="en-GB"/>
        </w:rPr>
        <w:t xml:space="preserve"> as one of the world’s leading producers of fast-moving consumer goods (FMCG). Headquartered in London, Unilever operates across more than 190 countries and manages over 400 brands, including Dove, Persil, Knorr, Hellmann’s, and Ben &amp; Jerry’s (Unilever, 2025a). Its diverse portfolio covers personal care, home care, and nutrition segments, serving billions of consumers daily. In the UK, Unilever maintains a dominant market position supported by strong brand loyalty, an innovation-driven approach, and long-term sustainability commitments that align with its mission to make sustainable living commonplace.</w:t>
      </w:r>
    </w:p>
    <w:p w14:paraId="2A17C8E3"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 xml:space="preserve">Marketing plays a central role in Unilever’s success by shaping its global identity and responding to dynamic consumer and environmental changes. The company’s marketing philosophy integrates both global </w:t>
      </w:r>
      <w:proofErr w:type="spellStart"/>
      <w:r w:rsidRPr="00D057C5">
        <w:rPr>
          <w:rFonts w:ascii="Times New Roman" w:eastAsia="Times New Roman" w:hAnsi="Times New Roman" w:cs="Times New Roman"/>
          <w:lang w:eastAsia="en-GB"/>
        </w:rPr>
        <w:t>standardisation</w:t>
      </w:r>
      <w:proofErr w:type="spellEnd"/>
      <w:r w:rsidRPr="00D057C5">
        <w:rPr>
          <w:rFonts w:ascii="Times New Roman" w:eastAsia="Times New Roman" w:hAnsi="Times New Roman" w:cs="Times New Roman"/>
          <w:lang w:eastAsia="en-GB"/>
        </w:rPr>
        <w:t xml:space="preserve"> and local responsiveness, allowing it to maintain consistent brand values while catering to local tastes (Kotler &amp; Keller, 2016). This report uses the PESTLE framework to </w:t>
      </w:r>
      <w:proofErr w:type="spellStart"/>
      <w:r w:rsidRPr="00D057C5">
        <w:rPr>
          <w:rFonts w:ascii="Times New Roman" w:eastAsia="Times New Roman" w:hAnsi="Times New Roman" w:cs="Times New Roman"/>
          <w:lang w:eastAsia="en-GB"/>
        </w:rPr>
        <w:t>analyse</w:t>
      </w:r>
      <w:proofErr w:type="spellEnd"/>
      <w:r w:rsidRPr="00D057C5">
        <w:rPr>
          <w:rFonts w:ascii="Times New Roman" w:eastAsia="Times New Roman" w:hAnsi="Times New Roman" w:cs="Times New Roman"/>
          <w:lang w:eastAsia="en-GB"/>
        </w:rPr>
        <w:t xml:space="preserve"> macro-environmental influences shaping Unilever’s UK operations, followed by a detailed SWOT analysis that links internal strengths and weaknesses with external opportunities and threats. Together, these frameworks provide a comprehensive understanding of how Unilever’s marketing strategies evolve within a complex global landscape.</w:t>
      </w:r>
    </w:p>
    <w:p w14:paraId="6D827E49" w14:textId="24EDB248" w:rsidR="00AE7EEE" w:rsidRPr="00D057C5" w:rsidRDefault="00AE7EEE" w:rsidP="00AE7EEE">
      <w:pPr>
        <w:spacing w:after="0" w:line="240" w:lineRule="auto"/>
        <w:rPr>
          <w:rFonts w:ascii="Times New Roman" w:eastAsia="Times New Roman" w:hAnsi="Times New Roman" w:cs="Times New Roman"/>
          <w:lang w:eastAsia="en-GB"/>
        </w:rPr>
      </w:pPr>
    </w:p>
    <w:p w14:paraId="42339DD9" w14:textId="77777777" w:rsidR="00AE7EEE" w:rsidRPr="00D057C5" w:rsidRDefault="00AE7EEE" w:rsidP="00AE7EE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1" w:name="_Toc211186122"/>
      <w:r w:rsidRPr="00D057C5">
        <w:rPr>
          <w:rFonts w:ascii="Times New Roman" w:eastAsia="Times New Roman" w:hAnsi="Times New Roman" w:cs="Times New Roman"/>
          <w:b/>
          <w:bCs/>
          <w:sz w:val="27"/>
          <w:szCs w:val="27"/>
          <w:lang w:eastAsia="en-GB"/>
        </w:rPr>
        <w:t>2. Situational Analysis: PESTLE Framework</w:t>
      </w:r>
      <w:bookmarkEnd w:id="1"/>
    </w:p>
    <w:p w14:paraId="513B53E4" w14:textId="77777777" w:rsidR="00AE7EEE" w:rsidRPr="00D057C5" w:rsidRDefault="00AE7EEE" w:rsidP="00AE7EEE">
      <w:pPr>
        <w:spacing w:before="100" w:beforeAutospacing="1" w:after="100" w:afterAutospacing="1" w:line="240" w:lineRule="auto"/>
        <w:outlineLvl w:val="3"/>
        <w:rPr>
          <w:rFonts w:ascii="Times New Roman" w:eastAsia="Times New Roman" w:hAnsi="Times New Roman" w:cs="Times New Roman"/>
          <w:b/>
          <w:bCs/>
          <w:lang w:eastAsia="en-GB"/>
        </w:rPr>
      </w:pPr>
      <w:r w:rsidRPr="00D057C5">
        <w:rPr>
          <w:rFonts w:ascii="Times New Roman" w:eastAsia="Times New Roman" w:hAnsi="Times New Roman" w:cs="Times New Roman"/>
          <w:b/>
          <w:bCs/>
          <w:lang w:eastAsia="en-GB"/>
        </w:rPr>
        <w:t>2.1 Political Factors</w:t>
      </w:r>
    </w:p>
    <w:p w14:paraId="6C0E254C"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 xml:space="preserve">The UK’s relatively stable political environment supports multinational operations; however, post-Brexit trade regulations have increased supply chain costs and customs complexities (The Times, 2025). Divergence in EU and UK policies affects ingredient sourcing and workforce mobility. Additionally, government-led sustainability policies, including the Plastic Packaging Tax, compel Unilever to </w:t>
      </w:r>
      <w:proofErr w:type="spellStart"/>
      <w:r w:rsidRPr="00D057C5">
        <w:rPr>
          <w:rFonts w:ascii="Times New Roman" w:eastAsia="Times New Roman" w:hAnsi="Times New Roman" w:cs="Times New Roman"/>
          <w:lang w:eastAsia="en-GB"/>
        </w:rPr>
        <w:t>prioritise</w:t>
      </w:r>
      <w:proofErr w:type="spellEnd"/>
      <w:r w:rsidRPr="00D057C5">
        <w:rPr>
          <w:rFonts w:ascii="Times New Roman" w:eastAsia="Times New Roman" w:hAnsi="Times New Roman" w:cs="Times New Roman"/>
          <w:lang w:eastAsia="en-GB"/>
        </w:rPr>
        <w:t xml:space="preserve"> eco-innovation and green marketing campaigns (</w:t>
      </w:r>
      <w:proofErr w:type="spellStart"/>
      <w:r w:rsidRPr="00D057C5">
        <w:rPr>
          <w:rFonts w:ascii="Times New Roman" w:eastAsia="Times New Roman" w:hAnsi="Times New Roman" w:cs="Times New Roman"/>
          <w:lang w:eastAsia="en-GB"/>
        </w:rPr>
        <w:t>Panmore</w:t>
      </w:r>
      <w:proofErr w:type="spellEnd"/>
      <w:r w:rsidRPr="00D057C5">
        <w:rPr>
          <w:rFonts w:ascii="Times New Roman" w:eastAsia="Times New Roman" w:hAnsi="Times New Roman" w:cs="Times New Roman"/>
          <w:lang w:eastAsia="en-GB"/>
        </w:rPr>
        <w:t xml:space="preserve"> Institute, 2024).</w:t>
      </w:r>
    </w:p>
    <w:p w14:paraId="75B9BBC8" w14:textId="77777777" w:rsidR="00AE7EEE" w:rsidRPr="00D057C5" w:rsidRDefault="00AE7EEE" w:rsidP="00AE7EEE">
      <w:pPr>
        <w:spacing w:before="100" w:beforeAutospacing="1" w:after="100" w:afterAutospacing="1" w:line="240" w:lineRule="auto"/>
        <w:outlineLvl w:val="3"/>
        <w:rPr>
          <w:rFonts w:ascii="Times New Roman" w:eastAsia="Times New Roman" w:hAnsi="Times New Roman" w:cs="Times New Roman"/>
          <w:b/>
          <w:bCs/>
          <w:lang w:eastAsia="en-GB"/>
        </w:rPr>
      </w:pPr>
      <w:r w:rsidRPr="00D057C5">
        <w:rPr>
          <w:rFonts w:ascii="Times New Roman" w:eastAsia="Times New Roman" w:hAnsi="Times New Roman" w:cs="Times New Roman"/>
          <w:b/>
          <w:bCs/>
          <w:lang w:eastAsia="en-GB"/>
        </w:rPr>
        <w:t>2.2 Economic Factors</w:t>
      </w:r>
    </w:p>
    <w:p w14:paraId="7165EC80"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Unilever’s financial performance reflects wider economic trends. Inflation and fluctuating interest rates influence consumer spending and brand choices (Reuters, 2025). Despite volatility, Unilever recorded 3.4% underlying sales growth in 2025, demonstrating adaptability through value-for-money strategies (Unilever, 2025b). Premium product lines, such as Dove Derma Series, benefit from rising consumer confidence and preference for quality.</w:t>
      </w:r>
    </w:p>
    <w:p w14:paraId="6E2EECA6" w14:textId="77777777" w:rsidR="00AE7EEE" w:rsidRPr="00D057C5" w:rsidRDefault="00AE7EEE" w:rsidP="00AE7EEE">
      <w:pPr>
        <w:spacing w:before="100" w:beforeAutospacing="1" w:after="100" w:afterAutospacing="1" w:line="240" w:lineRule="auto"/>
        <w:outlineLvl w:val="3"/>
        <w:rPr>
          <w:rFonts w:ascii="Times New Roman" w:eastAsia="Times New Roman" w:hAnsi="Times New Roman" w:cs="Times New Roman"/>
          <w:b/>
          <w:bCs/>
          <w:lang w:eastAsia="en-GB"/>
        </w:rPr>
      </w:pPr>
      <w:r w:rsidRPr="00D057C5">
        <w:rPr>
          <w:rFonts w:ascii="Times New Roman" w:eastAsia="Times New Roman" w:hAnsi="Times New Roman" w:cs="Times New Roman"/>
          <w:b/>
          <w:bCs/>
          <w:lang w:eastAsia="en-GB"/>
        </w:rPr>
        <w:t>2.3 Social Factors</w:t>
      </w:r>
    </w:p>
    <w:p w14:paraId="193989C7"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 xml:space="preserve">British consumers increasingly value health, convenience, and ethical consumption. Growing awareness of sustainability and nutrition influences demand for responsibly produced products (Solomon, 2020). Unilever’s “Positive Nutrition” initiative reformulates food products to reduce salt, sugar, and fat (Unilever, 2025a). The social shift toward ‘affordable luxuries’ also supports innovation in premium everyday products, such as </w:t>
      </w:r>
      <w:proofErr w:type="spellStart"/>
      <w:r w:rsidRPr="00D057C5">
        <w:rPr>
          <w:rFonts w:ascii="Times New Roman" w:eastAsia="Times New Roman" w:hAnsi="Times New Roman" w:cs="Times New Roman"/>
          <w:lang w:eastAsia="en-GB"/>
        </w:rPr>
        <w:t>flavoured</w:t>
      </w:r>
      <w:proofErr w:type="spellEnd"/>
      <w:r w:rsidRPr="00D057C5">
        <w:rPr>
          <w:rFonts w:ascii="Times New Roman" w:eastAsia="Times New Roman" w:hAnsi="Times New Roman" w:cs="Times New Roman"/>
          <w:lang w:eastAsia="en-GB"/>
        </w:rPr>
        <w:t xml:space="preserve"> butters (The Guardian, 2025a).</w:t>
      </w:r>
    </w:p>
    <w:p w14:paraId="4F67594E" w14:textId="77777777" w:rsidR="00AE7EEE" w:rsidRPr="00D057C5" w:rsidRDefault="00AE7EEE" w:rsidP="00AE7EEE">
      <w:pPr>
        <w:spacing w:before="100" w:beforeAutospacing="1" w:after="100" w:afterAutospacing="1" w:line="240" w:lineRule="auto"/>
        <w:outlineLvl w:val="3"/>
        <w:rPr>
          <w:rFonts w:ascii="Times New Roman" w:eastAsia="Times New Roman" w:hAnsi="Times New Roman" w:cs="Times New Roman"/>
          <w:b/>
          <w:bCs/>
          <w:lang w:eastAsia="en-GB"/>
        </w:rPr>
      </w:pPr>
      <w:r w:rsidRPr="00D057C5">
        <w:rPr>
          <w:rFonts w:ascii="Times New Roman" w:eastAsia="Times New Roman" w:hAnsi="Times New Roman" w:cs="Times New Roman"/>
          <w:b/>
          <w:bCs/>
          <w:lang w:eastAsia="en-GB"/>
        </w:rPr>
        <w:t>2.4 Technological Factors</w:t>
      </w:r>
    </w:p>
    <w:p w14:paraId="4AD9E026"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lastRenderedPageBreak/>
        <w:t xml:space="preserve">Advances in artificial intelligence (AI), automation, and data analytics significantly improve Unilever’s marketing efficiency. AI-driven insights enable targeted segmentation and </w:t>
      </w:r>
      <w:proofErr w:type="spellStart"/>
      <w:r w:rsidRPr="00D057C5">
        <w:rPr>
          <w:rFonts w:ascii="Times New Roman" w:eastAsia="Times New Roman" w:hAnsi="Times New Roman" w:cs="Times New Roman"/>
          <w:lang w:eastAsia="en-GB"/>
        </w:rPr>
        <w:t>personalised</w:t>
      </w:r>
      <w:proofErr w:type="spellEnd"/>
      <w:r w:rsidRPr="00D057C5">
        <w:rPr>
          <w:rFonts w:ascii="Times New Roman" w:eastAsia="Times New Roman" w:hAnsi="Times New Roman" w:cs="Times New Roman"/>
          <w:lang w:eastAsia="en-GB"/>
        </w:rPr>
        <w:t xml:space="preserve"> consumer engagement (</w:t>
      </w:r>
      <w:proofErr w:type="spellStart"/>
      <w:r w:rsidRPr="00D057C5">
        <w:rPr>
          <w:rFonts w:ascii="Times New Roman" w:eastAsia="Times New Roman" w:hAnsi="Times New Roman" w:cs="Times New Roman"/>
          <w:lang w:eastAsia="en-GB"/>
        </w:rPr>
        <w:t>Panmore</w:t>
      </w:r>
      <w:proofErr w:type="spellEnd"/>
      <w:r w:rsidRPr="00D057C5">
        <w:rPr>
          <w:rFonts w:ascii="Times New Roman" w:eastAsia="Times New Roman" w:hAnsi="Times New Roman" w:cs="Times New Roman"/>
          <w:lang w:eastAsia="en-GB"/>
        </w:rPr>
        <w:t xml:space="preserve"> Institute, 2024). The company’s digital transformation, including e-commerce partnerships, ensures competitiveness in the fast-evolving retail environment.</w:t>
      </w:r>
    </w:p>
    <w:p w14:paraId="2378F157" w14:textId="77777777" w:rsidR="00AE7EEE" w:rsidRPr="00D057C5" w:rsidRDefault="00AE7EEE" w:rsidP="00AE7EEE">
      <w:pPr>
        <w:spacing w:before="100" w:beforeAutospacing="1" w:after="100" w:afterAutospacing="1" w:line="240" w:lineRule="auto"/>
        <w:outlineLvl w:val="3"/>
        <w:rPr>
          <w:rFonts w:ascii="Times New Roman" w:eastAsia="Times New Roman" w:hAnsi="Times New Roman" w:cs="Times New Roman"/>
          <w:b/>
          <w:bCs/>
          <w:lang w:eastAsia="en-GB"/>
        </w:rPr>
      </w:pPr>
      <w:r w:rsidRPr="00D057C5">
        <w:rPr>
          <w:rFonts w:ascii="Times New Roman" w:eastAsia="Times New Roman" w:hAnsi="Times New Roman" w:cs="Times New Roman"/>
          <w:b/>
          <w:bCs/>
          <w:lang w:eastAsia="en-GB"/>
        </w:rPr>
        <w:t>2.5 Legal Factors</w:t>
      </w:r>
    </w:p>
    <w:p w14:paraId="71CF60C8"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 xml:space="preserve">Unilever adheres to UK and EU-based regulations on advertising ethics, product safety, and </w:t>
      </w:r>
      <w:proofErr w:type="spellStart"/>
      <w:r w:rsidRPr="00D057C5">
        <w:rPr>
          <w:rFonts w:ascii="Times New Roman" w:eastAsia="Times New Roman" w:hAnsi="Times New Roman" w:cs="Times New Roman"/>
          <w:lang w:eastAsia="en-GB"/>
        </w:rPr>
        <w:t>labour</w:t>
      </w:r>
      <w:proofErr w:type="spellEnd"/>
      <w:r w:rsidRPr="00D057C5">
        <w:rPr>
          <w:rFonts w:ascii="Times New Roman" w:eastAsia="Times New Roman" w:hAnsi="Times New Roman" w:cs="Times New Roman"/>
          <w:lang w:eastAsia="en-GB"/>
        </w:rPr>
        <w:t xml:space="preserve"> standards. The Advertising Standards Authority (ASA) enforces strict guidelines on truthful environmental claims, influencing Unilever’s communication strategies (CIM, 2023). Legal compliance enhances consumer trust and safeguards reputation (Unilever, 2025c).</w:t>
      </w:r>
    </w:p>
    <w:p w14:paraId="3BC0D21E" w14:textId="77777777" w:rsidR="00AE7EEE" w:rsidRPr="00D057C5" w:rsidRDefault="00AE7EEE" w:rsidP="00AE7EEE">
      <w:pPr>
        <w:spacing w:before="100" w:beforeAutospacing="1" w:after="100" w:afterAutospacing="1" w:line="240" w:lineRule="auto"/>
        <w:outlineLvl w:val="3"/>
        <w:rPr>
          <w:rFonts w:ascii="Times New Roman" w:eastAsia="Times New Roman" w:hAnsi="Times New Roman" w:cs="Times New Roman"/>
          <w:b/>
          <w:bCs/>
          <w:lang w:eastAsia="en-GB"/>
        </w:rPr>
      </w:pPr>
      <w:r w:rsidRPr="00D057C5">
        <w:rPr>
          <w:rFonts w:ascii="Times New Roman" w:eastAsia="Times New Roman" w:hAnsi="Times New Roman" w:cs="Times New Roman"/>
          <w:b/>
          <w:bCs/>
          <w:lang w:eastAsia="en-GB"/>
        </w:rPr>
        <w:t>2.6 Environmental Factors</w:t>
      </w:r>
    </w:p>
    <w:p w14:paraId="6F498D4E"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Sustainability remains central to Unilever’s strategy. The company aims to reach net-zero emissions by 2039 and halve virgin-plastic use (Unilever, 2025a). Climate change and environmental awareness pressure firms to adopt greener sourcing and circular packaging systems. These initiatives reinforce Unilever’s market differentiation through environmental leadership.</w:t>
      </w:r>
    </w:p>
    <w:p w14:paraId="73BEE351" w14:textId="4DDD47ED" w:rsidR="00AE7EEE" w:rsidRPr="00D057C5" w:rsidRDefault="00AE7EEE" w:rsidP="00AE7EEE">
      <w:pPr>
        <w:spacing w:after="0" w:line="240" w:lineRule="auto"/>
        <w:rPr>
          <w:rFonts w:ascii="Times New Roman" w:eastAsia="Times New Roman" w:hAnsi="Times New Roman" w:cs="Times New Roman"/>
          <w:lang w:eastAsia="en-GB"/>
        </w:rPr>
      </w:pPr>
    </w:p>
    <w:p w14:paraId="7D238F89" w14:textId="77777777" w:rsidR="00AE7EEE" w:rsidRPr="00D057C5" w:rsidRDefault="00AE7EEE" w:rsidP="00AE7EE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2" w:name="_Toc211186123"/>
      <w:r w:rsidRPr="00D057C5">
        <w:rPr>
          <w:rFonts w:ascii="Times New Roman" w:eastAsia="Times New Roman" w:hAnsi="Times New Roman" w:cs="Times New Roman"/>
          <w:b/>
          <w:bCs/>
          <w:sz w:val="27"/>
          <w:szCs w:val="27"/>
          <w:lang w:eastAsia="en-GB"/>
        </w:rPr>
        <w:t>3. SWOT Analysis</w:t>
      </w:r>
      <w:bookmarkEnd w:id="2"/>
    </w:p>
    <w:p w14:paraId="58467760" w14:textId="77777777" w:rsidR="00AE7EEE" w:rsidRPr="00D057C5" w:rsidRDefault="00AE7EEE" w:rsidP="00AE7EEE">
      <w:pPr>
        <w:spacing w:before="100" w:beforeAutospacing="1" w:after="100" w:afterAutospacing="1" w:line="240" w:lineRule="auto"/>
        <w:outlineLvl w:val="3"/>
        <w:rPr>
          <w:rFonts w:ascii="Times New Roman" w:eastAsia="Times New Roman" w:hAnsi="Times New Roman" w:cs="Times New Roman"/>
          <w:b/>
          <w:bCs/>
          <w:lang w:eastAsia="en-GB"/>
        </w:rPr>
      </w:pPr>
      <w:r w:rsidRPr="00D057C5">
        <w:rPr>
          <w:rFonts w:ascii="Times New Roman" w:eastAsia="Times New Roman" w:hAnsi="Times New Roman" w:cs="Times New Roman"/>
          <w:b/>
          <w:bCs/>
          <w:lang w:eastAsia="en-GB"/>
        </w:rPr>
        <w:t>3.1 Strengths</w:t>
      </w:r>
    </w:p>
    <w:p w14:paraId="225E7A6A" w14:textId="77777777" w:rsidR="00AE7EEE" w:rsidRPr="00536669" w:rsidRDefault="00AE7EEE" w:rsidP="00AE7EEE">
      <w:pPr>
        <w:spacing w:before="100" w:beforeAutospacing="1" w:after="100" w:afterAutospacing="1" w:line="240" w:lineRule="auto"/>
        <w:rPr>
          <w:rFonts w:ascii="Times New Roman" w:eastAsia="Times New Roman" w:hAnsi="Times New Roman" w:cs="Times New Roman"/>
          <w:lang w:eastAsia="en-GB"/>
        </w:rPr>
      </w:pPr>
      <w:r w:rsidRPr="00536669">
        <w:rPr>
          <w:rFonts w:ascii="Times New Roman" w:eastAsia="Times New Roman" w:hAnsi="Times New Roman" w:cs="Times New Roman"/>
          <w:lang w:eastAsia="en-GB"/>
        </w:rPr>
        <w:t>Unilever’s primary strength lies in its diversified brand portfolio, encompassing over 400 trusted brands that appeal to a wide range of consumer demographics. Its global reach and marketing expertise allow economies of scale and cross-market innovation. The company’s strong commitment to sustainability enhances brand equity, aligning with evolving consumer values around ethical consumption (Unilever, 2025a). Furthermore, its technological capabilities in digital analytics and AI-driven marketing reinforce data-led decision-making, enabling precise targeting and efficiency in promotional campaigns. Financial stability and consistent R&amp;D investment also position Unilever to weather economic fluctuations.</w:t>
      </w:r>
    </w:p>
    <w:p w14:paraId="1D8AF480" w14:textId="77777777" w:rsidR="00AE7EEE" w:rsidRPr="00536669" w:rsidRDefault="00AE7EEE" w:rsidP="00AE7EEE">
      <w:pPr>
        <w:spacing w:before="100" w:beforeAutospacing="1" w:after="100" w:afterAutospacing="1" w:line="240" w:lineRule="auto"/>
        <w:outlineLvl w:val="3"/>
        <w:rPr>
          <w:rFonts w:ascii="Times New Roman" w:eastAsia="Times New Roman" w:hAnsi="Times New Roman" w:cs="Times New Roman"/>
          <w:lang w:eastAsia="en-GB"/>
        </w:rPr>
      </w:pPr>
      <w:r w:rsidRPr="00536669">
        <w:rPr>
          <w:rFonts w:ascii="Times New Roman" w:eastAsia="Times New Roman" w:hAnsi="Times New Roman" w:cs="Times New Roman"/>
          <w:lang w:eastAsia="en-GB"/>
        </w:rPr>
        <w:t>3.2 Weaknesses</w:t>
      </w:r>
    </w:p>
    <w:p w14:paraId="76D28A9E" w14:textId="77777777" w:rsidR="00AE7EEE" w:rsidRPr="00536669" w:rsidRDefault="00AE7EEE" w:rsidP="00AE7EEE">
      <w:pPr>
        <w:spacing w:before="100" w:beforeAutospacing="1" w:after="100" w:afterAutospacing="1" w:line="240" w:lineRule="auto"/>
        <w:rPr>
          <w:rFonts w:ascii="Times New Roman" w:eastAsia="Times New Roman" w:hAnsi="Times New Roman" w:cs="Times New Roman"/>
          <w:lang w:eastAsia="en-GB"/>
        </w:rPr>
      </w:pPr>
      <w:r w:rsidRPr="00536669">
        <w:rPr>
          <w:rFonts w:ascii="Times New Roman" w:eastAsia="Times New Roman" w:hAnsi="Times New Roman" w:cs="Times New Roman"/>
          <w:lang w:eastAsia="en-GB"/>
        </w:rPr>
        <w:t xml:space="preserve">Despite its success, Unilever faces several weaknesses. The firm’s large size and complex </w:t>
      </w:r>
      <w:proofErr w:type="spellStart"/>
      <w:r w:rsidRPr="00536669">
        <w:rPr>
          <w:rFonts w:ascii="Times New Roman" w:eastAsia="Times New Roman" w:hAnsi="Times New Roman" w:cs="Times New Roman"/>
          <w:lang w:eastAsia="en-GB"/>
        </w:rPr>
        <w:t>organisational</w:t>
      </w:r>
      <w:proofErr w:type="spellEnd"/>
      <w:r w:rsidRPr="00536669">
        <w:rPr>
          <w:rFonts w:ascii="Times New Roman" w:eastAsia="Times New Roman" w:hAnsi="Times New Roman" w:cs="Times New Roman"/>
          <w:lang w:eastAsia="en-GB"/>
        </w:rPr>
        <w:t xml:space="preserve"> structure can slow decision-making and innovation response. High product prices in certain premium categories limit competitiveness against cost-driven rivals. Additionally, dependence on mature markets like the UK and EU constrains growth potential compared to emerging markets. Some critics argue that despite sustainability commitments, greenwashing perceptions occasionally arise, risking brand authenticity (CIM, 2023).</w:t>
      </w:r>
    </w:p>
    <w:p w14:paraId="061CD17A" w14:textId="77777777" w:rsidR="00AE7EEE" w:rsidRPr="00536669" w:rsidRDefault="00AE7EEE" w:rsidP="00AE7EEE">
      <w:pPr>
        <w:spacing w:before="100" w:beforeAutospacing="1" w:after="100" w:afterAutospacing="1" w:line="240" w:lineRule="auto"/>
        <w:outlineLvl w:val="3"/>
        <w:rPr>
          <w:rFonts w:ascii="Times New Roman" w:eastAsia="Times New Roman" w:hAnsi="Times New Roman" w:cs="Times New Roman"/>
          <w:lang w:eastAsia="en-GB"/>
        </w:rPr>
      </w:pPr>
      <w:r w:rsidRPr="00536669">
        <w:rPr>
          <w:rFonts w:ascii="Times New Roman" w:eastAsia="Times New Roman" w:hAnsi="Times New Roman" w:cs="Times New Roman"/>
          <w:lang w:eastAsia="en-GB"/>
        </w:rPr>
        <w:t>3.3 Opportunities</w:t>
      </w:r>
    </w:p>
    <w:p w14:paraId="1A9CF563" w14:textId="77777777" w:rsidR="00AE7EEE" w:rsidRPr="00536669" w:rsidRDefault="00AE7EEE" w:rsidP="00AE7EEE">
      <w:pPr>
        <w:spacing w:before="100" w:beforeAutospacing="1" w:after="100" w:afterAutospacing="1" w:line="240" w:lineRule="auto"/>
        <w:rPr>
          <w:rFonts w:ascii="Times New Roman" w:eastAsia="Times New Roman" w:hAnsi="Times New Roman" w:cs="Times New Roman"/>
          <w:lang w:eastAsia="en-GB"/>
        </w:rPr>
      </w:pPr>
      <w:r w:rsidRPr="00536669">
        <w:rPr>
          <w:rFonts w:ascii="Times New Roman" w:eastAsia="Times New Roman" w:hAnsi="Times New Roman" w:cs="Times New Roman"/>
          <w:lang w:eastAsia="en-GB"/>
        </w:rPr>
        <w:t xml:space="preserve">Unilever has substantial opportunities to expand its digital and e-commerce footprint through AI-enabled </w:t>
      </w:r>
      <w:proofErr w:type="spellStart"/>
      <w:r w:rsidRPr="00536669">
        <w:rPr>
          <w:rFonts w:ascii="Times New Roman" w:eastAsia="Times New Roman" w:hAnsi="Times New Roman" w:cs="Times New Roman"/>
          <w:lang w:eastAsia="en-GB"/>
        </w:rPr>
        <w:t>personalisation</w:t>
      </w:r>
      <w:proofErr w:type="spellEnd"/>
      <w:r w:rsidRPr="00536669">
        <w:rPr>
          <w:rFonts w:ascii="Times New Roman" w:eastAsia="Times New Roman" w:hAnsi="Times New Roman" w:cs="Times New Roman"/>
          <w:lang w:eastAsia="en-GB"/>
        </w:rPr>
        <w:t xml:space="preserve"> and direct-to-consumer platforms. The rising demand for sustainable, plant-based, and health-oriented products provides scope for innovation in food and personal care categories. Strengthening partnerships with ethical suppliers can also enhance transparency and supply-chain </w:t>
      </w:r>
      <w:r w:rsidRPr="00536669">
        <w:rPr>
          <w:rFonts w:ascii="Times New Roman" w:eastAsia="Times New Roman" w:hAnsi="Times New Roman" w:cs="Times New Roman"/>
          <w:lang w:eastAsia="en-GB"/>
        </w:rPr>
        <w:lastRenderedPageBreak/>
        <w:t>resilience. Moreover, growing social awareness of corporate responsibility positions Unilever to lead in sustainability-driven marketing campaigns that reinforce competitive advantage (Porter, 1985).</w:t>
      </w:r>
    </w:p>
    <w:p w14:paraId="127E960F" w14:textId="77777777" w:rsidR="00AE7EEE" w:rsidRPr="00536669" w:rsidRDefault="00AE7EEE" w:rsidP="00AE7EEE">
      <w:pPr>
        <w:spacing w:before="100" w:beforeAutospacing="1" w:after="100" w:afterAutospacing="1" w:line="240" w:lineRule="auto"/>
        <w:outlineLvl w:val="3"/>
        <w:rPr>
          <w:rFonts w:ascii="Times New Roman" w:eastAsia="Times New Roman" w:hAnsi="Times New Roman" w:cs="Times New Roman"/>
          <w:lang w:eastAsia="en-GB"/>
        </w:rPr>
      </w:pPr>
      <w:r w:rsidRPr="00536669">
        <w:rPr>
          <w:rFonts w:ascii="Times New Roman" w:eastAsia="Times New Roman" w:hAnsi="Times New Roman" w:cs="Times New Roman"/>
          <w:lang w:eastAsia="en-GB"/>
        </w:rPr>
        <w:t>3.4 Threats</w:t>
      </w:r>
    </w:p>
    <w:p w14:paraId="1D4F6EAE" w14:textId="225242A4" w:rsidR="00AE7EEE" w:rsidRPr="00536669" w:rsidRDefault="00AE7EEE" w:rsidP="00AE7EEE">
      <w:pPr>
        <w:spacing w:before="100" w:beforeAutospacing="1" w:after="100" w:afterAutospacing="1" w:line="240" w:lineRule="auto"/>
        <w:rPr>
          <w:rFonts w:ascii="Times New Roman" w:eastAsia="Times New Roman" w:hAnsi="Times New Roman" w:cs="Times New Roman"/>
          <w:lang w:eastAsia="en-GB"/>
        </w:rPr>
      </w:pPr>
      <w:r w:rsidRPr="00536669">
        <w:rPr>
          <w:rFonts w:ascii="Times New Roman" w:eastAsia="Times New Roman" w:hAnsi="Times New Roman" w:cs="Times New Roman"/>
          <w:lang w:eastAsia="en-GB"/>
        </w:rPr>
        <w:t>Unilever operates in a highly competitive FMCG industry dominated by global players such as Procter &amp; Gamble and Nestlé. Price wars and brand imitation reduce profit margins. External threats include economic instability, currency fluctuations, and raw material cost volatility (Reuters, 2025). Rising energy prices and environmental regulations also elevate production costs. Furthermore, changing consumer loyalty</w:t>
      </w:r>
      <w:r w:rsidR="00B86824" w:rsidRPr="00536669">
        <w:rPr>
          <w:rFonts w:ascii="Times New Roman" w:eastAsia="Times New Roman" w:hAnsi="Times New Roman" w:cs="Times New Roman"/>
          <w:lang w:eastAsia="en-GB"/>
        </w:rPr>
        <w:t xml:space="preserve"> </w:t>
      </w:r>
      <w:r w:rsidRPr="00536669">
        <w:rPr>
          <w:rFonts w:ascii="Times New Roman" w:eastAsia="Times New Roman" w:hAnsi="Times New Roman" w:cs="Times New Roman"/>
          <w:lang w:eastAsia="en-GB"/>
        </w:rPr>
        <w:t>influenced by social media trends and new entrants</w:t>
      </w:r>
      <w:r w:rsidR="00B86824" w:rsidRPr="00536669">
        <w:rPr>
          <w:rFonts w:ascii="Times New Roman" w:eastAsia="Times New Roman" w:hAnsi="Times New Roman" w:cs="Times New Roman"/>
          <w:lang w:eastAsia="en-GB"/>
        </w:rPr>
        <w:t xml:space="preserve"> </w:t>
      </w:r>
      <w:r w:rsidRPr="00536669">
        <w:rPr>
          <w:rFonts w:ascii="Times New Roman" w:eastAsia="Times New Roman" w:hAnsi="Times New Roman" w:cs="Times New Roman"/>
          <w:lang w:eastAsia="en-GB"/>
        </w:rPr>
        <w:t>requires constant innovation and marketing agility. Cybersecurity risks associated with increased digital operations also pose emerging threats.</w:t>
      </w:r>
    </w:p>
    <w:p w14:paraId="0B55C9A7" w14:textId="3D1D2BC9" w:rsidR="00AE7EEE" w:rsidRPr="00536669" w:rsidRDefault="00AE7EEE" w:rsidP="00AE7EEE">
      <w:pPr>
        <w:spacing w:after="0" w:line="240" w:lineRule="auto"/>
        <w:rPr>
          <w:rFonts w:ascii="Times New Roman" w:eastAsia="Times New Roman" w:hAnsi="Times New Roman" w:cs="Times New Roman"/>
          <w:lang w:eastAsia="en-GB"/>
        </w:rPr>
      </w:pPr>
    </w:p>
    <w:p w14:paraId="7525C73C" w14:textId="77777777" w:rsidR="00AE7EEE" w:rsidRPr="00536669" w:rsidRDefault="00AE7EEE" w:rsidP="00AE7EEE">
      <w:pPr>
        <w:spacing w:before="100" w:beforeAutospacing="1" w:after="100" w:afterAutospacing="1" w:line="240" w:lineRule="auto"/>
        <w:outlineLvl w:val="2"/>
        <w:rPr>
          <w:rFonts w:ascii="Times New Roman" w:eastAsia="Times New Roman" w:hAnsi="Times New Roman" w:cs="Times New Roman"/>
          <w:sz w:val="27"/>
          <w:szCs w:val="27"/>
          <w:lang w:eastAsia="en-GB"/>
        </w:rPr>
      </w:pPr>
      <w:bookmarkStart w:id="3" w:name="_Toc211186124"/>
      <w:r w:rsidRPr="00536669">
        <w:rPr>
          <w:rFonts w:ascii="Times New Roman" w:eastAsia="Times New Roman" w:hAnsi="Times New Roman" w:cs="Times New Roman"/>
          <w:sz w:val="27"/>
          <w:szCs w:val="27"/>
          <w:lang w:eastAsia="en-GB"/>
        </w:rPr>
        <w:t>4. Critical Analysis and Evaluation</w:t>
      </w:r>
      <w:bookmarkEnd w:id="3"/>
    </w:p>
    <w:p w14:paraId="45593225" w14:textId="77777777" w:rsidR="00AE7EEE" w:rsidRPr="00536669" w:rsidRDefault="00AE7EEE" w:rsidP="00AE7EEE">
      <w:pPr>
        <w:spacing w:before="100" w:beforeAutospacing="1" w:after="100" w:afterAutospacing="1" w:line="240" w:lineRule="auto"/>
        <w:rPr>
          <w:rFonts w:ascii="Times New Roman" w:eastAsia="Times New Roman" w:hAnsi="Times New Roman" w:cs="Times New Roman"/>
          <w:lang w:eastAsia="en-GB"/>
        </w:rPr>
      </w:pPr>
      <w:r w:rsidRPr="00536669">
        <w:rPr>
          <w:rFonts w:ascii="Times New Roman" w:eastAsia="Times New Roman" w:hAnsi="Times New Roman" w:cs="Times New Roman"/>
          <w:lang w:eastAsia="en-GB"/>
        </w:rPr>
        <w:t xml:space="preserve">The combined PESTLE and SWOT analyses illustrate Unilever’s ability to integrate internal strengths with external opportunities while managing threats and weaknesses. According to Porter (1985), sustainable advantage arises from effectively aligning </w:t>
      </w:r>
      <w:proofErr w:type="spellStart"/>
      <w:r w:rsidRPr="00536669">
        <w:rPr>
          <w:rFonts w:ascii="Times New Roman" w:eastAsia="Times New Roman" w:hAnsi="Times New Roman" w:cs="Times New Roman"/>
          <w:lang w:eastAsia="en-GB"/>
        </w:rPr>
        <w:t>organisational</w:t>
      </w:r>
      <w:proofErr w:type="spellEnd"/>
      <w:r w:rsidRPr="00536669">
        <w:rPr>
          <w:rFonts w:ascii="Times New Roman" w:eastAsia="Times New Roman" w:hAnsi="Times New Roman" w:cs="Times New Roman"/>
          <w:lang w:eastAsia="en-GB"/>
        </w:rPr>
        <w:t xml:space="preserve"> capabilities with environmental conditions. Politically, Unilever’s proactive engagement with UK sustainability policies enhances legitimacy and reduces compliance risks. Economically, its adaptive pricing and diversified portfolio support resilience across both premium and value markets. Socially and environmentally, its focus on nutrition, ethics, and sustainability creates long-term brand loyalty and market differentiation.</w:t>
      </w:r>
    </w:p>
    <w:p w14:paraId="09E59E45" w14:textId="77777777" w:rsidR="00AE7EEE" w:rsidRPr="00536669" w:rsidRDefault="00AE7EEE" w:rsidP="00AE7EEE">
      <w:pPr>
        <w:spacing w:before="100" w:beforeAutospacing="1" w:after="100" w:afterAutospacing="1" w:line="240" w:lineRule="auto"/>
        <w:rPr>
          <w:rFonts w:ascii="Times New Roman" w:eastAsia="Times New Roman" w:hAnsi="Times New Roman" w:cs="Times New Roman"/>
          <w:lang w:eastAsia="en-GB"/>
        </w:rPr>
      </w:pPr>
      <w:r w:rsidRPr="00536669">
        <w:rPr>
          <w:rFonts w:ascii="Times New Roman" w:eastAsia="Times New Roman" w:hAnsi="Times New Roman" w:cs="Times New Roman"/>
          <w:lang w:eastAsia="en-GB"/>
        </w:rPr>
        <w:t xml:space="preserve">Technological investment in AI and digital marketing exemplifies the dynamic capabilities framework (Teece et al., 1997), ensuring strategic flexibility and responsiveness to market shifts. However, maintaining competitiveness requires continuous innovation to overcome bureaucratic inertia and price-based competition. Overall, Unilever’s marketing strategy reflects a balanced approach combining profit-driven growth with corporate responsibility, aligning with the market orientation theory of </w:t>
      </w:r>
      <w:proofErr w:type="spellStart"/>
      <w:r w:rsidRPr="00536669">
        <w:rPr>
          <w:rFonts w:ascii="Times New Roman" w:eastAsia="Times New Roman" w:hAnsi="Times New Roman" w:cs="Times New Roman"/>
          <w:lang w:eastAsia="en-GB"/>
        </w:rPr>
        <w:t>Narver</w:t>
      </w:r>
      <w:proofErr w:type="spellEnd"/>
      <w:r w:rsidRPr="00536669">
        <w:rPr>
          <w:rFonts w:ascii="Times New Roman" w:eastAsia="Times New Roman" w:hAnsi="Times New Roman" w:cs="Times New Roman"/>
          <w:lang w:eastAsia="en-GB"/>
        </w:rPr>
        <w:t xml:space="preserve"> and Slater (1990).</w:t>
      </w:r>
    </w:p>
    <w:p w14:paraId="48F574F6" w14:textId="23258BF2" w:rsidR="00AE7EEE" w:rsidRPr="00536669" w:rsidRDefault="00AE7EEE" w:rsidP="00AE7EEE">
      <w:pPr>
        <w:spacing w:after="0" w:line="240" w:lineRule="auto"/>
        <w:rPr>
          <w:rFonts w:ascii="Times New Roman" w:eastAsia="Times New Roman" w:hAnsi="Times New Roman" w:cs="Times New Roman"/>
          <w:lang w:eastAsia="en-GB"/>
        </w:rPr>
      </w:pPr>
    </w:p>
    <w:p w14:paraId="0B94EE8B" w14:textId="77777777" w:rsidR="00AE7EEE" w:rsidRPr="00536669" w:rsidRDefault="00AE7EEE" w:rsidP="00AE7EEE">
      <w:pPr>
        <w:spacing w:before="100" w:beforeAutospacing="1" w:after="100" w:afterAutospacing="1" w:line="240" w:lineRule="auto"/>
        <w:outlineLvl w:val="2"/>
        <w:rPr>
          <w:rFonts w:ascii="Times New Roman" w:eastAsia="Times New Roman" w:hAnsi="Times New Roman" w:cs="Times New Roman"/>
          <w:sz w:val="27"/>
          <w:szCs w:val="27"/>
          <w:lang w:eastAsia="en-GB"/>
        </w:rPr>
      </w:pPr>
      <w:bookmarkStart w:id="4" w:name="_Toc211186125"/>
      <w:r w:rsidRPr="00536669">
        <w:rPr>
          <w:rFonts w:ascii="Times New Roman" w:eastAsia="Times New Roman" w:hAnsi="Times New Roman" w:cs="Times New Roman"/>
          <w:sz w:val="27"/>
          <w:szCs w:val="27"/>
          <w:lang w:eastAsia="en-GB"/>
        </w:rPr>
        <w:t>5. Conclusion and Recommendations</w:t>
      </w:r>
      <w:bookmarkEnd w:id="4"/>
    </w:p>
    <w:p w14:paraId="6B8FF08F" w14:textId="77777777" w:rsidR="00AE7EEE" w:rsidRPr="00536669" w:rsidRDefault="00AE7EEE" w:rsidP="00AE7EEE">
      <w:pPr>
        <w:spacing w:before="100" w:beforeAutospacing="1" w:after="100" w:afterAutospacing="1" w:line="240" w:lineRule="auto"/>
        <w:rPr>
          <w:rFonts w:ascii="Times New Roman" w:eastAsia="Times New Roman" w:hAnsi="Times New Roman" w:cs="Times New Roman"/>
          <w:lang w:eastAsia="en-GB"/>
        </w:rPr>
      </w:pPr>
      <w:r w:rsidRPr="00536669">
        <w:rPr>
          <w:rFonts w:ascii="Times New Roman" w:eastAsia="Times New Roman" w:hAnsi="Times New Roman" w:cs="Times New Roman"/>
          <w:lang w:eastAsia="en-GB"/>
        </w:rPr>
        <w:t>This report demonstrates that Unilever’s marketing success in the UK stems from its ability to adapt internal capabilities to external macro-environmental forces. The PESTLE and SWOT frameworks together highlight the interdependence between political stability, economic resilience, social transformation, and environmental sustainability. Unilever’s strengths in brand equity, technological capability, and ethical positioning enable it to manage complex global challenges effectively.</w:t>
      </w:r>
    </w:p>
    <w:p w14:paraId="0C0C8248" w14:textId="77777777" w:rsidR="00AE7EEE" w:rsidRPr="00536669" w:rsidRDefault="00AE7EEE" w:rsidP="00AE7EEE">
      <w:pPr>
        <w:spacing w:before="100" w:beforeAutospacing="1" w:after="100" w:afterAutospacing="1" w:line="240" w:lineRule="auto"/>
        <w:rPr>
          <w:rFonts w:ascii="Times New Roman" w:eastAsia="Times New Roman" w:hAnsi="Times New Roman" w:cs="Times New Roman"/>
          <w:lang w:eastAsia="en-GB"/>
        </w:rPr>
      </w:pPr>
      <w:r w:rsidRPr="00536669">
        <w:rPr>
          <w:rFonts w:ascii="Times New Roman" w:eastAsia="Times New Roman" w:hAnsi="Times New Roman" w:cs="Times New Roman"/>
          <w:lang w:eastAsia="en-GB"/>
        </w:rPr>
        <w:t>However, maintaining competitive advantage requires addressing internal limitations and seizing emerging market opportunities. To ensure continued success, the following recommendations are proposed:</w:t>
      </w:r>
    </w:p>
    <w:p w14:paraId="56EEC006" w14:textId="77777777" w:rsidR="00AE7EEE" w:rsidRPr="00536669" w:rsidRDefault="00AE7EEE" w:rsidP="00AE7EEE">
      <w:pPr>
        <w:numPr>
          <w:ilvl w:val="0"/>
          <w:numId w:val="10"/>
        </w:numPr>
        <w:spacing w:before="100" w:beforeAutospacing="1" w:after="100" w:afterAutospacing="1" w:line="240" w:lineRule="auto"/>
        <w:rPr>
          <w:rFonts w:ascii="Times New Roman" w:eastAsia="Times New Roman" w:hAnsi="Times New Roman" w:cs="Times New Roman"/>
          <w:lang w:eastAsia="en-GB"/>
        </w:rPr>
      </w:pPr>
      <w:r w:rsidRPr="00536669">
        <w:rPr>
          <w:rFonts w:ascii="Times New Roman" w:eastAsia="Times New Roman" w:hAnsi="Times New Roman" w:cs="Times New Roman"/>
          <w:lang w:eastAsia="en-GB"/>
        </w:rPr>
        <w:t xml:space="preserve">Enhance Digital Engagement: Expand AI-based data analytics, </w:t>
      </w:r>
      <w:proofErr w:type="spellStart"/>
      <w:r w:rsidRPr="00536669">
        <w:rPr>
          <w:rFonts w:ascii="Times New Roman" w:eastAsia="Times New Roman" w:hAnsi="Times New Roman" w:cs="Times New Roman"/>
          <w:lang w:eastAsia="en-GB"/>
        </w:rPr>
        <w:t>personalised</w:t>
      </w:r>
      <w:proofErr w:type="spellEnd"/>
      <w:r w:rsidRPr="00536669">
        <w:rPr>
          <w:rFonts w:ascii="Times New Roman" w:eastAsia="Times New Roman" w:hAnsi="Times New Roman" w:cs="Times New Roman"/>
          <w:lang w:eastAsia="en-GB"/>
        </w:rPr>
        <w:t xml:space="preserve"> digital marketing, and e-commerce channels to strengthen consumer relationships and increase online sales.</w:t>
      </w:r>
    </w:p>
    <w:p w14:paraId="2049850B" w14:textId="77777777" w:rsidR="00AE7EEE" w:rsidRPr="00536669" w:rsidRDefault="00AE7EEE" w:rsidP="00AE7EEE">
      <w:pPr>
        <w:numPr>
          <w:ilvl w:val="0"/>
          <w:numId w:val="10"/>
        </w:numPr>
        <w:spacing w:before="100" w:beforeAutospacing="1" w:after="100" w:afterAutospacing="1" w:line="240" w:lineRule="auto"/>
        <w:rPr>
          <w:rFonts w:ascii="Times New Roman" w:eastAsia="Times New Roman" w:hAnsi="Times New Roman" w:cs="Times New Roman"/>
          <w:lang w:eastAsia="en-GB"/>
        </w:rPr>
      </w:pPr>
      <w:r w:rsidRPr="00536669">
        <w:rPr>
          <w:rFonts w:ascii="Times New Roman" w:eastAsia="Times New Roman" w:hAnsi="Times New Roman" w:cs="Times New Roman"/>
          <w:lang w:eastAsia="en-GB"/>
        </w:rPr>
        <w:lastRenderedPageBreak/>
        <w:t>Deepen Sustainability Commitments: Invest further in biodegradable and refillable packaging while improving transparency in environmental performance reporting to reinforce brand authenticity and meet government targets.</w:t>
      </w:r>
    </w:p>
    <w:p w14:paraId="3F81A8D3" w14:textId="77777777" w:rsidR="00AE7EEE" w:rsidRPr="00536669" w:rsidRDefault="00AE7EEE" w:rsidP="00AE7EEE">
      <w:pPr>
        <w:numPr>
          <w:ilvl w:val="0"/>
          <w:numId w:val="10"/>
        </w:numPr>
        <w:spacing w:before="100" w:beforeAutospacing="1" w:after="100" w:afterAutospacing="1" w:line="240" w:lineRule="auto"/>
        <w:rPr>
          <w:rFonts w:ascii="Times New Roman" w:eastAsia="Times New Roman" w:hAnsi="Times New Roman" w:cs="Times New Roman"/>
          <w:lang w:eastAsia="en-GB"/>
        </w:rPr>
      </w:pPr>
      <w:r w:rsidRPr="00536669">
        <w:rPr>
          <w:rFonts w:ascii="Times New Roman" w:eastAsia="Times New Roman" w:hAnsi="Times New Roman" w:cs="Times New Roman"/>
          <w:lang w:eastAsia="en-GB"/>
        </w:rPr>
        <w:t>Strengthen Agile Supply Chains: Develop regionally adaptive sourcing strategies to mitigate risks linked to political and economic volatility.</w:t>
      </w:r>
    </w:p>
    <w:p w14:paraId="6C367879" w14:textId="77777777" w:rsidR="00AE7EEE" w:rsidRPr="00536669" w:rsidRDefault="00AE7EEE" w:rsidP="00AE7EEE">
      <w:pPr>
        <w:numPr>
          <w:ilvl w:val="0"/>
          <w:numId w:val="10"/>
        </w:numPr>
        <w:spacing w:before="100" w:beforeAutospacing="1" w:after="100" w:afterAutospacing="1" w:line="240" w:lineRule="auto"/>
        <w:rPr>
          <w:rFonts w:ascii="Times New Roman" w:eastAsia="Times New Roman" w:hAnsi="Times New Roman" w:cs="Times New Roman"/>
          <w:lang w:eastAsia="en-GB"/>
        </w:rPr>
      </w:pPr>
      <w:r w:rsidRPr="00536669">
        <w:rPr>
          <w:rFonts w:ascii="Times New Roman" w:eastAsia="Times New Roman" w:hAnsi="Times New Roman" w:cs="Times New Roman"/>
          <w:lang w:eastAsia="en-GB"/>
        </w:rPr>
        <w:t>Invest in Emerging Categories: Broaden product innovation into plant-based nutrition, wellness, and affordable luxury segments to capture evolving consumer preferences.</w:t>
      </w:r>
    </w:p>
    <w:p w14:paraId="00B8A14A" w14:textId="77777777" w:rsidR="00AE7EEE" w:rsidRPr="00536669" w:rsidRDefault="00AE7EEE" w:rsidP="00AE7EEE">
      <w:pPr>
        <w:numPr>
          <w:ilvl w:val="0"/>
          <w:numId w:val="10"/>
        </w:numPr>
        <w:spacing w:before="100" w:beforeAutospacing="1" w:after="100" w:afterAutospacing="1" w:line="240" w:lineRule="auto"/>
        <w:rPr>
          <w:rFonts w:ascii="Times New Roman" w:eastAsia="Times New Roman" w:hAnsi="Times New Roman" w:cs="Times New Roman"/>
          <w:lang w:eastAsia="en-GB"/>
        </w:rPr>
      </w:pPr>
      <w:r w:rsidRPr="00536669">
        <w:rPr>
          <w:rFonts w:ascii="Times New Roman" w:eastAsia="Times New Roman" w:hAnsi="Times New Roman" w:cs="Times New Roman"/>
          <w:lang w:eastAsia="en-GB"/>
        </w:rPr>
        <w:t>Accelerate Organisational Agility: Streamline internal processes and enhance cross-functional collaboration to reduce bureaucracy and foster faster market response.</w:t>
      </w:r>
    </w:p>
    <w:p w14:paraId="46103394" w14:textId="77777777" w:rsidR="00AE7EEE" w:rsidRPr="00536669" w:rsidRDefault="00AE7EEE" w:rsidP="00AE7EEE">
      <w:pPr>
        <w:spacing w:before="100" w:beforeAutospacing="1" w:after="100" w:afterAutospacing="1" w:line="240" w:lineRule="auto"/>
        <w:rPr>
          <w:rFonts w:ascii="Times New Roman" w:eastAsia="Times New Roman" w:hAnsi="Times New Roman" w:cs="Times New Roman"/>
          <w:lang w:eastAsia="en-GB"/>
        </w:rPr>
      </w:pPr>
      <w:r w:rsidRPr="00536669">
        <w:rPr>
          <w:rFonts w:ascii="Times New Roman" w:eastAsia="Times New Roman" w:hAnsi="Times New Roman" w:cs="Times New Roman"/>
          <w:lang w:eastAsia="en-GB"/>
        </w:rPr>
        <w:t>In conclusion, Unilever’s strategic adaptability, driven by strong market orientation and dynamic capabilities, ensures sustained competitiveness within a rapidly changing marketing environment. Regular PESTLE and SWOT analyses enable the firm to anticipate shifts, align strategy with consumer values, and strengthen its role as a global leader in sustainable brand management.</w:t>
      </w:r>
    </w:p>
    <w:p w14:paraId="7697883C" w14:textId="77777777" w:rsidR="00AE7EEE" w:rsidRPr="00536669" w:rsidRDefault="00AE7EEE" w:rsidP="00AE7EEE">
      <w:pPr>
        <w:spacing w:after="0" w:line="240" w:lineRule="auto"/>
        <w:rPr>
          <w:rFonts w:ascii="Times New Roman" w:eastAsia="Times New Roman" w:hAnsi="Times New Roman" w:cs="Times New Roman"/>
          <w:lang w:eastAsia="en-GB"/>
        </w:rPr>
      </w:pPr>
    </w:p>
    <w:p w14:paraId="2E525870" w14:textId="77777777" w:rsidR="00AE7EEE" w:rsidRPr="00536669" w:rsidRDefault="00AE7EEE" w:rsidP="00AE7EEE">
      <w:pPr>
        <w:spacing w:before="100" w:beforeAutospacing="1" w:after="100" w:afterAutospacing="1" w:line="240" w:lineRule="auto"/>
        <w:outlineLvl w:val="2"/>
        <w:rPr>
          <w:rFonts w:ascii="Times New Roman" w:eastAsia="Times New Roman" w:hAnsi="Times New Roman" w:cs="Times New Roman"/>
          <w:sz w:val="27"/>
          <w:szCs w:val="27"/>
          <w:lang w:eastAsia="en-GB"/>
        </w:rPr>
      </w:pPr>
      <w:bookmarkStart w:id="5" w:name="_Toc211186126"/>
      <w:r w:rsidRPr="00536669">
        <w:rPr>
          <w:rFonts w:ascii="Times New Roman" w:eastAsia="Times New Roman" w:hAnsi="Times New Roman" w:cs="Times New Roman"/>
          <w:sz w:val="27"/>
          <w:szCs w:val="27"/>
          <w:lang w:eastAsia="en-GB"/>
        </w:rPr>
        <w:t>6. References</w:t>
      </w:r>
      <w:bookmarkEnd w:id="5"/>
    </w:p>
    <w:p w14:paraId="2817973B" w14:textId="77777777" w:rsidR="00AE7EEE" w:rsidRPr="00536669" w:rsidRDefault="00AE7EEE" w:rsidP="00AE7EEE">
      <w:pPr>
        <w:spacing w:before="100" w:beforeAutospacing="1" w:after="100" w:afterAutospacing="1" w:line="240" w:lineRule="auto"/>
        <w:rPr>
          <w:rFonts w:ascii="Times New Roman" w:eastAsia="Times New Roman" w:hAnsi="Times New Roman" w:cs="Times New Roman"/>
          <w:lang w:eastAsia="en-GB"/>
        </w:rPr>
      </w:pPr>
      <w:r w:rsidRPr="00536669">
        <w:rPr>
          <w:rFonts w:ascii="Times New Roman" w:eastAsia="Times New Roman" w:hAnsi="Times New Roman" w:cs="Times New Roman"/>
          <w:lang w:eastAsia="en-GB"/>
        </w:rPr>
        <w:t xml:space="preserve">Chartered Institute of Marketing (CIM). (2023) </w:t>
      </w:r>
      <w:r w:rsidRPr="00536669">
        <w:rPr>
          <w:rFonts w:ascii="Times New Roman" w:eastAsia="Times New Roman" w:hAnsi="Times New Roman" w:cs="Times New Roman"/>
          <w:i/>
          <w:iCs/>
          <w:lang w:eastAsia="en-GB"/>
        </w:rPr>
        <w:t>Marketing and Regulatory Standards.</w:t>
      </w:r>
      <w:r w:rsidRPr="00536669">
        <w:rPr>
          <w:rFonts w:ascii="Times New Roman" w:eastAsia="Times New Roman" w:hAnsi="Times New Roman" w:cs="Times New Roman"/>
          <w:lang w:eastAsia="en-GB"/>
        </w:rPr>
        <w:t xml:space="preserve"> London: CIM Press.</w:t>
      </w:r>
      <w:r w:rsidRPr="00536669">
        <w:rPr>
          <w:rFonts w:ascii="Times New Roman" w:eastAsia="Times New Roman" w:hAnsi="Times New Roman" w:cs="Times New Roman"/>
          <w:lang w:eastAsia="en-GB"/>
        </w:rPr>
        <w:br/>
        <w:t xml:space="preserve">Kotler, P. and Keller, K. L. (2016) </w:t>
      </w:r>
      <w:r w:rsidRPr="00536669">
        <w:rPr>
          <w:rFonts w:ascii="Times New Roman" w:eastAsia="Times New Roman" w:hAnsi="Times New Roman" w:cs="Times New Roman"/>
          <w:i/>
          <w:iCs/>
          <w:lang w:eastAsia="en-GB"/>
        </w:rPr>
        <w:t>Marketing Management.</w:t>
      </w:r>
      <w:r w:rsidRPr="00536669">
        <w:rPr>
          <w:rFonts w:ascii="Times New Roman" w:eastAsia="Times New Roman" w:hAnsi="Times New Roman" w:cs="Times New Roman"/>
          <w:lang w:eastAsia="en-GB"/>
        </w:rPr>
        <w:t xml:space="preserve"> 16th </w:t>
      </w:r>
      <w:proofErr w:type="spellStart"/>
      <w:proofErr w:type="gramStart"/>
      <w:r w:rsidRPr="00536669">
        <w:rPr>
          <w:rFonts w:ascii="Times New Roman" w:eastAsia="Times New Roman" w:hAnsi="Times New Roman" w:cs="Times New Roman"/>
          <w:lang w:eastAsia="en-GB"/>
        </w:rPr>
        <w:t>edn</w:t>
      </w:r>
      <w:proofErr w:type="spellEnd"/>
      <w:proofErr w:type="gramEnd"/>
      <w:r w:rsidRPr="00536669">
        <w:rPr>
          <w:rFonts w:ascii="Times New Roman" w:eastAsia="Times New Roman" w:hAnsi="Times New Roman" w:cs="Times New Roman"/>
          <w:lang w:eastAsia="en-GB"/>
        </w:rPr>
        <w:t>. Harlow: Pearson Education.</w:t>
      </w:r>
      <w:r w:rsidRPr="00536669">
        <w:rPr>
          <w:rFonts w:ascii="Times New Roman" w:eastAsia="Times New Roman" w:hAnsi="Times New Roman" w:cs="Times New Roman"/>
          <w:lang w:eastAsia="en-GB"/>
        </w:rPr>
        <w:br/>
        <w:t xml:space="preserve">Morgan, R. M. and Hunt, S. D. (1994) ‘The Commitment-Trust Theory of Relationship Marketing’, </w:t>
      </w:r>
      <w:r w:rsidRPr="00536669">
        <w:rPr>
          <w:rFonts w:ascii="Times New Roman" w:eastAsia="Times New Roman" w:hAnsi="Times New Roman" w:cs="Times New Roman"/>
          <w:i/>
          <w:iCs/>
          <w:lang w:eastAsia="en-GB"/>
        </w:rPr>
        <w:t>Journal of Marketing,</w:t>
      </w:r>
      <w:r w:rsidRPr="00536669">
        <w:rPr>
          <w:rFonts w:ascii="Times New Roman" w:eastAsia="Times New Roman" w:hAnsi="Times New Roman" w:cs="Times New Roman"/>
          <w:lang w:eastAsia="en-GB"/>
        </w:rPr>
        <w:t xml:space="preserve"> 58(3), pp. 20–38.</w:t>
      </w:r>
      <w:r w:rsidRPr="00536669">
        <w:rPr>
          <w:rFonts w:ascii="Times New Roman" w:eastAsia="Times New Roman" w:hAnsi="Times New Roman" w:cs="Times New Roman"/>
          <w:lang w:eastAsia="en-GB"/>
        </w:rPr>
        <w:br/>
      </w:r>
      <w:proofErr w:type="spellStart"/>
      <w:r w:rsidRPr="00536669">
        <w:rPr>
          <w:rFonts w:ascii="Times New Roman" w:eastAsia="Times New Roman" w:hAnsi="Times New Roman" w:cs="Times New Roman"/>
          <w:lang w:eastAsia="en-GB"/>
        </w:rPr>
        <w:t>Narver</w:t>
      </w:r>
      <w:proofErr w:type="spellEnd"/>
      <w:r w:rsidRPr="00536669">
        <w:rPr>
          <w:rFonts w:ascii="Times New Roman" w:eastAsia="Times New Roman" w:hAnsi="Times New Roman" w:cs="Times New Roman"/>
          <w:lang w:eastAsia="en-GB"/>
        </w:rPr>
        <w:t xml:space="preserve">, J. C. and Slater, S. F. (1990) ‘The Effect of a Market Orientation on Business Profitability’, </w:t>
      </w:r>
      <w:r w:rsidRPr="00536669">
        <w:rPr>
          <w:rFonts w:ascii="Times New Roman" w:eastAsia="Times New Roman" w:hAnsi="Times New Roman" w:cs="Times New Roman"/>
          <w:i/>
          <w:iCs/>
          <w:lang w:eastAsia="en-GB"/>
        </w:rPr>
        <w:t>Journal of Marketing,</w:t>
      </w:r>
      <w:r w:rsidRPr="00536669">
        <w:rPr>
          <w:rFonts w:ascii="Times New Roman" w:eastAsia="Times New Roman" w:hAnsi="Times New Roman" w:cs="Times New Roman"/>
          <w:lang w:eastAsia="en-GB"/>
        </w:rPr>
        <w:t xml:space="preserve"> 54(4), pp. 20–35.</w:t>
      </w:r>
      <w:r w:rsidRPr="00536669">
        <w:rPr>
          <w:rFonts w:ascii="Times New Roman" w:eastAsia="Times New Roman" w:hAnsi="Times New Roman" w:cs="Times New Roman"/>
          <w:lang w:eastAsia="en-GB"/>
        </w:rPr>
        <w:br/>
      </w:r>
      <w:proofErr w:type="spellStart"/>
      <w:r w:rsidRPr="00536669">
        <w:rPr>
          <w:rFonts w:ascii="Times New Roman" w:eastAsia="Times New Roman" w:hAnsi="Times New Roman" w:cs="Times New Roman"/>
          <w:lang w:eastAsia="en-GB"/>
        </w:rPr>
        <w:t>Panmore</w:t>
      </w:r>
      <w:proofErr w:type="spellEnd"/>
      <w:r w:rsidRPr="00536669">
        <w:rPr>
          <w:rFonts w:ascii="Times New Roman" w:eastAsia="Times New Roman" w:hAnsi="Times New Roman" w:cs="Times New Roman"/>
          <w:lang w:eastAsia="en-GB"/>
        </w:rPr>
        <w:t xml:space="preserve"> Institute. (2024) </w:t>
      </w:r>
      <w:r w:rsidRPr="00536669">
        <w:rPr>
          <w:rFonts w:ascii="Times New Roman" w:eastAsia="Times New Roman" w:hAnsi="Times New Roman" w:cs="Times New Roman"/>
          <w:i/>
          <w:iCs/>
          <w:lang w:eastAsia="en-GB"/>
        </w:rPr>
        <w:t>Unilever PESTEL/PESTLE Analysis &amp; Recommendations.</w:t>
      </w:r>
      <w:r w:rsidRPr="00536669">
        <w:rPr>
          <w:rFonts w:ascii="Times New Roman" w:eastAsia="Times New Roman" w:hAnsi="Times New Roman" w:cs="Times New Roman"/>
          <w:lang w:eastAsia="en-GB"/>
        </w:rPr>
        <w:t xml:space="preserve"> Available at: </w:t>
      </w:r>
      <w:hyperlink r:id="rId10" w:tgtFrame="_new" w:history="1">
        <w:r w:rsidRPr="00536669">
          <w:rPr>
            <w:rFonts w:ascii="Times New Roman" w:eastAsia="Times New Roman" w:hAnsi="Times New Roman" w:cs="Times New Roman"/>
            <w:color w:val="0000FF"/>
            <w:u w:val="single"/>
            <w:lang w:eastAsia="en-GB"/>
          </w:rPr>
          <w:t>https://panmore.com/unilever-pestel-pestle-analysis-recommendations</w:t>
        </w:r>
      </w:hyperlink>
      <w:r w:rsidRPr="00536669">
        <w:rPr>
          <w:rFonts w:ascii="Times New Roman" w:eastAsia="Times New Roman" w:hAnsi="Times New Roman" w:cs="Times New Roman"/>
          <w:lang w:eastAsia="en-GB"/>
        </w:rPr>
        <w:t xml:space="preserve"> (Accessed: 10 October 2025).</w:t>
      </w:r>
      <w:r w:rsidRPr="00536669">
        <w:rPr>
          <w:rFonts w:ascii="Times New Roman" w:eastAsia="Times New Roman" w:hAnsi="Times New Roman" w:cs="Times New Roman"/>
          <w:lang w:eastAsia="en-GB"/>
        </w:rPr>
        <w:br/>
        <w:t xml:space="preserve">Porter, M. E. (1985) </w:t>
      </w:r>
      <w:r w:rsidRPr="00536669">
        <w:rPr>
          <w:rFonts w:ascii="Times New Roman" w:eastAsia="Times New Roman" w:hAnsi="Times New Roman" w:cs="Times New Roman"/>
          <w:i/>
          <w:iCs/>
          <w:lang w:eastAsia="en-GB"/>
        </w:rPr>
        <w:t>Competitive Advantage: Creating and Sustaining Superior Performance.</w:t>
      </w:r>
      <w:r w:rsidRPr="00536669">
        <w:rPr>
          <w:rFonts w:ascii="Times New Roman" w:eastAsia="Times New Roman" w:hAnsi="Times New Roman" w:cs="Times New Roman"/>
          <w:lang w:eastAsia="en-GB"/>
        </w:rPr>
        <w:t xml:space="preserve"> New York: Free Press.</w:t>
      </w:r>
      <w:r w:rsidRPr="00536669">
        <w:rPr>
          <w:rFonts w:ascii="Times New Roman" w:eastAsia="Times New Roman" w:hAnsi="Times New Roman" w:cs="Times New Roman"/>
          <w:lang w:eastAsia="en-GB"/>
        </w:rPr>
        <w:br/>
        <w:t xml:space="preserve">Reuters. (2025, 26 September) ‘Unilever’s India unit flags short-term impact on sales from tax cuts.’ Available at: </w:t>
      </w:r>
      <w:hyperlink r:id="rId11" w:tgtFrame="_new" w:history="1">
        <w:r w:rsidRPr="00536669">
          <w:rPr>
            <w:rFonts w:ascii="Times New Roman" w:eastAsia="Times New Roman" w:hAnsi="Times New Roman" w:cs="Times New Roman"/>
            <w:color w:val="0000FF"/>
            <w:u w:val="single"/>
            <w:lang w:eastAsia="en-GB"/>
          </w:rPr>
          <w:t>https://www.reuters.com</w:t>
        </w:r>
      </w:hyperlink>
      <w:r w:rsidRPr="00536669">
        <w:rPr>
          <w:rFonts w:ascii="Times New Roman" w:eastAsia="Times New Roman" w:hAnsi="Times New Roman" w:cs="Times New Roman"/>
          <w:lang w:eastAsia="en-GB"/>
        </w:rPr>
        <w:t xml:space="preserve"> (Accessed: 10 October 2025).</w:t>
      </w:r>
      <w:r w:rsidRPr="00536669">
        <w:rPr>
          <w:rFonts w:ascii="Times New Roman" w:eastAsia="Times New Roman" w:hAnsi="Times New Roman" w:cs="Times New Roman"/>
          <w:lang w:eastAsia="en-GB"/>
        </w:rPr>
        <w:br/>
        <w:t xml:space="preserve">Solomon, M. R. (2020) </w:t>
      </w:r>
      <w:r w:rsidRPr="00536669">
        <w:rPr>
          <w:rFonts w:ascii="Times New Roman" w:eastAsia="Times New Roman" w:hAnsi="Times New Roman" w:cs="Times New Roman"/>
          <w:i/>
          <w:iCs/>
          <w:lang w:eastAsia="en-GB"/>
        </w:rPr>
        <w:t xml:space="preserve">Consumer </w:t>
      </w:r>
      <w:proofErr w:type="spellStart"/>
      <w:r w:rsidRPr="00536669">
        <w:rPr>
          <w:rFonts w:ascii="Times New Roman" w:eastAsia="Times New Roman" w:hAnsi="Times New Roman" w:cs="Times New Roman"/>
          <w:i/>
          <w:iCs/>
          <w:lang w:eastAsia="en-GB"/>
        </w:rPr>
        <w:t>Behaviour</w:t>
      </w:r>
      <w:proofErr w:type="spellEnd"/>
      <w:r w:rsidRPr="00536669">
        <w:rPr>
          <w:rFonts w:ascii="Times New Roman" w:eastAsia="Times New Roman" w:hAnsi="Times New Roman" w:cs="Times New Roman"/>
          <w:i/>
          <w:iCs/>
          <w:lang w:eastAsia="en-GB"/>
        </w:rPr>
        <w:t>: Buying, Having and Being.</w:t>
      </w:r>
      <w:r w:rsidRPr="00536669">
        <w:rPr>
          <w:rFonts w:ascii="Times New Roman" w:eastAsia="Times New Roman" w:hAnsi="Times New Roman" w:cs="Times New Roman"/>
          <w:lang w:eastAsia="en-GB"/>
        </w:rPr>
        <w:t xml:space="preserve"> 13th </w:t>
      </w:r>
      <w:proofErr w:type="spellStart"/>
      <w:r w:rsidRPr="00536669">
        <w:rPr>
          <w:rFonts w:ascii="Times New Roman" w:eastAsia="Times New Roman" w:hAnsi="Times New Roman" w:cs="Times New Roman"/>
          <w:lang w:eastAsia="en-GB"/>
        </w:rPr>
        <w:t>edn</w:t>
      </w:r>
      <w:proofErr w:type="spellEnd"/>
      <w:r w:rsidRPr="00536669">
        <w:rPr>
          <w:rFonts w:ascii="Times New Roman" w:eastAsia="Times New Roman" w:hAnsi="Times New Roman" w:cs="Times New Roman"/>
          <w:lang w:eastAsia="en-GB"/>
        </w:rPr>
        <w:t>. Harlow: Pearson.</w:t>
      </w:r>
      <w:r w:rsidRPr="00536669">
        <w:rPr>
          <w:rFonts w:ascii="Times New Roman" w:eastAsia="Times New Roman" w:hAnsi="Times New Roman" w:cs="Times New Roman"/>
          <w:lang w:eastAsia="en-GB"/>
        </w:rPr>
        <w:br/>
        <w:t xml:space="preserve">The Guardian. (2025a, 27 September) ‘Affordable luxuries: British shoppers spread their love for </w:t>
      </w:r>
      <w:proofErr w:type="spellStart"/>
      <w:r w:rsidRPr="00536669">
        <w:rPr>
          <w:rFonts w:ascii="Times New Roman" w:eastAsia="Times New Roman" w:hAnsi="Times New Roman" w:cs="Times New Roman"/>
          <w:lang w:eastAsia="en-GB"/>
        </w:rPr>
        <w:t>flavoured</w:t>
      </w:r>
      <w:proofErr w:type="spellEnd"/>
      <w:r w:rsidRPr="00536669">
        <w:rPr>
          <w:rFonts w:ascii="Times New Roman" w:eastAsia="Times New Roman" w:hAnsi="Times New Roman" w:cs="Times New Roman"/>
          <w:lang w:eastAsia="en-GB"/>
        </w:rPr>
        <w:t xml:space="preserve"> butter.’ Available at: </w:t>
      </w:r>
      <w:hyperlink r:id="rId12" w:tgtFrame="_new" w:history="1">
        <w:r w:rsidRPr="00536669">
          <w:rPr>
            <w:rFonts w:ascii="Times New Roman" w:eastAsia="Times New Roman" w:hAnsi="Times New Roman" w:cs="Times New Roman"/>
            <w:color w:val="0000FF"/>
            <w:u w:val="single"/>
            <w:lang w:eastAsia="en-GB"/>
          </w:rPr>
          <w:t>https://www.theguardian.com</w:t>
        </w:r>
      </w:hyperlink>
      <w:r w:rsidRPr="00536669">
        <w:rPr>
          <w:rFonts w:ascii="Times New Roman" w:eastAsia="Times New Roman" w:hAnsi="Times New Roman" w:cs="Times New Roman"/>
          <w:lang w:eastAsia="en-GB"/>
        </w:rPr>
        <w:t xml:space="preserve"> (Accessed: 10 October 2025).</w:t>
      </w:r>
      <w:r w:rsidRPr="00536669">
        <w:rPr>
          <w:rFonts w:ascii="Times New Roman" w:eastAsia="Times New Roman" w:hAnsi="Times New Roman" w:cs="Times New Roman"/>
          <w:lang w:eastAsia="en-GB"/>
        </w:rPr>
        <w:br/>
        <w:t xml:space="preserve">The Times. (2025, 13 </w:t>
      </w:r>
      <w:proofErr w:type="gramStart"/>
      <w:r w:rsidRPr="00536669">
        <w:rPr>
          <w:rFonts w:ascii="Times New Roman" w:eastAsia="Times New Roman" w:hAnsi="Times New Roman" w:cs="Times New Roman"/>
          <w:lang w:eastAsia="en-GB"/>
        </w:rPr>
        <w:t>February) ‘</w:t>
      </w:r>
      <w:proofErr w:type="gramEnd"/>
      <w:r w:rsidRPr="00536669">
        <w:rPr>
          <w:rFonts w:ascii="Times New Roman" w:eastAsia="Times New Roman" w:hAnsi="Times New Roman" w:cs="Times New Roman"/>
          <w:lang w:eastAsia="en-GB"/>
        </w:rPr>
        <w:t xml:space="preserve">Unilever chooses Amsterdam for primary listing of ice-cream business.’ Available at: </w:t>
      </w:r>
      <w:hyperlink r:id="rId13" w:tgtFrame="_new" w:history="1">
        <w:r w:rsidRPr="00536669">
          <w:rPr>
            <w:rFonts w:ascii="Times New Roman" w:eastAsia="Times New Roman" w:hAnsi="Times New Roman" w:cs="Times New Roman"/>
            <w:color w:val="0000FF"/>
            <w:u w:val="single"/>
            <w:lang w:eastAsia="en-GB"/>
          </w:rPr>
          <w:t>https://www.thetimes.co.uk</w:t>
        </w:r>
      </w:hyperlink>
      <w:r w:rsidRPr="00536669">
        <w:rPr>
          <w:rFonts w:ascii="Times New Roman" w:eastAsia="Times New Roman" w:hAnsi="Times New Roman" w:cs="Times New Roman"/>
          <w:lang w:eastAsia="en-GB"/>
        </w:rPr>
        <w:t xml:space="preserve"> (Accessed: 10 October 2025).</w:t>
      </w:r>
      <w:r w:rsidRPr="00536669">
        <w:rPr>
          <w:rFonts w:ascii="Times New Roman" w:eastAsia="Times New Roman" w:hAnsi="Times New Roman" w:cs="Times New Roman"/>
          <w:lang w:eastAsia="en-GB"/>
        </w:rPr>
        <w:br/>
        <w:t xml:space="preserve">Teece, D. J., Pisano, G. and </w:t>
      </w:r>
      <w:proofErr w:type="spellStart"/>
      <w:r w:rsidRPr="00536669">
        <w:rPr>
          <w:rFonts w:ascii="Times New Roman" w:eastAsia="Times New Roman" w:hAnsi="Times New Roman" w:cs="Times New Roman"/>
          <w:lang w:eastAsia="en-GB"/>
        </w:rPr>
        <w:t>Shuen</w:t>
      </w:r>
      <w:proofErr w:type="spellEnd"/>
      <w:r w:rsidRPr="00536669">
        <w:rPr>
          <w:rFonts w:ascii="Times New Roman" w:eastAsia="Times New Roman" w:hAnsi="Times New Roman" w:cs="Times New Roman"/>
          <w:lang w:eastAsia="en-GB"/>
        </w:rPr>
        <w:t xml:space="preserve">, A. (1997) ‘Dynamic Capabilities and Strategic Management’, </w:t>
      </w:r>
      <w:r w:rsidRPr="00536669">
        <w:rPr>
          <w:rFonts w:ascii="Times New Roman" w:eastAsia="Times New Roman" w:hAnsi="Times New Roman" w:cs="Times New Roman"/>
          <w:i/>
          <w:iCs/>
          <w:lang w:eastAsia="en-GB"/>
        </w:rPr>
        <w:t>Strategic Management Journal,</w:t>
      </w:r>
      <w:r w:rsidRPr="00536669">
        <w:rPr>
          <w:rFonts w:ascii="Times New Roman" w:eastAsia="Times New Roman" w:hAnsi="Times New Roman" w:cs="Times New Roman"/>
          <w:lang w:eastAsia="en-GB"/>
        </w:rPr>
        <w:t xml:space="preserve"> 18(7), pp. 509–533.</w:t>
      </w:r>
      <w:r w:rsidRPr="00536669">
        <w:rPr>
          <w:rFonts w:ascii="Times New Roman" w:eastAsia="Times New Roman" w:hAnsi="Times New Roman" w:cs="Times New Roman"/>
          <w:lang w:eastAsia="en-GB"/>
        </w:rPr>
        <w:br/>
        <w:t xml:space="preserve">Unilever. (2025a) </w:t>
      </w:r>
      <w:r w:rsidRPr="00536669">
        <w:rPr>
          <w:rFonts w:ascii="Times New Roman" w:eastAsia="Times New Roman" w:hAnsi="Times New Roman" w:cs="Times New Roman"/>
          <w:i/>
          <w:iCs/>
          <w:lang w:eastAsia="en-GB"/>
        </w:rPr>
        <w:t xml:space="preserve">Our Company </w:t>
      </w:r>
      <w:proofErr w:type="gramStart"/>
      <w:r w:rsidRPr="00536669">
        <w:rPr>
          <w:rFonts w:ascii="Times New Roman" w:eastAsia="Times New Roman" w:hAnsi="Times New Roman" w:cs="Times New Roman"/>
          <w:i/>
          <w:iCs/>
          <w:lang w:eastAsia="en-GB"/>
        </w:rPr>
        <w:t>at a Glance</w:t>
      </w:r>
      <w:proofErr w:type="gramEnd"/>
      <w:r w:rsidRPr="00536669">
        <w:rPr>
          <w:rFonts w:ascii="Times New Roman" w:eastAsia="Times New Roman" w:hAnsi="Times New Roman" w:cs="Times New Roman"/>
          <w:i/>
          <w:iCs/>
          <w:lang w:eastAsia="en-GB"/>
        </w:rPr>
        <w:t>.</w:t>
      </w:r>
      <w:r w:rsidRPr="00536669">
        <w:rPr>
          <w:rFonts w:ascii="Times New Roman" w:eastAsia="Times New Roman" w:hAnsi="Times New Roman" w:cs="Times New Roman"/>
          <w:lang w:eastAsia="en-GB"/>
        </w:rPr>
        <w:t xml:space="preserve"> Available at: </w:t>
      </w:r>
      <w:hyperlink r:id="rId14" w:tgtFrame="_new" w:history="1">
        <w:r w:rsidRPr="00536669">
          <w:rPr>
            <w:rFonts w:ascii="Times New Roman" w:eastAsia="Times New Roman" w:hAnsi="Times New Roman" w:cs="Times New Roman"/>
            <w:color w:val="0000FF"/>
            <w:u w:val="single"/>
            <w:lang w:eastAsia="en-GB"/>
          </w:rPr>
          <w:t>https://www.unilever.com/our-company/at-a-glance/</w:t>
        </w:r>
      </w:hyperlink>
      <w:r w:rsidRPr="00536669">
        <w:rPr>
          <w:rFonts w:ascii="Times New Roman" w:eastAsia="Times New Roman" w:hAnsi="Times New Roman" w:cs="Times New Roman"/>
          <w:lang w:eastAsia="en-GB"/>
        </w:rPr>
        <w:t xml:space="preserve"> (Accessed: 10 October 2025).</w:t>
      </w:r>
      <w:r w:rsidRPr="00536669">
        <w:rPr>
          <w:rFonts w:ascii="Times New Roman" w:eastAsia="Times New Roman" w:hAnsi="Times New Roman" w:cs="Times New Roman"/>
          <w:lang w:eastAsia="en-GB"/>
        </w:rPr>
        <w:br/>
        <w:t xml:space="preserve">Unilever. (2025b) </w:t>
      </w:r>
      <w:r w:rsidRPr="00536669">
        <w:rPr>
          <w:rFonts w:ascii="Times New Roman" w:eastAsia="Times New Roman" w:hAnsi="Times New Roman" w:cs="Times New Roman"/>
          <w:i/>
          <w:iCs/>
          <w:lang w:eastAsia="en-GB"/>
        </w:rPr>
        <w:t>First-Half Performance Supports Full-Year Confidence.</w:t>
      </w:r>
      <w:r w:rsidRPr="00536669">
        <w:rPr>
          <w:rFonts w:ascii="Times New Roman" w:eastAsia="Times New Roman" w:hAnsi="Times New Roman" w:cs="Times New Roman"/>
          <w:lang w:eastAsia="en-GB"/>
        </w:rPr>
        <w:t xml:space="preserve"> Available at: </w:t>
      </w:r>
      <w:hyperlink r:id="rId15" w:tgtFrame="_new" w:history="1">
        <w:r w:rsidRPr="00536669">
          <w:rPr>
            <w:rFonts w:ascii="Times New Roman" w:eastAsia="Times New Roman" w:hAnsi="Times New Roman" w:cs="Times New Roman"/>
            <w:color w:val="0000FF"/>
            <w:u w:val="single"/>
            <w:lang w:eastAsia="en-GB"/>
          </w:rPr>
          <w:t>https://www.unilever.co.uk/news</w:t>
        </w:r>
      </w:hyperlink>
      <w:r w:rsidRPr="00536669">
        <w:rPr>
          <w:rFonts w:ascii="Times New Roman" w:eastAsia="Times New Roman" w:hAnsi="Times New Roman" w:cs="Times New Roman"/>
          <w:lang w:eastAsia="en-GB"/>
        </w:rPr>
        <w:t xml:space="preserve"> (Accessed: 10 October 2025).</w:t>
      </w:r>
      <w:r w:rsidRPr="00536669">
        <w:rPr>
          <w:rFonts w:ascii="Times New Roman" w:eastAsia="Times New Roman" w:hAnsi="Times New Roman" w:cs="Times New Roman"/>
          <w:lang w:eastAsia="en-GB"/>
        </w:rPr>
        <w:br/>
        <w:t xml:space="preserve">Unilever. (2025c) </w:t>
      </w:r>
      <w:r w:rsidRPr="00536669">
        <w:rPr>
          <w:rFonts w:ascii="Times New Roman" w:eastAsia="Times New Roman" w:hAnsi="Times New Roman" w:cs="Times New Roman"/>
          <w:i/>
          <w:iCs/>
          <w:lang w:eastAsia="en-GB"/>
        </w:rPr>
        <w:t>Our Company.</w:t>
      </w:r>
      <w:r w:rsidRPr="00536669">
        <w:rPr>
          <w:rFonts w:ascii="Times New Roman" w:eastAsia="Times New Roman" w:hAnsi="Times New Roman" w:cs="Times New Roman"/>
          <w:lang w:eastAsia="en-GB"/>
        </w:rPr>
        <w:t xml:space="preserve"> Available at: </w:t>
      </w:r>
      <w:hyperlink r:id="rId16" w:tgtFrame="_new" w:history="1">
        <w:r w:rsidRPr="00536669">
          <w:rPr>
            <w:rFonts w:ascii="Times New Roman" w:eastAsia="Times New Roman" w:hAnsi="Times New Roman" w:cs="Times New Roman"/>
            <w:color w:val="0000FF"/>
            <w:u w:val="single"/>
            <w:lang w:eastAsia="en-GB"/>
          </w:rPr>
          <w:t>https://www.unilever.co.uk/our-company/</w:t>
        </w:r>
      </w:hyperlink>
      <w:r w:rsidRPr="00536669">
        <w:rPr>
          <w:rFonts w:ascii="Times New Roman" w:eastAsia="Times New Roman" w:hAnsi="Times New Roman" w:cs="Times New Roman"/>
          <w:lang w:eastAsia="en-GB"/>
        </w:rPr>
        <w:t xml:space="preserve"> (Accessed: 10 October 2025).</w:t>
      </w:r>
    </w:p>
    <w:p w14:paraId="2C118468" w14:textId="77777777" w:rsidR="00AE7EEE" w:rsidRPr="00536669" w:rsidRDefault="00AE7EEE" w:rsidP="00AE7EEE"/>
    <w:p w14:paraId="15B424BE" w14:textId="371158AE" w:rsidR="003A3560" w:rsidRPr="004C76EB" w:rsidRDefault="003A3560" w:rsidP="0031676F">
      <w:pPr>
        <w:spacing w:line="360" w:lineRule="auto"/>
        <w:jc w:val="both"/>
        <w:rPr>
          <w:rFonts w:ascii="Times New Roman" w:hAnsi="Times New Roman" w:cs="Times New Roman"/>
          <w:sz w:val="24"/>
          <w:szCs w:val="24"/>
        </w:rPr>
      </w:pPr>
    </w:p>
    <w:sectPr w:rsidR="003A3560" w:rsidRPr="004C76EB" w:rsidSect="004C76EB">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4C237D" w14:textId="77777777" w:rsidR="006D26D6" w:rsidRDefault="006D26D6" w:rsidP="0020547B">
      <w:pPr>
        <w:spacing w:after="0" w:line="240" w:lineRule="auto"/>
      </w:pPr>
      <w:r>
        <w:separator/>
      </w:r>
    </w:p>
  </w:endnote>
  <w:endnote w:type="continuationSeparator" w:id="0">
    <w:p w14:paraId="0620A780" w14:textId="77777777" w:rsidR="006D26D6" w:rsidRDefault="006D26D6" w:rsidP="002054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6869059"/>
      <w:docPartObj>
        <w:docPartGallery w:val="Page Numbers (Bottom of Page)"/>
        <w:docPartUnique/>
      </w:docPartObj>
    </w:sdtPr>
    <w:sdtEndPr/>
    <w:sdtContent>
      <w:p w14:paraId="619FBFD3" w14:textId="493BAB8E" w:rsidR="0020547B" w:rsidRDefault="0020547B">
        <w:pPr>
          <w:pStyle w:val="Footer"/>
          <w:jc w:val="right"/>
        </w:pPr>
        <w:r>
          <w:fldChar w:fldCharType="begin"/>
        </w:r>
        <w:r>
          <w:instrText>PAGE   \* MERGEFORMAT</w:instrText>
        </w:r>
        <w:r>
          <w:fldChar w:fldCharType="separate"/>
        </w:r>
        <w:r>
          <w:rPr>
            <w:lang w:val="en-GB"/>
          </w:rPr>
          <w:t>2</w:t>
        </w:r>
        <w:r>
          <w:fldChar w:fldCharType="end"/>
        </w:r>
      </w:p>
    </w:sdtContent>
  </w:sdt>
  <w:p w14:paraId="73DF75FD" w14:textId="77777777" w:rsidR="0020547B" w:rsidRDefault="002054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6E35E9" w14:textId="77777777" w:rsidR="006D26D6" w:rsidRDefault="006D26D6" w:rsidP="0020547B">
      <w:pPr>
        <w:spacing w:after="0" w:line="240" w:lineRule="auto"/>
      </w:pPr>
      <w:r>
        <w:separator/>
      </w:r>
    </w:p>
  </w:footnote>
  <w:footnote w:type="continuationSeparator" w:id="0">
    <w:p w14:paraId="0199ED01" w14:textId="77777777" w:rsidR="006D26D6" w:rsidRDefault="006D26D6" w:rsidP="002054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733531D"/>
    <w:multiLevelType w:val="multilevel"/>
    <w:tmpl w:val="962CB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99486859">
    <w:abstractNumId w:val="8"/>
  </w:num>
  <w:num w:numId="2" w16cid:durableId="234972593">
    <w:abstractNumId w:val="6"/>
  </w:num>
  <w:num w:numId="3" w16cid:durableId="1232613965">
    <w:abstractNumId w:val="5"/>
  </w:num>
  <w:num w:numId="4" w16cid:durableId="1136992174">
    <w:abstractNumId w:val="4"/>
  </w:num>
  <w:num w:numId="5" w16cid:durableId="515191018">
    <w:abstractNumId w:val="7"/>
  </w:num>
  <w:num w:numId="6" w16cid:durableId="1596206738">
    <w:abstractNumId w:val="3"/>
  </w:num>
  <w:num w:numId="7" w16cid:durableId="452793655">
    <w:abstractNumId w:val="2"/>
  </w:num>
  <w:num w:numId="8" w16cid:durableId="1575816030">
    <w:abstractNumId w:val="1"/>
  </w:num>
  <w:num w:numId="9" w16cid:durableId="272250609">
    <w:abstractNumId w:val="0"/>
  </w:num>
  <w:num w:numId="10" w16cid:durableId="204501559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7125"/>
    <w:rsid w:val="00034616"/>
    <w:rsid w:val="0006063C"/>
    <w:rsid w:val="000D7B2B"/>
    <w:rsid w:val="0015074B"/>
    <w:rsid w:val="001A25A9"/>
    <w:rsid w:val="00204F22"/>
    <w:rsid w:val="0020547B"/>
    <w:rsid w:val="0022227F"/>
    <w:rsid w:val="002923E0"/>
    <w:rsid w:val="0029639D"/>
    <w:rsid w:val="002F04AA"/>
    <w:rsid w:val="0031676F"/>
    <w:rsid w:val="00326F90"/>
    <w:rsid w:val="003A3560"/>
    <w:rsid w:val="003A46D6"/>
    <w:rsid w:val="003F79E3"/>
    <w:rsid w:val="00476D10"/>
    <w:rsid w:val="004C76EB"/>
    <w:rsid w:val="00531056"/>
    <w:rsid w:val="005313CB"/>
    <w:rsid w:val="00536669"/>
    <w:rsid w:val="005517DD"/>
    <w:rsid w:val="005A5904"/>
    <w:rsid w:val="005C7BE2"/>
    <w:rsid w:val="00673FB8"/>
    <w:rsid w:val="006A708F"/>
    <w:rsid w:val="006D26D6"/>
    <w:rsid w:val="006F0510"/>
    <w:rsid w:val="00884875"/>
    <w:rsid w:val="008D3D3A"/>
    <w:rsid w:val="00903CB0"/>
    <w:rsid w:val="00925859"/>
    <w:rsid w:val="00937C71"/>
    <w:rsid w:val="009B5545"/>
    <w:rsid w:val="00A30FDC"/>
    <w:rsid w:val="00A52AEA"/>
    <w:rsid w:val="00A7679B"/>
    <w:rsid w:val="00AA1D8D"/>
    <w:rsid w:val="00AC55B5"/>
    <w:rsid w:val="00AE7EEE"/>
    <w:rsid w:val="00B47730"/>
    <w:rsid w:val="00B86824"/>
    <w:rsid w:val="00C82C03"/>
    <w:rsid w:val="00CB0664"/>
    <w:rsid w:val="00CE0356"/>
    <w:rsid w:val="00CE53C6"/>
    <w:rsid w:val="00D357AC"/>
    <w:rsid w:val="00DE67E5"/>
    <w:rsid w:val="00E05242"/>
    <w:rsid w:val="00E1093E"/>
    <w:rsid w:val="00FC45F4"/>
    <w:rsid w:val="00FC5C0C"/>
    <w:rsid w:val="00FC693F"/>
    <w:rsid w:val="00FD46D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1150967"/>
  <w14:defaultImageDpi w14:val="300"/>
  <w15:docId w15:val="{5D4BA860-2EBC-4B15-901F-0FEB6D853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204F22"/>
    <w:pPr>
      <w:spacing w:after="100"/>
    </w:pPr>
  </w:style>
  <w:style w:type="paragraph" w:styleId="TOC2">
    <w:name w:val="toc 2"/>
    <w:basedOn w:val="Normal"/>
    <w:next w:val="Normal"/>
    <w:autoRedefine/>
    <w:uiPriority w:val="39"/>
    <w:unhideWhenUsed/>
    <w:rsid w:val="00204F22"/>
    <w:pPr>
      <w:spacing w:after="100"/>
      <w:ind w:left="220"/>
    </w:pPr>
  </w:style>
  <w:style w:type="character" w:styleId="Hyperlink">
    <w:name w:val="Hyperlink"/>
    <w:basedOn w:val="DefaultParagraphFont"/>
    <w:uiPriority w:val="99"/>
    <w:unhideWhenUsed/>
    <w:rsid w:val="00204F22"/>
    <w:rPr>
      <w:color w:val="0000FF" w:themeColor="hyperlink"/>
      <w:u w:val="single"/>
    </w:rPr>
  </w:style>
  <w:style w:type="paragraph" w:styleId="TOC3">
    <w:name w:val="toc 3"/>
    <w:basedOn w:val="Normal"/>
    <w:next w:val="Normal"/>
    <w:autoRedefine/>
    <w:uiPriority w:val="39"/>
    <w:unhideWhenUsed/>
    <w:rsid w:val="009B554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times.co.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unilever.co.uk/our-compan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uters.com" TargetMode="External"/><Relationship Id="rId5" Type="http://schemas.openxmlformats.org/officeDocument/2006/relationships/webSettings" Target="webSettings.xml"/><Relationship Id="rId15" Type="http://schemas.openxmlformats.org/officeDocument/2006/relationships/hyperlink" Target="https://www.unilever.co.uk/news" TargetMode="External"/><Relationship Id="rId10" Type="http://schemas.openxmlformats.org/officeDocument/2006/relationships/hyperlink" Target="https://panmore.com/unilever-pestel-pestle-analysis-recommendation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unilever.com/our-company/at-a-gl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6</Pages>
  <Words>1961</Words>
  <Characters>11180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13115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Andrea Walker</cp:lastModifiedBy>
  <cp:revision>35</cp:revision>
  <dcterms:created xsi:type="dcterms:W3CDTF">2025-10-12T08:26:00Z</dcterms:created>
  <dcterms:modified xsi:type="dcterms:W3CDTF">2025-10-12T17:47:00Z</dcterms:modified>
  <cp:category/>
</cp:coreProperties>
</file>