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4D75D85" w14:textId="1BD84AFA" w:rsidR="0045528E" w:rsidRDefault="0045528E">
      <w:pPr>
        <w:rPr>
          <w:noProof/>
        </w:rPr>
      </w:pPr>
      <w:r>
        <w:rPr>
          <w:noProof/>
        </w:rPr>
        <w:drawing>
          <wp:anchor distT="0" distB="0" distL="114300" distR="114300" simplePos="0" relativeHeight="251658240" behindDoc="1" locked="0" layoutInCell="1" allowOverlap="1" wp14:anchorId="2000B933" wp14:editId="1027383F">
            <wp:simplePos x="0" y="0"/>
            <wp:positionH relativeFrom="margin">
              <wp:align>center</wp:align>
            </wp:positionH>
            <wp:positionV relativeFrom="paragraph">
              <wp:posOffset>1790862</wp:posOffset>
            </wp:positionV>
            <wp:extent cx="6699809" cy="1943100"/>
            <wp:effectExtent l="0" t="0" r="6350" b="0"/>
            <wp:wrapTight wrapText="bothSides">
              <wp:wrapPolygon edited="0">
                <wp:start x="0" y="0"/>
                <wp:lineTo x="0" y="21388"/>
                <wp:lineTo x="21559" y="21388"/>
                <wp:lineTo x="21559"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
                      <a:extLst>
                        <a:ext uri="{28A0092B-C50C-407E-A947-70E740481C1C}">
                          <a14:useLocalDpi xmlns:a14="http://schemas.microsoft.com/office/drawing/2010/main" val="0"/>
                        </a:ext>
                      </a:extLst>
                    </a:blip>
                    <a:srcRect l="20607" t="31921" r="7766" b="31133"/>
                    <a:stretch/>
                  </pic:blipFill>
                  <pic:spPr bwMode="auto">
                    <a:xfrm>
                      <a:off x="0" y="0"/>
                      <a:ext cx="6699809" cy="19431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7A79F6">
        <w:t xml:space="preserve">Using the information gathered from the individual pollen analysis, I have created both a pie and bar graph, as well as a table, to determine </w:t>
      </w:r>
      <w:r w:rsidR="007A79F6" w:rsidRPr="009544E3">
        <w:rPr>
          <w:color w:val="000000" w:themeColor="text1"/>
        </w:rPr>
        <w:t xml:space="preserve">what was </w:t>
      </w:r>
      <w:r w:rsidR="009544E3">
        <w:rPr>
          <w:color w:val="000000" w:themeColor="text1"/>
        </w:rPr>
        <w:t xml:space="preserve">the </w:t>
      </w:r>
      <w:r w:rsidR="007A79F6" w:rsidRPr="009544E3">
        <w:rPr>
          <w:color w:val="000000" w:themeColor="text1"/>
        </w:rPr>
        <w:t xml:space="preserve">most </w:t>
      </w:r>
      <w:r w:rsidR="009544E3" w:rsidRPr="009544E3">
        <w:rPr>
          <w:color w:val="000000" w:themeColor="text1"/>
        </w:rPr>
        <w:t>commonly</w:t>
      </w:r>
      <w:r w:rsidR="007A79F6" w:rsidRPr="009544E3">
        <w:rPr>
          <w:color w:val="000000" w:themeColor="text1"/>
        </w:rPr>
        <w:t xml:space="preserve"> occurring</w:t>
      </w:r>
      <w:r w:rsidR="009544E3">
        <w:rPr>
          <w:color w:val="000000" w:themeColor="text1"/>
        </w:rPr>
        <w:t xml:space="preserve"> pollen grains</w:t>
      </w:r>
      <w:r w:rsidR="007A79F6" w:rsidRPr="009544E3">
        <w:rPr>
          <w:color w:val="000000" w:themeColor="text1"/>
        </w:rPr>
        <w:t xml:space="preserve"> in the 100 I gathered from the 75cm deep sample from the Roman </w:t>
      </w:r>
      <w:r w:rsidR="009544E3">
        <w:rPr>
          <w:color w:val="000000" w:themeColor="text1"/>
        </w:rPr>
        <w:t xml:space="preserve">Road </w:t>
      </w:r>
      <w:r w:rsidR="007A79F6" w:rsidRPr="009544E3">
        <w:rPr>
          <w:color w:val="000000" w:themeColor="text1"/>
        </w:rPr>
        <w:t xml:space="preserve">Archaeological site of </w:t>
      </w:r>
      <w:proofErr w:type="spellStart"/>
      <w:r w:rsidR="007A79F6" w:rsidRPr="009544E3">
        <w:rPr>
          <w:color w:val="000000" w:themeColor="text1"/>
        </w:rPr>
        <w:t>Whitland</w:t>
      </w:r>
      <w:proofErr w:type="spellEnd"/>
      <w:r w:rsidR="007A79F6" w:rsidRPr="009544E3">
        <w:rPr>
          <w:color w:val="000000" w:themeColor="text1"/>
        </w:rPr>
        <w:t xml:space="preserve"> Bypass. </w:t>
      </w:r>
      <w:r w:rsidR="007A79F6">
        <w:rPr>
          <w:color w:val="000000" w:themeColor="text1"/>
        </w:rPr>
        <w:t>Figures 1</w:t>
      </w:r>
      <w:r>
        <w:rPr>
          <w:color w:val="000000" w:themeColor="text1"/>
        </w:rPr>
        <w:t xml:space="preserve"> and 1.2</w:t>
      </w:r>
      <w:r w:rsidR="007A79F6">
        <w:rPr>
          <w:color w:val="000000" w:themeColor="text1"/>
        </w:rPr>
        <w:t xml:space="preserve"> shows the largest and smallest quantities of pollen in a quantifiable table belonging to the alder</w:t>
      </w:r>
      <w:r w:rsidR="007707DD">
        <w:rPr>
          <w:color w:val="000000" w:themeColor="text1"/>
        </w:rPr>
        <w:t xml:space="preserve">, birch, and oak </w:t>
      </w:r>
      <w:r w:rsidR="007A79F6">
        <w:rPr>
          <w:color w:val="000000" w:themeColor="text1"/>
        </w:rPr>
        <w:t xml:space="preserve">families, as well as </w:t>
      </w:r>
      <w:r w:rsidR="007707DD">
        <w:rPr>
          <w:color w:val="000000" w:themeColor="text1"/>
        </w:rPr>
        <w:t>a large quantity of shrub pollen mostly coming from the Corylus family and a small amount from the Salix family. In figure 2 I have placed the relative information into their respected families (</w:t>
      </w:r>
      <w:proofErr w:type="spellStart"/>
      <w:r w:rsidR="007707DD">
        <w:rPr>
          <w:color w:val="000000" w:themeColor="text1"/>
        </w:rPr>
        <w:t>ie</w:t>
      </w:r>
      <w:proofErr w:type="spellEnd"/>
      <w:r w:rsidR="007707DD">
        <w:rPr>
          <w:color w:val="000000" w:themeColor="text1"/>
        </w:rPr>
        <w:t xml:space="preserve"> birch and oak into trees, hazel into shrub) and presented them into a pie chart along with the family of herbs to compare what was found in the 75cm sample. [ Reference of names of the pollens </w:t>
      </w:r>
      <w:r w:rsidR="007707DD">
        <w:rPr>
          <w:i/>
          <w:color w:val="000000" w:themeColor="text1"/>
        </w:rPr>
        <w:t>New Flora of the British Isles</w:t>
      </w:r>
      <w:r w:rsidR="007707DD">
        <w:rPr>
          <w:color w:val="000000" w:themeColor="text1"/>
        </w:rPr>
        <w:t xml:space="preserve"> (Stace, 2010</w:t>
      </w:r>
      <w:proofErr w:type="gramStart"/>
      <w:r w:rsidR="007707DD">
        <w:rPr>
          <w:color w:val="000000" w:themeColor="text1"/>
        </w:rPr>
        <w:t>) ]</w:t>
      </w:r>
      <w:proofErr w:type="gramEnd"/>
      <w:r w:rsidR="007707DD">
        <w:rPr>
          <w:color w:val="000000" w:themeColor="text1"/>
        </w:rPr>
        <w:t>.</w:t>
      </w:r>
      <w:r w:rsidRPr="0045528E">
        <w:rPr>
          <w:noProof/>
        </w:rPr>
        <w:t xml:space="preserve"> </w:t>
      </w:r>
    </w:p>
    <w:p w14:paraId="223E8B00" w14:textId="6500F4FA" w:rsidR="0045528E" w:rsidRDefault="007A644A">
      <w:pPr>
        <w:rPr>
          <w:noProof/>
        </w:rPr>
      </w:pPr>
      <w:r w:rsidRPr="0045528E">
        <w:rPr>
          <w:noProof/>
          <w:color w:val="000000" w:themeColor="text1"/>
        </w:rPr>
        <mc:AlternateContent>
          <mc:Choice Requires="wps">
            <w:drawing>
              <wp:anchor distT="45720" distB="45720" distL="114300" distR="114300" simplePos="0" relativeHeight="251661312" behindDoc="0" locked="0" layoutInCell="1" allowOverlap="1" wp14:anchorId="5FDB92E3" wp14:editId="04D1A6AE">
                <wp:simplePos x="0" y="0"/>
                <wp:positionH relativeFrom="column">
                  <wp:posOffset>-228600</wp:posOffset>
                </wp:positionH>
                <wp:positionV relativeFrom="paragraph">
                  <wp:posOffset>2147570</wp:posOffset>
                </wp:positionV>
                <wp:extent cx="2895600" cy="266700"/>
                <wp:effectExtent l="0" t="0" r="19050"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95600" cy="266700"/>
                        </a:xfrm>
                        <a:prstGeom prst="rect">
                          <a:avLst/>
                        </a:prstGeom>
                        <a:solidFill>
                          <a:srgbClr val="FFFFFF"/>
                        </a:solidFill>
                        <a:ln w="9525">
                          <a:solidFill>
                            <a:srgbClr val="000000"/>
                          </a:solidFill>
                          <a:miter lim="800000"/>
                          <a:headEnd/>
                          <a:tailEnd/>
                        </a:ln>
                      </wps:spPr>
                      <wps:txbx>
                        <w:txbxContent>
                          <w:p w14:paraId="57B4D022" w14:textId="13C2DBE5" w:rsidR="0045528E" w:rsidRPr="0045528E" w:rsidRDefault="0045528E">
                            <w:r>
                              <w:t xml:space="preserve">Above: Figure 1. </w:t>
                            </w:r>
                            <w:r>
                              <w:rPr>
                                <w:i/>
                              </w:rPr>
                              <w:t>My Findings.</w:t>
                            </w:r>
                            <w:r>
                              <w:t xml:space="preserve"> Below: Figure 1.2</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5FDB92E3" id="_x0000_t202" coordsize="21600,21600" o:spt="202" path="m,l,21600r21600,l21600,xe">
                <v:stroke joinstyle="miter"/>
                <v:path gradientshapeok="t" o:connecttype="rect"/>
              </v:shapetype>
              <v:shape id="Text Box 2" o:spid="_x0000_s1026" type="#_x0000_t202" style="position:absolute;margin-left:-18pt;margin-top:169.1pt;width:228pt;height:21pt;z-index:2516613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">
                <v:textbox>
                  <w:txbxContent>
                    <w:p w14:paraId="57B4D022" w14:textId="13C2DBE5" w:rsidR="0045528E" w:rsidRPr="0045528E" w:rsidRDefault="0045528E">
                      <w:r>
                        <w:t xml:space="preserve">Above: Figure 1. </w:t>
                      </w:r>
                      <w:r>
                        <w:rPr>
                          <w:i/>
                        </w:rPr>
                        <w:t>My Findings.</w:t>
                      </w:r>
                      <w:r>
                        <w:t xml:space="preserve"> Below: Figure 1.2</w:t>
                      </w:r>
                    </w:p>
                  </w:txbxContent>
                </v:textbox>
                <w10:wrap type="square"/>
              </v:shape>
            </w:pict>
          </mc:Fallback>
        </mc:AlternateContent>
      </w:r>
      <w:r w:rsidR="0045528E" w:rsidRPr="0045528E">
        <w:rPr>
          <w:noProof/>
          <w:color w:val="000000" w:themeColor="text1"/>
        </w:rPr>
        <mc:AlternateContent>
          <mc:Choice Requires="wps">
            <w:drawing>
              <wp:anchor distT="45720" distB="45720" distL="114300" distR="114300" simplePos="0" relativeHeight="251663360" behindDoc="0" locked="0" layoutInCell="1" allowOverlap="1" wp14:anchorId="2E9A00B5" wp14:editId="31076294">
                <wp:simplePos x="0" y="0"/>
                <wp:positionH relativeFrom="margin">
                  <wp:align>right</wp:align>
                </wp:positionH>
                <wp:positionV relativeFrom="paragraph">
                  <wp:posOffset>1976120</wp:posOffset>
                </wp:positionV>
                <wp:extent cx="2343150" cy="266700"/>
                <wp:effectExtent l="0" t="0" r="19050" b="19050"/>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43150" cy="266700"/>
                        </a:xfrm>
                        <a:prstGeom prst="rect">
                          <a:avLst/>
                        </a:prstGeom>
                        <a:solidFill>
                          <a:srgbClr val="FFFFFF"/>
                        </a:solidFill>
                        <a:ln w="9525">
                          <a:solidFill>
                            <a:srgbClr val="000000"/>
                          </a:solidFill>
                          <a:miter lim="800000"/>
                          <a:headEnd/>
                          <a:tailEnd/>
                        </a:ln>
                      </wps:spPr>
                      <wps:txbx>
                        <w:txbxContent>
                          <w:p w14:paraId="630A77C1" w14:textId="1E923D0B" w:rsidR="0045528E" w:rsidRPr="0045528E" w:rsidRDefault="0045528E" w:rsidP="0045528E">
                            <w:r>
                              <w:t>Figure 2. Findings quantified as types.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E9A00B5" id="_x0000_s1027" type="#_x0000_t202" style="position:absolute;margin-left:133.3pt;margin-top:155.6pt;width:184.5pt;height:21pt;z-index:251663360;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">
                <v:textbox>
                  <w:txbxContent>
                    <w:p w14:paraId="630A77C1" w14:textId="1E923D0B" w:rsidR="0045528E" w:rsidRPr="0045528E" w:rsidRDefault="0045528E" w:rsidP="0045528E">
                      <w:r>
                        <w:t>Figure 2. Findings quantified as types.</w:t>
                      </w:r>
                    </w:p>
                  </w:txbxContent>
                </v:textbox>
                <w10:wrap type="square" anchorx="margin"/>
              </v:shape>
            </w:pict>
          </mc:Fallback>
        </mc:AlternateContent>
      </w:r>
    </w:p>
    <w:p w14:paraId="03BC6C05" w14:textId="32606FCD" w:rsidR="007A79F6" w:rsidRDefault="00357E9B">
      <w:pPr>
        <w:rPr>
          <w:color w:val="000000" w:themeColor="text1"/>
        </w:rPr>
      </w:pPr>
      <w:r>
        <w:rPr>
          <w:noProof/>
        </w:rPr>
        <w:drawing>
          <wp:anchor distT="0" distB="0" distL="114300" distR="114300" simplePos="0" relativeHeight="251659264" behindDoc="1" locked="0" layoutInCell="1" allowOverlap="1" wp14:anchorId="26A94F56" wp14:editId="65E820A0">
            <wp:simplePos x="0" y="0"/>
            <wp:positionH relativeFrom="column">
              <wp:posOffset>-466725</wp:posOffset>
            </wp:positionH>
            <wp:positionV relativeFrom="paragraph">
              <wp:posOffset>386080</wp:posOffset>
            </wp:positionV>
            <wp:extent cx="3373755" cy="1676400"/>
            <wp:effectExtent l="0" t="0" r="0" b="0"/>
            <wp:wrapTight wrapText="bothSides">
              <wp:wrapPolygon edited="0">
                <wp:start x="0" y="0"/>
                <wp:lineTo x="0" y="21355"/>
                <wp:lineTo x="21466" y="21355"/>
                <wp:lineTo x="21466"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
                      <a:extLst>
                        <a:ext uri="{28A0092B-C50C-407E-A947-70E740481C1C}">
                          <a14:useLocalDpi xmlns:a14="http://schemas.microsoft.com/office/drawing/2010/main" val="0"/>
                        </a:ext>
                      </a:extLst>
                    </a:blip>
                    <a:srcRect l="1994" t="28965" r="71250" b="47389"/>
                    <a:stretch/>
                  </pic:blipFill>
                  <pic:spPr bwMode="auto">
                    <a:xfrm>
                      <a:off x="0" y="0"/>
                      <a:ext cx="3373755" cy="16764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B513C5" w:rsidRPr="00B513C5">
        <w:rPr>
          <w:noProof/>
          <w:color w:val="000000" w:themeColor="text1"/>
        </w:rPr>
        <mc:AlternateContent>
          <mc:Choice Requires="wps">
            <w:drawing>
              <wp:anchor distT="45720" distB="45720" distL="114300" distR="114300" simplePos="0" relativeHeight="251666432" behindDoc="0" locked="0" layoutInCell="1" allowOverlap="1" wp14:anchorId="18F0091D" wp14:editId="2D1354DE">
                <wp:simplePos x="0" y="0"/>
                <wp:positionH relativeFrom="margin">
                  <wp:posOffset>3190875</wp:posOffset>
                </wp:positionH>
                <wp:positionV relativeFrom="paragraph">
                  <wp:posOffset>1462405</wp:posOffset>
                </wp:positionV>
                <wp:extent cx="2952750" cy="266700"/>
                <wp:effectExtent l="0" t="0" r="19050" b="19050"/>
                <wp:wrapSquare wrapText="bothSides"/>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52750" cy="266700"/>
                        </a:xfrm>
                        <a:prstGeom prst="rect">
                          <a:avLst/>
                        </a:prstGeom>
                        <a:solidFill>
                          <a:srgbClr val="FFFFFF"/>
                        </a:solidFill>
                        <a:ln w="9525">
                          <a:solidFill>
                            <a:srgbClr val="000000"/>
                          </a:solidFill>
                          <a:miter lim="800000"/>
                          <a:headEnd/>
                          <a:tailEnd/>
                        </a:ln>
                      </wps:spPr>
                      <wps:txbx>
                        <w:txbxContent>
                          <w:p w14:paraId="1A67155A" w14:textId="5BA766F9" w:rsidR="00B513C5" w:rsidRDefault="00B513C5">
                            <w:r>
                              <w:t>Figure 3. Radiocarbon dates for the Pollen chart.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8F0091D" id="_x0000_s1028" type="#_x0000_t202" style="position:absolute;margin-left:251.25pt;margin-top:115.15pt;width:232.5pt;height:21pt;z-index:25166643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">
                <v:textbox>
                  <w:txbxContent>
                    <w:p w14:paraId="1A67155A" w14:textId="5BA766F9" w:rsidR="00B513C5" w:rsidRDefault="00B513C5">
                      <w:r>
                        <w:t>Figure 3. Radiocarbon dates for the Pollen chart.</w:t>
                      </w:r>
                    </w:p>
                  </w:txbxContent>
                </v:textbox>
                <w10:wrap type="square" anchorx="margin"/>
              </v:shape>
            </w:pict>
          </mc:Fallback>
        </mc:AlternateContent>
      </w:r>
      <w:r w:rsidR="00440FF4">
        <w:rPr>
          <w:noProof/>
        </w:rPr>
        <w:drawing>
          <wp:anchor distT="0" distB="0" distL="114300" distR="114300" simplePos="0" relativeHeight="251664384" behindDoc="1" locked="0" layoutInCell="1" allowOverlap="1" wp14:anchorId="13220057" wp14:editId="3647086A">
            <wp:simplePos x="0" y="0"/>
            <wp:positionH relativeFrom="page">
              <wp:posOffset>3924300</wp:posOffset>
            </wp:positionH>
            <wp:positionV relativeFrom="paragraph">
              <wp:posOffset>233680</wp:posOffset>
            </wp:positionV>
            <wp:extent cx="3486150" cy="1337310"/>
            <wp:effectExtent l="0" t="0" r="0" b="0"/>
            <wp:wrapTight wrapText="bothSides">
              <wp:wrapPolygon edited="0">
                <wp:start x="0" y="0"/>
                <wp:lineTo x="0" y="21231"/>
                <wp:lineTo x="21482" y="21231"/>
                <wp:lineTo x="21482"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extLst>
                        <a:ext uri="{28A0092B-C50C-407E-A947-70E740481C1C}">
                          <a14:useLocalDpi xmlns:a14="http://schemas.microsoft.com/office/drawing/2010/main" val="0"/>
                        </a:ext>
                      </a:extLst>
                    </a:blip>
                    <a:srcRect l="26257" t="26601" r="45159" b="53891"/>
                    <a:stretch/>
                  </pic:blipFill>
                  <pic:spPr bwMode="auto">
                    <a:xfrm>
                      <a:off x="0" y="0"/>
                      <a:ext cx="3486150" cy="133731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03804B4" w14:textId="1B1457E0" w:rsidR="00440FF4" w:rsidRDefault="00440FF4">
      <w:pPr>
        <w:rPr>
          <w:color w:val="000000" w:themeColor="text1"/>
        </w:rPr>
      </w:pPr>
    </w:p>
    <w:p w14:paraId="7D35E120" w14:textId="77777777" w:rsidR="00357E9B" w:rsidRDefault="00357E9B">
      <w:pPr>
        <w:rPr>
          <w:color w:val="000000" w:themeColor="text1"/>
        </w:rPr>
      </w:pPr>
    </w:p>
    <w:p w14:paraId="525C58F7" w14:textId="440B367B" w:rsidR="00E44FD3" w:rsidRPr="009544E3" w:rsidRDefault="002646BC">
      <w:pPr>
        <w:rPr>
          <w:color w:val="000000" w:themeColor="text1"/>
        </w:rPr>
      </w:pPr>
      <w:r w:rsidRPr="009544E3">
        <w:rPr>
          <w:color w:val="000000" w:themeColor="text1"/>
        </w:rPr>
        <w:t xml:space="preserve">Using the radiocarbon dates (see figure 3 for reference), I have been able to appoint different time periods to different depths. The </w:t>
      </w:r>
      <w:r w:rsidR="009544E3" w:rsidRPr="009544E3">
        <w:rPr>
          <w:color w:val="000000" w:themeColor="text1"/>
        </w:rPr>
        <w:t>BC</w:t>
      </w:r>
      <w:r w:rsidRPr="009544E3">
        <w:rPr>
          <w:color w:val="000000" w:themeColor="text1"/>
        </w:rPr>
        <w:t xml:space="preserve"> date at 4 to 6cm </w:t>
      </w:r>
      <w:r w:rsidR="00046A03" w:rsidRPr="009544E3">
        <w:rPr>
          <w:color w:val="000000" w:themeColor="text1"/>
        </w:rPr>
        <w:t xml:space="preserve">(165BC to 215AD) show the British Iron Age era through past the Roman conquering of Britain; 70 to 72cm (895 – 430BC) is through the transformation of the Bronze Age into the Iron Age; and finally, 108 – 110cm (2875 – 2475BC) is nearer to the end of the Neolithic period. During the </w:t>
      </w:r>
      <w:r w:rsidR="0084715A" w:rsidRPr="009544E3">
        <w:rPr>
          <w:color w:val="000000" w:themeColor="text1"/>
        </w:rPr>
        <w:t xml:space="preserve">Neolithic and </w:t>
      </w:r>
      <w:r w:rsidR="00046A03" w:rsidRPr="009544E3">
        <w:rPr>
          <w:color w:val="000000" w:themeColor="text1"/>
        </w:rPr>
        <w:t xml:space="preserve">Bronze Age extensive zones of woodland and forestry were </w:t>
      </w:r>
      <w:r w:rsidR="0084715A" w:rsidRPr="009544E3">
        <w:rPr>
          <w:color w:val="000000" w:themeColor="text1"/>
        </w:rPr>
        <w:t>cleared to welcome flatter plains of land for farming and housing (Harding, 2000)</w:t>
      </w:r>
      <w:r w:rsidR="00BD2671" w:rsidRPr="009544E3">
        <w:rPr>
          <w:color w:val="000000" w:themeColor="text1"/>
        </w:rPr>
        <w:t xml:space="preserve">; compared with the works of Robinson (2014) and Cox et al (1989) where they go through extensive detail about the timeframe of early agriculture (including that of clearance of land) I can analyse and estimate what time </w:t>
      </w:r>
      <w:r w:rsidR="007A644A" w:rsidRPr="009544E3">
        <w:rPr>
          <w:color w:val="000000" w:themeColor="text1"/>
        </w:rPr>
        <w:t>frame</w:t>
      </w:r>
      <w:r w:rsidR="00BD2671" w:rsidRPr="009544E3">
        <w:rPr>
          <w:color w:val="000000" w:themeColor="text1"/>
        </w:rPr>
        <w:t xml:space="preserve"> my data has been taken from (roughly during the late Bronze Age). </w:t>
      </w:r>
    </w:p>
    <w:p w14:paraId="65DFAD2B" w14:textId="6ED66A14" w:rsidR="00E44FD3" w:rsidRDefault="00683383">
      <w:pPr>
        <w:rPr>
          <w:color w:val="4472C4" w:themeColor="accent1"/>
        </w:rPr>
      </w:pPr>
      <w:r w:rsidRPr="00683383">
        <w:rPr>
          <w:color w:val="000000" w:themeColor="text1"/>
        </w:rPr>
        <w:t xml:space="preserve">I have drawn different zones on the pollen diagram (figure 3) separating the three major eras which are shown. The first zone, dubbed the Neolithic Era on the diagram, shows a constant increase in the </w:t>
      </w:r>
      <w:r w:rsidRPr="00683383">
        <w:rPr>
          <w:color w:val="000000" w:themeColor="text1"/>
        </w:rPr>
        <w:lastRenderedPageBreak/>
        <w:t>quantities of shrub, trees, and herb pollens. Compared to the right-hand box (named box 3)</w:t>
      </w:r>
      <w:r>
        <w:rPr>
          <w:color w:val="000000" w:themeColor="text1"/>
        </w:rPr>
        <w:t xml:space="preserve"> a correlation can be made between the quantities of the families and can suggest a reason which will be spoken about later. </w:t>
      </w:r>
      <w:r w:rsidR="00BD5BA1">
        <w:rPr>
          <w:color w:val="000000" w:themeColor="text1"/>
        </w:rPr>
        <w:t xml:space="preserve">From the depths of 130-110cm there are hardly any Betula pollen, but Quercus and </w:t>
      </w:r>
      <w:proofErr w:type="spellStart"/>
      <w:r w:rsidR="00BD5BA1">
        <w:rPr>
          <w:color w:val="000000" w:themeColor="text1"/>
        </w:rPr>
        <w:t>Alnus</w:t>
      </w:r>
      <w:proofErr w:type="spellEnd"/>
      <w:r w:rsidR="00BD5BA1">
        <w:rPr>
          <w:color w:val="000000" w:themeColor="text1"/>
        </w:rPr>
        <w:t xml:space="preserve"> dominate the landscape; from 105cm Betula, </w:t>
      </w:r>
      <w:proofErr w:type="spellStart"/>
      <w:r w:rsidR="00BD5BA1">
        <w:rPr>
          <w:color w:val="000000" w:themeColor="text1"/>
        </w:rPr>
        <w:t>Poaceae</w:t>
      </w:r>
      <w:proofErr w:type="spellEnd"/>
      <w:r w:rsidR="00BD5BA1">
        <w:rPr>
          <w:color w:val="000000" w:themeColor="text1"/>
        </w:rPr>
        <w:t xml:space="preserve"> and </w:t>
      </w:r>
      <w:proofErr w:type="spellStart"/>
      <w:r w:rsidR="00BD5BA1">
        <w:rPr>
          <w:color w:val="000000" w:themeColor="text1"/>
        </w:rPr>
        <w:t>Cyperaceae</w:t>
      </w:r>
      <w:proofErr w:type="spellEnd"/>
      <w:r w:rsidR="00BD5BA1">
        <w:rPr>
          <w:color w:val="000000" w:themeColor="text1"/>
        </w:rPr>
        <w:t xml:space="preserve"> start to increase; though they do not share a common correlation to why these changes were happening; Quercus and </w:t>
      </w:r>
      <w:proofErr w:type="spellStart"/>
      <w:r w:rsidR="00BD5BA1">
        <w:rPr>
          <w:color w:val="000000" w:themeColor="text1"/>
        </w:rPr>
        <w:t>Alnus</w:t>
      </w:r>
      <w:proofErr w:type="spellEnd"/>
      <w:r w:rsidR="00BD5BA1">
        <w:rPr>
          <w:color w:val="000000" w:themeColor="text1"/>
        </w:rPr>
        <w:t xml:space="preserve"> are still the main species however have started to fall quite drastically. Between 75 and 70cm the period between the Neolithic starts to end and the beginning of the Bronze Age seems to start. The </w:t>
      </w:r>
      <w:r w:rsidR="002C0D97">
        <w:rPr>
          <w:color w:val="000000" w:themeColor="text1"/>
        </w:rPr>
        <w:t xml:space="preserve">quantity of oak, hazel and alders seem to increase but again, Quercus starts to decrease, as does birch and Salix completely cuts off around this time. </w:t>
      </w:r>
      <w:r w:rsidR="00D0400C">
        <w:rPr>
          <w:color w:val="000000" w:themeColor="text1"/>
        </w:rPr>
        <w:t xml:space="preserve">A comparison which can be made are the heightened pollen counts at the supposed beginning of the Bronze Age at 70cm and that at the beginning of the Neolithic: Quercus keeps increasing, decreasing, before increasing once again to have more than at the beginning of the Neolithic, birch heightened shortly during the mid-Neolithic before falling, and other species such as Salix disappear from the record. </w:t>
      </w:r>
      <w:r w:rsidR="00E44FD3" w:rsidRPr="00683383">
        <w:rPr>
          <w:color w:val="000000" w:themeColor="text1"/>
        </w:rPr>
        <w:t xml:space="preserve"> </w:t>
      </w:r>
    </w:p>
    <w:p w14:paraId="3E76A29D" w14:textId="5288CB41" w:rsidR="00DF1B55" w:rsidRDefault="00341CC0">
      <w:pPr>
        <w:rPr>
          <w:color w:val="4472C4" w:themeColor="accent1"/>
        </w:rPr>
      </w:pPr>
      <w:r>
        <w:rPr>
          <w:color w:val="000000" w:themeColor="text1"/>
        </w:rPr>
        <w:t xml:space="preserve">Zone two, at a depth of between 70-75cm appears to be the start of the Bronze Age and around the depths of 35cm grass starts to disappear, which alluded, would be the continued results of farming and clearance in the landscape. Betula begins steady in the 70cm zone but decreases to nothing at around 55cm, joining again at 35cm, before almost disappearing again near to the beginning of the Iron Age; </w:t>
      </w:r>
      <w:proofErr w:type="spellStart"/>
      <w:r w:rsidR="000A4222">
        <w:rPr>
          <w:color w:val="000000" w:themeColor="text1"/>
        </w:rPr>
        <w:t>quercus</w:t>
      </w:r>
      <w:proofErr w:type="spellEnd"/>
      <w:r w:rsidR="000A4222">
        <w:rPr>
          <w:color w:val="000000" w:themeColor="text1"/>
        </w:rPr>
        <w:t xml:space="preserve"> does what it did in the Neolithic by having spurts of increases and decreases however they are shown to spike </w:t>
      </w:r>
      <w:r w:rsidR="00D50A09">
        <w:rPr>
          <w:color w:val="000000" w:themeColor="text1"/>
        </w:rPr>
        <w:t>harshly instead of a steady drop as seen in the Neolithic; shrubs such as Corylus starts to decent steadily by the mid Bronze Age but still has a good number supporting its species. During this period</w:t>
      </w:r>
      <w:r w:rsidR="003865DC">
        <w:rPr>
          <w:color w:val="000000" w:themeColor="text1"/>
        </w:rPr>
        <w:t>,</w:t>
      </w:r>
      <w:r w:rsidR="00D50A09">
        <w:rPr>
          <w:color w:val="000000" w:themeColor="text1"/>
        </w:rPr>
        <w:t xml:space="preserve"> we start to see herbs such as </w:t>
      </w:r>
      <w:proofErr w:type="spellStart"/>
      <w:r w:rsidR="00D50A09">
        <w:rPr>
          <w:color w:val="000000" w:themeColor="text1"/>
        </w:rPr>
        <w:t>Poaceae</w:t>
      </w:r>
      <w:proofErr w:type="spellEnd"/>
      <w:r w:rsidR="00D50A09">
        <w:rPr>
          <w:color w:val="000000" w:themeColor="text1"/>
        </w:rPr>
        <w:t xml:space="preserve"> </w:t>
      </w:r>
      <w:r w:rsidR="003865DC">
        <w:rPr>
          <w:color w:val="000000" w:themeColor="text1"/>
        </w:rPr>
        <w:t xml:space="preserve">increase, especially between the margins of 60cm and 55cm. </w:t>
      </w:r>
      <w:proofErr w:type="spellStart"/>
      <w:r w:rsidR="003865DC">
        <w:rPr>
          <w:color w:val="000000" w:themeColor="text1"/>
        </w:rPr>
        <w:t>Cyperaceae</w:t>
      </w:r>
      <w:proofErr w:type="spellEnd"/>
      <w:r w:rsidR="003865DC">
        <w:rPr>
          <w:color w:val="000000" w:themeColor="text1"/>
        </w:rPr>
        <w:t xml:space="preserve">, unlike </w:t>
      </w:r>
      <w:proofErr w:type="spellStart"/>
      <w:r w:rsidR="003865DC">
        <w:rPr>
          <w:color w:val="000000" w:themeColor="text1"/>
        </w:rPr>
        <w:t>Poaceae</w:t>
      </w:r>
      <w:proofErr w:type="spellEnd"/>
      <w:r w:rsidR="003865DC">
        <w:rPr>
          <w:color w:val="000000" w:themeColor="text1"/>
        </w:rPr>
        <w:t xml:space="preserve"> starts to have a steady increase throughout the Bronze Age and stays at a steady count throughout the lasting periods. The diagram pictures species such as </w:t>
      </w:r>
      <w:proofErr w:type="spellStart"/>
      <w:r w:rsidR="003865DC">
        <w:rPr>
          <w:color w:val="000000" w:themeColor="text1"/>
        </w:rPr>
        <w:t>Poaceae</w:t>
      </w:r>
      <w:proofErr w:type="spellEnd"/>
      <w:r w:rsidR="003865DC">
        <w:rPr>
          <w:color w:val="000000" w:themeColor="text1"/>
        </w:rPr>
        <w:t xml:space="preserve">, </w:t>
      </w:r>
      <w:proofErr w:type="spellStart"/>
      <w:r w:rsidR="003865DC">
        <w:rPr>
          <w:color w:val="000000" w:themeColor="text1"/>
        </w:rPr>
        <w:t>Cyperaceae</w:t>
      </w:r>
      <w:proofErr w:type="spellEnd"/>
      <w:r w:rsidR="003865DC">
        <w:rPr>
          <w:color w:val="000000" w:themeColor="text1"/>
        </w:rPr>
        <w:t xml:space="preserve">, and </w:t>
      </w:r>
      <w:proofErr w:type="spellStart"/>
      <w:r w:rsidR="003865DC">
        <w:rPr>
          <w:color w:val="000000" w:themeColor="text1"/>
        </w:rPr>
        <w:t>Alnus</w:t>
      </w:r>
      <w:proofErr w:type="spellEnd"/>
      <w:r w:rsidR="003865DC">
        <w:rPr>
          <w:color w:val="000000" w:themeColor="text1"/>
        </w:rPr>
        <w:t xml:space="preserve"> had increased since the start of the supposed start of the Bronze Age at 2570BP; yet Betula has decreased to its almost extinction in the UK before having another steady rise; and </w:t>
      </w:r>
      <w:proofErr w:type="spellStart"/>
      <w:r w:rsidR="003865DC">
        <w:rPr>
          <w:color w:val="000000" w:themeColor="text1"/>
        </w:rPr>
        <w:t>Ulmus</w:t>
      </w:r>
      <w:proofErr w:type="spellEnd"/>
      <w:r w:rsidR="003865DC">
        <w:rPr>
          <w:color w:val="000000" w:themeColor="text1"/>
        </w:rPr>
        <w:t xml:space="preserve"> having a small increase during 65cm and 55cm before dying out once more. There are the same amount of species and species diversion during the Bronze Age as there is during the Neolithic, but more than the early Neolithic at 130cm depth.</w:t>
      </w:r>
    </w:p>
    <w:p w14:paraId="5CEA06AB" w14:textId="5748058B" w:rsidR="00DF1B55" w:rsidRDefault="00BD0FA9">
      <w:pPr>
        <w:rPr>
          <w:color w:val="4472C4" w:themeColor="accent1"/>
        </w:rPr>
      </w:pPr>
      <w:r>
        <w:rPr>
          <w:color w:val="000000" w:themeColor="text1"/>
        </w:rPr>
        <w:t xml:space="preserve">The last zone, zone 3, </w:t>
      </w:r>
      <w:r w:rsidR="00D03DB4">
        <w:rPr>
          <w:color w:val="000000" w:themeColor="text1"/>
        </w:rPr>
        <w:t xml:space="preserve">is an incredibly short zone </w:t>
      </w:r>
      <w:r w:rsidR="00F73599">
        <w:rPr>
          <w:color w:val="000000" w:themeColor="text1"/>
        </w:rPr>
        <w:t xml:space="preserve">and focuses on the last hundred years of the Iron Age until </w:t>
      </w:r>
      <w:r w:rsidR="00027F67">
        <w:rPr>
          <w:color w:val="000000" w:themeColor="text1"/>
        </w:rPr>
        <w:t xml:space="preserve">during the Roman occupation of southern Britain in c. 215AD. During this period, the layer </w:t>
      </w:r>
      <w:r w:rsidR="00BD0E97">
        <w:rPr>
          <w:color w:val="000000" w:themeColor="text1"/>
        </w:rPr>
        <w:t xml:space="preserve">shows a surprisingly comparative section from the trees, shrubs, some herbs, and some spores; </w:t>
      </w:r>
      <w:r w:rsidR="00517065">
        <w:rPr>
          <w:color w:val="000000" w:themeColor="text1"/>
        </w:rPr>
        <w:t xml:space="preserve">there seems to be around the same amount of </w:t>
      </w:r>
      <w:proofErr w:type="spellStart"/>
      <w:r w:rsidR="00517065">
        <w:rPr>
          <w:color w:val="000000" w:themeColor="text1"/>
        </w:rPr>
        <w:t>quercus</w:t>
      </w:r>
      <w:proofErr w:type="spellEnd"/>
      <w:r w:rsidR="00517065">
        <w:rPr>
          <w:color w:val="000000" w:themeColor="text1"/>
        </w:rPr>
        <w:t xml:space="preserve"> and </w:t>
      </w:r>
      <w:proofErr w:type="spellStart"/>
      <w:r w:rsidR="00517065">
        <w:rPr>
          <w:color w:val="000000" w:themeColor="text1"/>
        </w:rPr>
        <w:t>alnus</w:t>
      </w:r>
      <w:proofErr w:type="spellEnd"/>
      <w:r w:rsidR="00517065">
        <w:rPr>
          <w:color w:val="000000" w:themeColor="text1"/>
        </w:rPr>
        <w:t xml:space="preserve"> in the same area, even though </w:t>
      </w:r>
      <w:proofErr w:type="spellStart"/>
      <w:r w:rsidR="00517065">
        <w:rPr>
          <w:color w:val="000000" w:themeColor="text1"/>
        </w:rPr>
        <w:t>quercus</w:t>
      </w:r>
      <w:proofErr w:type="spellEnd"/>
      <w:r w:rsidR="00517065">
        <w:rPr>
          <w:color w:val="000000" w:themeColor="text1"/>
        </w:rPr>
        <w:t xml:space="preserve"> has a single spike in around the 10cm mark. Corylus, a shrub that had been dominating the pollen diagram since the mid-Neolithic had dropped down considerably </w:t>
      </w:r>
      <w:r w:rsidR="00252ED3">
        <w:rPr>
          <w:color w:val="000000" w:themeColor="text1"/>
        </w:rPr>
        <w:t xml:space="preserve">to measure almost the same as </w:t>
      </w:r>
      <w:proofErr w:type="spellStart"/>
      <w:r w:rsidR="00252ED3">
        <w:rPr>
          <w:color w:val="000000" w:themeColor="text1"/>
        </w:rPr>
        <w:t>quercus</w:t>
      </w:r>
      <w:proofErr w:type="spellEnd"/>
      <w:r w:rsidR="00252ED3">
        <w:rPr>
          <w:color w:val="000000" w:themeColor="text1"/>
        </w:rPr>
        <w:t xml:space="preserve"> and </w:t>
      </w:r>
      <w:proofErr w:type="spellStart"/>
      <w:r w:rsidR="00252ED3">
        <w:rPr>
          <w:color w:val="000000" w:themeColor="text1"/>
        </w:rPr>
        <w:t>alnus</w:t>
      </w:r>
      <w:proofErr w:type="spellEnd"/>
      <w:r w:rsidR="00252ED3">
        <w:rPr>
          <w:color w:val="000000" w:themeColor="text1"/>
        </w:rPr>
        <w:t xml:space="preserve">. However, it seems that during the late Iron Age and early to mid-Roman era, </w:t>
      </w:r>
      <w:r w:rsidR="0021595B">
        <w:rPr>
          <w:color w:val="000000" w:themeColor="text1"/>
        </w:rPr>
        <w:t xml:space="preserve">herbs had started to take over as a dominant pollen count. Whether this is due to Robinson’s explanation of clearance and the Roman’s placing more buildings into an area, it seems to suggest that there would be a lack of forestry or woodland to allow the herbs to fluctuate in the specific area. </w:t>
      </w:r>
      <w:proofErr w:type="spellStart"/>
      <w:r w:rsidR="0021595B">
        <w:rPr>
          <w:color w:val="000000" w:themeColor="text1"/>
        </w:rPr>
        <w:t>Cyperaceae</w:t>
      </w:r>
      <w:proofErr w:type="spellEnd"/>
      <w:r w:rsidR="0021595B">
        <w:rPr>
          <w:color w:val="000000" w:themeColor="text1"/>
        </w:rPr>
        <w:t xml:space="preserve"> has a sharp spike in its count and goes up to a count of 20 per section, making it the highest count of pollen, a close margin with Corylus during the Neolithic. There is also a short increase of the spore </w:t>
      </w:r>
      <w:proofErr w:type="spellStart"/>
      <w:r w:rsidR="0021595B">
        <w:rPr>
          <w:color w:val="000000" w:themeColor="text1"/>
        </w:rPr>
        <w:t>Pleridium</w:t>
      </w:r>
      <w:proofErr w:type="spellEnd"/>
      <w:r w:rsidR="0021595B">
        <w:rPr>
          <w:color w:val="000000" w:themeColor="text1"/>
        </w:rPr>
        <w:t xml:space="preserve"> on the count. Betula has almost disappeared even after its promising steady increase before the start of the roman era, suggesting that its downfall </w:t>
      </w:r>
      <w:r w:rsidR="006345C0">
        <w:rPr>
          <w:color w:val="000000" w:themeColor="text1"/>
        </w:rPr>
        <w:t xml:space="preserve">could be due to not only the competition of shrubs, but the competition of </w:t>
      </w:r>
      <w:proofErr w:type="spellStart"/>
      <w:r w:rsidR="006345C0">
        <w:rPr>
          <w:color w:val="000000" w:themeColor="text1"/>
        </w:rPr>
        <w:t>Alnus</w:t>
      </w:r>
      <w:proofErr w:type="spellEnd"/>
      <w:r w:rsidR="006345C0">
        <w:rPr>
          <w:color w:val="000000" w:themeColor="text1"/>
        </w:rPr>
        <w:t xml:space="preserve"> and Quercus, two bigger species which out-competed Betula (Connolly, 1996). </w:t>
      </w:r>
      <w:r w:rsidR="008A4682">
        <w:rPr>
          <w:color w:val="000000" w:themeColor="text1"/>
        </w:rPr>
        <w:t xml:space="preserve">Because of this competition, and the decrease in trees, I suspect this to be the leading factor in the sudden burst of smaller species such as herbs and spores. The lack of trees allows sunlight to penetrate grounds it would not have been able to before which in affect then permits the growth of these species. Comparing the information from the laboratory </w:t>
      </w:r>
      <w:r w:rsidR="008A4682">
        <w:rPr>
          <w:color w:val="000000" w:themeColor="text1"/>
        </w:rPr>
        <w:lastRenderedPageBreak/>
        <w:t xml:space="preserve">pollen analysis we conducted it becomes far easier to deduct what activity may have been responsible for the sheer amount of tree pollen to drop considerably and it is most likely to do with the change of soil composition which humans may have caused by clearing the woodland surrounding the area (Roberts, 1989).  </w:t>
      </w:r>
    </w:p>
    <w:p w14:paraId="7D574A3B" w14:textId="42A56CCC" w:rsidR="00683383" w:rsidRDefault="00AF5B64">
      <w:pPr>
        <w:rPr>
          <w:color w:val="000000" w:themeColor="text1"/>
        </w:rPr>
      </w:pPr>
      <w:r>
        <w:rPr>
          <w:color w:val="000000" w:themeColor="text1"/>
        </w:rPr>
        <w:t xml:space="preserve">For the whole of the three marked zones it is noticeable at varied periods that as Betula decreases, hazel increases and vice versa, which could suggest a competition of the species. The climate and/or weather could have also altered the species at the time, as well as human influences or new plant diseases from different continents (Moore, et al). </w:t>
      </w:r>
      <w:r w:rsidR="000B5AC6">
        <w:rPr>
          <w:color w:val="000000" w:themeColor="text1"/>
        </w:rPr>
        <w:t xml:space="preserve">Where there are spikes of tree activity could also suggest an abandonment of a sight and the regrowth of the species in the times, before perhaps the site was returned to and cleared once again – this means that human influence heavily alters what pollen count there may be (Moore, 1991). Herb and spore pollen counts also appear as these trees are cut away until they are reintroduced which alluded to, would be the result of more sunlight on the area and allowing for the specific type of smaller species to grow. All things considered, with the help of human activity, only one species of tree seemed to have disappeared completely from the site, with that being Betula, and could conclude in </w:t>
      </w:r>
      <w:proofErr w:type="spellStart"/>
      <w:r w:rsidR="000B5AC6">
        <w:rPr>
          <w:color w:val="000000" w:themeColor="text1"/>
        </w:rPr>
        <w:t>Whitland</w:t>
      </w:r>
      <w:proofErr w:type="spellEnd"/>
      <w:r w:rsidR="000B5AC6">
        <w:rPr>
          <w:color w:val="000000" w:themeColor="text1"/>
        </w:rPr>
        <w:t xml:space="preserve"> that even though it is obvious that there was a decline of trees (see ‘box 2’ on the pollen diagram for a better representation), it was not until mid-Bronze Age when other species would </w:t>
      </w:r>
      <w:r w:rsidR="00FE0E65">
        <w:rPr>
          <w:color w:val="000000" w:themeColor="text1"/>
        </w:rPr>
        <w:t>decline,</w:t>
      </w:r>
      <w:r w:rsidR="000B5AC6">
        <w:rPr>
          <w:color w:val="000000" w:themeColor="text1"/>
        </w:rPr>
        <w:t xml:space="preserve"> and other plant-based activities would rise.</w:t>
      </w:r>
    </w:p>
    <w:p w14:paraId="6D889198" w14:textId="2B46789E" w:rsidR="00860C48" w:rsidRDefault="00860C48">
      <w:pPr>
        <w:rPr>
          <w:color w:val="000000" w:themeColor="text1"/>
        </w:rPr>
      </w:pPr>
    </w:p>
    <w:p w14:paraId="498E1DBD" w14:textId="6C17BB6B" w:rsidR="00860C48" w:rsidRDefault="00860C48">
      <w:pPr>
        <w:rPr>
          <w:color w:val="000000" w:themeColor="text1"/>
        </w:rPr>
      </w:pPr>
    </w:p>
    <w:p w14:paraId="657DD6F4" w14:textId="27AC3BD0" w:rsidR="00860C48" w:rsidRDefault="00860C48">
      <w:pPr>
        <w:rPr>
          <w:color w:val="000000" w:themeColor="text1"/>
        </w:rPr>
      </w:pPr>
    </w:p>
    <w:p w14:paraId="157F66FE" w14:textId="539EDC3D" w:rsidR="00860C48" w:rsidRDefault="00860C48">
      <w:pPr>
        <w:rPr>
          <w:color w:val="000000" w:themeColor="text1"/>
        </w:rPr>
      </w:pPr>
    </w:p>
    <w:p w14:paraId="1073F252" w14:textId="4B23E551" w:rsidR="00860C48" w:rsidRDefault="00860C48">
      <w:pPr>
        <w:rPr>
          <w:color w:val="000000" w:themeColor="text1"/>
        </w:rPr>
      </w:pPr>
    </w:p>
    <w:p w14:paraId="3B2130BD" w14:textId="0357941C" w:rsidR="00860C48" w:rsidRDefault="00860C48">
      <w:pPr>
        <w:rPr>
          <w:color w:val="000000" w:themeColor="text1"/>
        </w:rPr>
      </w:pPr>
    </w:p>
    <w:p w14:paraId="51D9BAA8" w14:textId="28DA999F" w:rsidR="00860C48" w:rsidRDefault="00860C48">
      <w:pPr>
        <w:rPr>
          <w:color w:val="000000" w:themeColor="text1"/>
        </w:rPr>
      </w:pPr>
    </w:p>
    <w:p w14:paraId="65443363" w14:textId="047459E0" w:rsidR="00860C48" w:rsidRDefault="00860C48">
      <w:pPr>
        <w:rPr>
          <w:color w:val="000000" w:themeColor="text1"/>
        </w:rPr>
      </w:pPr>
    </w:p>
    <w:p w14:paraId="7EA891FB" w14:textId="23F53F73" w:rsidR="00860C48" w:rsidRDefault="00860C48">
      <w:pPr>
        <w:rPr>
          <w:color w:val="000000" w:themeColor="text1"/>
        </w:rPr>
      </w:pPr>
    </w:p>
    <w:p w14:paraId="128FDC99" w14:textId="340E8770" w:rsidR="00860C48" w:rsidRDefault="00860C48">
      <w:pPr>
        <w:rPr>
          <w:color w:val="000000" w:themeColor="text1"/>
        </w:rPr>
      </w:pPr>
    </w:p>
    <w:p w14:paraId="2C6EB3D2" w14:textId="2DF55ADA" w:rsidR="00860C48" w:rsidRDefault="00860C48">
      <w:pPr>
        <w:rPr>
          <w:color w:val="000000" w:themeColor="text1"/>
        </w:rPr>
      </w:pPr>
    </w:p>
    <w:p w14:paraId="38AB35B0" w14:textId="1B376846" w:rsidR="00860C48" w:rsidRDefault="00860C48">
      <w:pPr>
        <w:rPr>
          <w:color w:val="000000" w:themeColor="text1"/>
        </w:rPr>
      </w:pPr>
    </w:p>
    <w:p w14:paraId="37A7F5E9" w14:textId="4191B320" w:rsidR="00860C48" w:rsidRDefault="00860C48">
      <w:pPr>
        <w:rPr>
          <w:color w:val="000000" w:themeColor="text1"/>
        </w:rPr>
      </w:pPr>
    </w:p>
    <w:p w14:paraId="0D91B768" w14:textId="2A35D006" w:rsidR="00860C48" w:rsidRDefault="00860C48">
      <w:pPr>
        <w:rPr>
          <w:color w:val="000000" w:themeColor="text1"/>
        </w:rPr>
      </w:pPr>
    </w:p>
    <w:p w14:paraId="6D7A3557" w14:textId="045D4F88" w:rsidR="00860C48" w:rsidRDefault="00860C48">
      <w:pPr>
        <w:rPr>
          <w:color w:val="000000" w:themeColor="text1"/>
        </w:rPr>
      </w:pPr>
    </w:p>
    <w:p w14:paraId="0AC0D0E1" w14:textId="2219EB42" w:rsidR="00860C48" w:rsidRDefault="00860C48">
      <w:pPr>
        <w:rPr>
          <w:color w:val="000000" w:themeColor="text1"/>
        </w:rPr>
      </w:pPr>
    </w:p>
    <w:p w14:paraId="5762FA33" w14:textId="0B254B5A" w:rsidR="00860C48" w:rsidRDefault="00860C48">
      <w:pPr>
        <w:rPr>
          <w:color w:val="000000" w:themeColor="text1"/>
        </w:rPr>
      </w:pPr>
    </w:p>
    <w:p w14:paraId="30C8607D" w14:textId="122A5602" w:rsidR="00860C48" w:rsidRDefault="00860C48">
      <w:pPr>
        <w:rPr>
          <w:color w:val="000000" w:themeColor="text1"/>
        </w:rPr>
      </w:pPr>
    </w:p>
    <w:p w14:paraId="2C6D0EF3" w14:textId="4BA59503" w:rsidR="00357E9B" w:rsidRDefault="00357E9B">
      <w:pPr>
        <w:rPr>
          <w:color w:val="000000" w:themeColor="text1"/>
        </w:rPr>
      </w:pPr>
    </w:p>
    <w:p w14:paraId="3265CE5F" w14:textId="73E393C9" w:rsidR="008B5F0A" w:rsidRDefault="00FE0E65">
      <w:pPr>
        <w:rPr>
          <w:color w:val="000000" w:themeColor="text1"/>
          <w:u w:val="single"/>
        </w:rPr>
      </w:pPr>
      <w:r>
        <w:rPr>
          <w:noProof/>
          <w:color w:val="000000" w:themeColor="text1"/>
          <w:u w:val="single"/>
        </w:rPr>
        <w:lastRenderedPageBreak/>
        <w:drawing>
          <wp:anchor distT="0" distB="0" distL="114300" distR="114300" simplePos="0" relativeHeight="251667456" behindDoc="0" locked="0" layoutInCell="1" allowOverlap="1" wp14:anchorId="4448BD47" wp14:editId="63E6D757">
            <wp:simplePos x="0" y="0"/>
            <wp:positionH relativeFrom="margin">
              <wp:align>left</wp:align>
            </wp:positionH>
            <wp:positionV relativeFrom="paragraph">
              <wp:posOffset>0</wp:posOffset>
            </wp:positionV>
            <wp:extent cx="2990850" cy="9705975"/>
            <wp:effectExtent l="0" t="0" r="0" b="9525"/>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IMG_20180510_0002.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2991631" cy="9709083"/>
                    </a:xfrm>
                    <a:prstGeom prst="rect">
                      <a:avLst/>
                    </a:prstGeom>
                  </pic:spPr>
                </pic:pic>
              </a:graphicData>
            </a:graphic>
            <wp14:sizeRelH relativeFrom="page">
              <wp14:pctWidth>0</wp14:pctWidth>
            </wp14:sizeRelH>
            <wp14:sizeRelV relativeFrom="page">
              <wp14:pctHeight>0</wp14:pctHeight>
            </wp14:sizeRelV>
          </wp:anchor>
        </w:drawing>
      </w:r>
    </w:p>
    <w:p w14:paraId="6487D053" w14:textId="77777777" w:rsidR="00745C14" w:rsidRDefault="00FE0E65">
      <w:pPr>
        <w:rPr>
          <w:color w:val="000000" w:themeColor="text1"/>
          <w:u w:val="single"/>
        </w:rPr>
      </w:pPr>
      <w:r>
        <w:rPr>
          <w:noProof/>
          <w:color w:val="000000" w:themeColor="text1"/>
          <w:u w:val="single"/>
        </w:rPr>
        <w:lastRenderedPageBreak/>
        <w:drawing>
          <wp:anchor distT="0" distB="0" distL="114300" distR="114300" simplePos="0" relativeHeight="251668480" behindDoc="1" locked="0" layoutInCell="1" allowOverlap="1" wp14:anchorId="5C3E8278" wp14:editId="6686781E">
            <wp:simplePos x="0" y="0"/>
            <wp:positionH relativeFrom="margin">
              <wp:align>left</wp:align>
            </wp:positionH>
            <wp:positionV relativeFrom="paragraph">
              <wp:posOffset>0</wp:posOffset>
            </wp:positionV>
            <wp:extent cx="6115050" cy="9063355"/>
            <wp:effectExtent l="0" t="0" r="0" b="4445"/>
            <wp:wrapTight wrapText="bothSides">
              <wp:wrapPolygon edited="0">
                <wp:start x="0" y="0"/>
                <wp:lineTo x="0" y="21565"/>
                <wp:lineTo x="21533" y="21565"/>
                <wp:lineTo x="21533" y="0"/>
                <wp:lineTo x="0" y="0"/>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IMG_20180510_0003.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6115050" cy="9063355"/>
                    </a:xfrm>
                    <a:prstGeom prst="rect">
                      <a:avLst/>
                    </a:prstGeom>
                  </pic:spPr>
                </pic:pic>
              </a:graphicData>
            </a:graphic>
            <wp14:sizeRelH relativeFrom="page">
              <wp14:pctWidth>0</wp14:pctWidth>
            </wp14:sizeRelH>
            <wp14:sizeRelV relativeFrom="page">
              <wp14:pctHeight>0</wp14:pctHeight>
            </wp14:sizeRelV>
          </wp:anchor>
        </w:drawing>
      </w:r>
    </w:p>
    <w:p w14:paraId="206DEFDE" w14:textId="0F73B232" w:rsidR="008777BE" w:rsidRPr="008777BE" w:rsidRDefault="008777BE">
      <w:pPr>
        <w:rPr>
          <w:color w:val="000000" w:themeColor="text1"/>
          <w:u w:val="single"/>
        </w:rPr>
      </w:pPr>
      <w:bookmarkStart w:id="0" w:name="_GoBack"/>
      <w:bookmarkEnd w:id="0"/>
      <w:r w:rsidRPr="008777BE">
        <w:rPr>
          <w:color w:val="000000" w:themeColor="text1"/>
          <w:u w:val="single"/>
        </w:rPr>
        <w:lastRenderedPageBreak/>
        <w:t>Reference</w:t>
      </w:r>
      <w:r w:rsidR="00025BE2">
        <w:rPr>
          <w:color w:val="000000" w:themeColor="text1"/>
          <w:u w:val="single"/>
        </w:rPr>
        <w:t>s</w:t>
      </w:r>
      <w:r w:rsidRPr="008777BE">
        <w:rPr>
          <w:color w:val="000000" w:themeColor="text1"/>
          <w:u w:val="single"/>
        </w:rPr>
        <w:t>.</w:t>
      </w:r>
    </w:p>
    <w:p w14:paraId="472F574F" w14:textId="20E9BF43" w:rsidR="008777BE" w:rsidRPr="008777BE" w:rsidRDefault="008777BE">
      <w:pPr>
        <w:rPr>
          <w:color w:val="000000" w:themeColor="text1"/>
        </w:rPr>
      </w:pPr>
      <w:r>
        <w:rPr>
          <w:color w:val="000000" w:themeColor="text1"/>
        </w:rPr>
        <w:t xml:space="preserve">Connolly, J., Wayne, P. 1996. </w:t>
      </w:r>
      <w:r>
        <w:rPr>
          <w:i/>
          <w:color w:val="000000" w:themeColor="text1"/>
        </w:rPr>
        <w:t>Asymmetric Competition between Plant Species</w:t>
      </w:r>
      <w:r>
        <w:rPr>
          <w:color w:val="000000" w:themeColor="text1"/>
        </w:rPr>
        <w:t xml:space="preserve">. </w:t>
      </w:r>
      <w:proofErr w:type="spellStart"/>
      <w:r>
        <w:rPr>
          <w:color w:val="000000" w:themeColor="text1"/>
        </w:rPr>
        <w:t>Oecologia</w:t>
      </w:r>
      <w:proofErr w:type="spellEnd"/>
      <w:r>
        <w:rPr>
          <w:color w:val="000000" w:themeColor="text1"/>
        </w:rPr>
        <w:t xml:space="preserve"> vol. 108, no. 2. pp. 311-320. </w:t>
      </w:r>
    </w:p>
    <w:p w14:paraId="3EFF14CC" w14:textId="51F88C68" w:rsidR="008777BE" w:rsidRPr="008777BE" w:rsidRDefault="008777BE">
      <w:pPr>
        <w:rPr>
          <w:color w:val="000000" w:themeColor="text1"/>
        </w:rPr>
      </w:pPr>
      <w:r>
        <w:rPr>
          <w:color w:val="000000" w:themeColor="text1"/>
        </w:rPr>
        <w:t xml:space="preserve">Cox, DC., Edwards, JR., Hill, RC., Kettle, AJ., </w:t>
      </w:r>
      <w:proofErr w:type="spellStart"/>
      <w:r>
        <w:rPr>
          <w:color w:val="000000" w:themeColor="text1"/>
        </w:rPr>
        <w:t>Perren</w:t>
      </w:r>
      <w:proofErr w:type="spellEnd"/>
      <w:r>
        <w:rPr>
          <w:color w:val="000000" w:themeColor="text1"/>
        </w:rPr>
        <w:t xml:space="preserve">, R., Rowley, R., Stamper, P. 1989. </w:t>
      </w:r>
      <w:r>
        <w:rPr>
          <w:i/>
          <w:color w:val="000000" w:themeColor="text1"/>
        </w:rPr>
        <w:t xml:space="preserve">Early Agriculture in A History of the County of Shropshire: Volume 4, Agriculture. </w:t>
      </w:r>
      <w:r>
        <w:rPr>
          <w:color w:val="000000" w:themeColor="text1"/>
        </w:rPr>
        <w:t xml:space="preserve">London: GC Baugh and CR </w:t>
      </w:r>
      <w:proofErr w:type="spellStart"/>
      <w:r>
        <w:rPr>
          <w:color w:val="000000" w:themeColor="text1"/>
        </w:rPr>
        <w:t>Elrington</w:t>
      </w:r>
      <w:proofErr w:type="spellEnd"/>
      <w:r>
        <w:rPr>
          <w:color w:val="000000" w:themeColor="text1"/>
        </w:rPr>
        <w:t xml:space="preserve">. pp. 20-26. British History Online. Available: </w:t>
      </w:r>
      <w:hyperlink r:id="rId10" w:history="1">
        <w:r w:rsidRPr="001D703D">
          <w:rPr>
            <w:rStyle w:val="Hyperlink"/>
          </w:rPr>
          <w:t>http://ww.british-history.ac.uk/vch/salop/vol4/pp20-26</w:t>
        </w:r>
      </w:hyperlink>
      <w:r>
        <w:rPr>
          <w:color w:val="000000" w:themeColor="text1"/>
        </w:rPr>
        <w:t>. [ Last accessed: 10/05/18</w:t>
      </w:r>
      <w:proofErr w:type="gramStart"/>
      <w:r>
        <w:rPr>
          <w:color w:val="000000" w:themeColor="text1"/>
        </w:rPr>
        <w:t>. ]</w:t>
      </w:r>
      <w:proofErr w:type="gramEnd"/>
    </w:p>
    <w:p w14:paraId="4FBACA97" w14:textId="3497CF79" w:rsidR="00167D18" w:rsidRPr="00167D18" w:rsidRDefault="00167D18">
      <w:pPr>
        <w:rPr>
          <w:color w:val="000000" w:themeColor="text1"/>
        </w:rPr>
      </w:pPr>
      <w:r>
        <w:rPr>
          <w:color w:val="000000" w:themeColor="text1"/>
        </w:rPr>
        <w:t xml:space="preserve">Moore, P., Webb, J. &amp; Collinson, M., 1991. </w:t>
      </w:r>
      <w:r>
        <w:rPr>
          <w:i/>
          <w:color w:val="000000" w:themeColor="text1"/>
        </w:rPr>
        <w:t>Pollen Analysis</w:t>
      </w:r>
      <w:r>
        <w:rPr>
          <w:color w:val="000000" w:themeColor="text1"/>
        </w:rPr>
        <w:t>. 2</w:t>
      </w:r>
      <w:r w:rsidRPr="00167D18">
        <w:rPr>
          <w:color w:val="000000" w:themeColor="text1"/>
          <w:vertAlign w:val="superscript"/>
        </w:rPr>
        <w:t>nd</w:t>
      </w:r>
      <w:r>
        <w:rPr>
          <w:color w:val="000000" w:themeColor="text1"/>
        </w:rPr>
        <w:t xml:space="preserve"> ed.  Oxford: Blackwell Scientific Publications. </w:t>
      </w:r>
    </w:p>
    <w:p w14:paraId="6093DBCD" w14:textId="22845F94" w:rsidR="00860C48" w:rsidRDefault="00167D18">
      <w:pPr>
        <w:rPr>
          <w:color w:val="000000" w:themeColor="text1"/>
        </w:rPr>
      </w:pPr>
      <w:r>
        <w:rPr>
          <w:color w:val="000000" w:themeColor="text1"/>
        </w:rPr>
        <w:t xml:space="preserve">Roberts, N. 1989. </w:t>
      </w:r>
      <w:r>
        <w:rPr>
          <w:i/>
          <w:color w:val="000000" w:themeColor="text1"/>
        </w:rPr>
        <w:t xml:space="preserve">The </w:t>
      </w:r>
      <w:proofErr w:type="spellStart"/>
      <w:r>
        <w:rPr>
          <w:i/>
          <w:color w:val="000000" w:themeColor="text1"/>
        </w:rPr>
        <w:t>Holocne</w:t>
      </w:r>
      <w:proofErr w:type="spellEnd"/>
      <w:r>
        <w:rPr>
          <w:i/>
          <w:color w:val="000000" w:themeColor="text1"/>
        </w:rPr>
        <w:t>: An Environmental History</w:t>
      </w:r>
      <w:r>
        <w:rPr>
          <w:color w:val="000000" w:themeColor="text1"/>
        </w:rPr>
        <w:t xml:space="preserve">. Oxford: Basil Blackwell. </w:t>
      </w:r>
    </w:p>
    <w:p w14:paraId="4B5375D9" w14:textId="0B4E5F70" w:rsidR="00167D18" w:rsidRPr="00167D18" w:rsidRDefault="00167D18">
      <w:pPr>
        <w:rPr>
          <w:color w:val="000000" w:themeColor="text1"/>
        </w:rPr>
      </w:pPr>
      <w:r>
        <w:rPr>
          <w:color w:val="000000" w:themeColor="text1"/>
        </w:rPr>
        <w:t xml:space="preserve">Robinson, M. 2014. </w:t>
      </w:r>
      <w:r>
        <w:rPr>
          <w:i/>
          <w:color w:val="000000" w:themeColor="text1"/>
        </w:rPr>
        <w:t xml:space="preserve">The </w:t>
      </w:r>
      <w:proofErr w:type="spellStart"/>
      <w:r>
        <w:rPr>
          <w:i/>
          <w:color w:val="000000" w:themeColor="text1"/>
        </w:rPr>
        <w:t>ecodynamics</w:t>
      </w:r>
      <w:proofErr w:type="spellEnd"/>
      <w:r>
        <w:rPr>
          <w:i/>
          <w:color w:val="000000" w:themeColor="text1"/>
        </w:rPr>
        <w:t xml:space="preserve"> of Clearance in the British Neolithic</w:t>
      </w:r>
      <w:r>
        <w:rPr>
          <w:color w:val="000000" w:themeColor="text1"/>
        </w:rPr>
        <w:t xml:space="preserve">. Environmental Archaeology: The Journal of Human </w:t>
      </w:r>
      <w:proofErr w:type="spellStart"/>
      <w:r>
        <w:rPr>
          <w:color w:val="000000" w:themeColor="text1"/>
        </w:rPr>
        <w:t>Palaeoecology</w:t>
      </w:r>
      <w:proofErr w:type="spellEnd"/>
      <w:r>
        <w:rPr>
          <w:color w:val="000000" w:themeColor="text1"/>
        </w:rPr>
        <w:t xml:space="preserve">. Available: </w:t>
      </w:r>
      <w:hyperlink r:id="rId11" w:history="1">
        <w:r w:rsidRPr="001D703D">
          <w:rPr>
            <w:rStyle w:val="Hyperlink"/>
          </w:rPr>
          <w:t>https://www.tandfonline.com/doi/full/10.1179/1749631414Y.0000000028</w:t>
        </w:r>
      </w:hyperlink>
      <w:r>
        <w:rPr>
          <w:color w:val="000000" w:themeColor="text1"/>
        </w:rPr>
        <w:t>. [ Last accessed: 10/05/18</w:t>
      </w:r>
      <w:proofErr w:type="gramStart"/>
      <w:r>
        <w:rPr>
          <w:color w:val="000000" w:themeColor="text1"/>
        </w:rPr>
        <w:t>. ]</w:t>
      </w:r>
      <w:proofErr w:type="gramEnd"/>
    </w:p>
    <w:p w14:paraId="28B81BAC" w14:textId="41FA6A91" w:rsidR="008777BE" w:rsidRPr="00167D18" w:rsidRDefault="00167D18">
      <w:pPr>
        <w:rPr>
          <w:color w:val="000000" w:themeColor="text1"/>
        </w:rPr>
      </w:pPr>
      <w:r>
        <w:rPr>
          <w:color w:val="000000" w:themeColor="text1"/>
        </w:rPr>
        <w:t xml:space="preserve">Stace, C. 2010. </w:t>
      </w:r>
      <w:r>
        <w:rPr>
          <w:i/>
          <w:color w:val="000000" w:themeColor="text1"/>
        </w:rPr>
        <w:t>New Flora of the British Isles</w:t>
      </w:r>
      <w:r>
        <w:rPr>
          <w:color w:val="000000" w:themeColor="text1"/>
        </w:rPr>
        <w:t>. 3</w:t>
      </w:r>
      <w:r w:rsidRPr="00167D18">
        <w:rPr>
          <w:color w:val="000000" w:themeColor="text1"/>
          <w:vertAlign w:val="superscript"/>
        </w:rPr>
        <w:t>rd</w:t>
      </w:r>
      <w:r>
        <w:rPr>
          <w:color w:val="000000" w:themeColor="text1"/>
        </w:rPr>
        <w:t xml:space="preserve"> ed. Cambridge: Cambridge University Press.</w:t>
      </w:r>
    </w:p>
    <w:sectPr w:rsidR="008777BE" w:rsidRPr="00167D1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9DA16EF"/>
    <w:multiLevelType w:val="multilevel"/>
    <w:tmpl w:val="0D4452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A79F6"/>
    <w:rsid w:val="00025BE2"/>
    <w:rsid w:val="00027F67"/>
    <w:rsid w:val="00046A03"/>
    <w:rsid w:val="000A4222"/>
    <w:rsid w:val="000B5AC6"/>
    <w:rsid w:val="001578A9"/>
    <w:rsid w:val="00167D18"/>
    <w:rsid w:val="0021595B"/>
    <w:rsid w:val="00252ED3"/>
    <w:rsid w:val="002646BC"/>
    <w:rsid w:val="002C0D97"/>
    <w:rsid w:val="002E0705"/>
    <w:rsid w:val="00341CC0"/>
    <w:rsid w:val="00357E9B"/>
    <w:rsid w:val="003865DC"/>
    <w:rsid w:val="00440FF4"/>
    <w:rsid w:val="0045528E"/>
    <w:rsid w:val="004608C9"/>
    <w:rsid w:val="004E0C53"/>
    <w:rsid w:val="00517065"/>
    <w:rsid w:val="005A17F7"/>
    <w:rsid w:val="005F5515"/>
    <w:rsid w:val="006345C0"/>
    <w:rsid w:val="00683383"/>
    <w:rsid w:val="00745C14"/>
    <w:rsid w:val="00757280"/>
    <w:rsid w:val="007657CF"/>
    <w:rsid w:val="007707DD"/>
    <w:rsid w:val="007A644A"/>
    <w:rsid w:val="007A79F6"/>
    <w:rsid w:val="0084715A"/>
    <w:rsid w:val="00860C48"/>
    <w:rsid w:val="008777BE"/>
    <w:rsid w:val="008A4682"/>
    <w:rsid w:val="008B5F0A"/>
    <w:rsid w:val="009544E3"/>
    <w:rsid w:val="00955730"/>
    <w:rsid w:val="00965985"/>
    <w:rsid w:val="0099659E"/>
    <w:rsid w:val="00A0558E"/>
    <w:rsid w:val="00AF5B64"/>
    <w:rsid w:val="00B513C5"/>
    <w:rsid w:val="00B76047"/>
    <w:rsid w:val="00BD0E97"/>
    <w:rsid w:val="00BD0FA9"/>
    <w:rsid w:val="00BD2671"/>
    <w:rsid w:val="00BD5BA1"/>
    <w:rsid w:val="00C657DB"/>
    <w:rsid w:val="00C728DC"/>
    <w:rsid w:val="00D03DB4"/>
    <w:rsid w:val="00D0400C"/>
    <w:rsid w:val="00D50A09"/>
    <w:rsid w:val="00DF1B55"/>
    <w:rsid w:val="00E3042B"/>
    <w:rsid w:val="00E44FD3"/>
    <w:rsid w:val="00F73599"/>
    <w:rsid w:val="00FE0E6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994535"/>
  <w15:chartTrackingRefBased/>
  <w15:docId w15:val="{548C5B2F-D8F9-47F5-B1F1-05B63C5BED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link w:val="Heading1Char"/>
    <w:uiPriority w:val="9"/>
    <w:qFormat/>
    <w:rsid w:val="00167D18"/>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67D18"/>
    <w:rPr>
      <w:rFonts w:ascii="Times New Roman" w:eastAsia="Times New Roman" w:hAnsi="Times New Roman" w:cs="Times New Roman"/>
      <w:b/>
      <w:bCs/>
      <w:kern w:val="36"/>
      <w:sz w:val="48"/>
      <w:szCs w:val="48"/>
      <w:lang w:eastAsia="en-GB"/>
    </w:rPr>
  </w:style>
  <w:style w:type="character" w:customStyle="1" w:styleId="nlmarticle-title">
    <w:name w:val="nlm_article-title"/>
    <w:basedOn w:val="DefaultParagraphFont"/>
    <w:rsid w:val="00167D18"/>
  </w:style>
  <w:style w:type="character" w:styleId="Hyperlink">
    <w:name w:val="Hyperlink"/>
    <w:basedOn w:val="DefaultParagraphFont"/>
    <w:uiPriority w:val="99"/>
    <w:unhideWhenUsed/>
    <w:rsid w:val="00167D18"/>
    <w:rPr>
      <w:color w:val="0000FF"/>
      <w:u w:val="single"/>
    </w:rPr>
  </w:style>
  <w:style w:type="character" w:styleId="UnresolvedMention">
    <w:name w:val="Unresolved Mention"/>
    <w:basedOn w:val="DefaultParagraphFont"/>
    <w:uiPriority w:val="99"/>
    <w:semiHidden/>
    <w:unhideWhenUsed/>
    <w:rsid w:val="00167D18"/>
    <w:rPr>
      <w:color w:val="808080"/>
      <w:shd w:val="clear" w:color="auto" w:fill="E6E6E6"/>
    </w:rPr>
  </w:style>
  <w:style w:type="character" w:styleId="Emphasis">
    <w:name w:val="Emphasis"/>
    <w:basedOn w:val="DefaultParagraphFont"/>
    <w:uiPriority w:val="20"/>
    <w:qFormat/>
    <w:rsid w:val="008777BE"/>
    <w:rPr>
      <w:i/>
      <w:iCs/>
    </w:rPr>
  </w:style>
  <w:style w:type="character" w:styleId="HTMLCite">
    <w:name w:val="HTML Cite"/>
    <w:basedOn w:val="DefaultParagraphFont"/>
    <w:uiPriority w:val="99"/>
    <w:semiHidden/>
    <w:unhideWhenUsed/>
    <w:rsid w:val="008777BE"/>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66631257">
      <w:bodyDiv w:val="1"/>
      <w:marLeft w:val="0"/>
      <w:marRight w:val="0"/>
      <w:marTop w:val="0"/>
      <w:marBottom w:val="0"/>
      <w:divBdr>
        <w:top w:val="none" w:sz="0" w:space="0" w:color="auto"/>
        <w:left w:val="none" w:sz="0" w:space="0" w:color="auto"/>
        <w:bottom w:val="none" w:sz="0" w:space="0" w:color="auto"/>
        <w:right w:val="none" w:sz="0" w:space="0" w:color="auto"/>
      </w:divBdr>
    </w:div>
    <w:div w:id="1540051624">
      <w:bodyDiv w:val="1"/>
      <w:marLeft w:val="0"/>
      <w:marRight w:val="0"/>
      <w:marTop w:val="0"/>
      <w:marBottom w:val="0"/>
      <w:divBdr>
        <w:top w:val="none" w:sz="0" w:space="0" w:color="auto"/>
        <w:left w:val="none" w:sz="0" w:space="0" w:color="auto"/>
        <w:bottom w:val="none" w:sz="0" w:space="0" w:color="auto"/>
        <w:right w:val="none" w:sz="0" w:space="0" w:color="auto"/>
      </w:divBdr>
      <w:divsChild>
        <w:div w:id="792676000">
          <w:marLeft w:val="0"/>
          <w:marRight w:val="0"/>
          <w:marTop w:val="0"/>
          <w:marBottom w:val="0"/>
          <w:divBdr>
            <w:top w:val="none" w:sz="0" w:space="0" w:color="auto"/>
            <w:left w:val="none" w:sz="0" w:space="0" w:color="auto"/>
            <w:bottom w:val="none" w:sz="0" w:space="0" w:color="auto"/>
            <w:right w:val="none" w:sz="0" w:space="0" w:color="auto"/>
          </w:divBdr>
        </w:div>
        <w:div w:id="269166083">
          <w:marLeft w:val="0"/>
          <w:marRight w:val="0"/>
          <w:marTop w:val="0"/>
          <w:marBottom w:val="0"/>
          <w:divBdr>
            <w:top w:val="none" w:sz="0" w:space="0" w:color="auto"/>
            <w:left w:val="none" w:sz="0" w:space="0" w:color="auto"/>
            <w:bottom w:val="none" w:sz="0" w:space="0" w:color="auto"/>
            <w:right w:val="none" w:sz="0" w:space="0" w:color="auto"/>
          </w:divBdr>
        </w:div>
      </w:divsChild>
    </w:div>
    <w:div w:id="1767920261">
      <w:bodyDiv w:val="1"/>
      <w:marLeft w:val="0"/>
      <w:marRight w:val="0"/>
      <w:marTop w:val="0"/>
      <w:marBottom w:val="0"/>
      <w:divBdr>
        <w:top w:val="none" w:sz="0" w:space="0" w:color="auto"/>
        <w:left w:val="none" w:sz="0" w:space="0" w:color="auto"/>
        <w:bottom w:val="none" w:sz="0" w:space="0" w:color="auto"/>
        <w:right w:val="none" w:sz="0" w:space="0" w:color="auto"/>
      </w:divBdr>
    </w:div>
    <w:div w:id="1794787047">
      <w:bodyDiv w:val="1"/>
      <w:marLeft w:val="0"/>
      <w:marRight w:val="0"/>
      <w:marTop w:val="0"/>
      <w:marBottom w:val="0"/>
      <w:divBdr>
        <w:top w:val="none" w:sz="0" w:space="0" w:color="auto"/>
        <w:left w:val="none" w:sz="0" w:space="0" w:color="auto"/>
        <w:bottom w:val="none" w:sz="0" w:space="0" w:color="auto"/>
        <w:right w:val="none" w:sz="0" w:space="0" w:color="auto"/>
      </w:divBdr>
    </w:div>
    <w:div w:id="1877815046">
      <w:bodyDiv w:val="1"/>
      <w:marLeft w:val="0"/>
      <w:marRight w:val="0"/>
      <w:marTop w:val="0"/>
      <w:marBottom w:val="0"/>
      <w:divBdr>
        <w:top w:val="none" w:sz="0" w:space="0" w:color="auto"/>
        <w:left w:val="none" w:sz="0" w:space="0" w:color="auto"/>
        <w:bottom w:val="none" w:sz="0" w:space="0" w:color="auto"/>
        <w:right w:val="none" w:sz="0" w:space="0" w:color="auto"/>
      </w:divBdr>
      <w:divsChild>
        <w:div w:id="651064571">
          <w:marLeft w:val="0"/>
          <w:marRight w:val="0"/>
          <w:marTop w:val="0"/>
          <w:marBottom w:val="0"/>
          <w:divBdr>
            <w:top w:val="none" w:sz="0" w:space="0" w:color="auto"/>
            <w:left w:val="none" w:sz="0" w:space="0" w:color="auto"/>
            <w:bottom w:val="none" w:sz="0" w:space="0" w:color="auto"/>
            <w:right w:val="none" w:sz="0" w:space="0" w:color="auto"/>
          </w:divBdr>
        </w:div>
      </w:divsChild>
    </w:div>
    <w:div w:id="19008959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e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s://www.tandfonline.com/doi/full/10.1179/1749631414Y.0000000028" TargetMode="External"/><Relationship Id="rId5" Type="http://schemas.openxmlformats.org/officeDocument/2006/relationships/image" Target="media/image1.png"/><Relationship Id="rId10" Type="http://schemas.openxmlformats.org/officeDocument/2006/relationships/hyperlink" Target="http://ww.british-history.ac.uk/vch/salop/vol4/pp20-26" TargetMode="External"/><Relationship Id="rId4" Type="http://schemas.openxmlformats.org/officeDocument/2006/relationships/webSettings" Target="webSettings.xml"/><Relationship Id="rId9" Type="http://schemas.openxmlformats.org/officeDocument/2006/relationships/image" Target="media/image5.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TotalTime>
  <Pages>6</Pages>
  <Words>1396</Words>
  <Characters>7958</Characters>
  <Application>Microsoft Office Word</Application>
  <DocSecurity>0</DocSecurity>
  <Lines>66</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9336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Chelsea Hodges (1601396)</dc:creator>
  <cp:keywords/>
  <dc:description/>
  <cp:lastModifiedBy>Chelsea Hodges (1601396)</cp:lastModifiedBy>
  <cp:revision>11</cp:revision>
  <dcterms:created xsi:type="dcterms:W3CDTF">2018-05-10T20:46:00Z</dcterms:created>
  <dcterms:modified xsi:type="dcterms:W3CDTF">2018-05-10T21:03:00Z</dcterms:modified>
</cp:coreProperties>
</file>