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klhaawmfv7r1" w:colFirst="0" w:colLast="0" w:displacedByCustomXml="next"/>
    <w:bookmarkEnd w:id="0" w:displacedByCustomXml="next"/>
    <w:sdt>
      <w:sdtPr>
        <w:rPr>
          <w:color w:val="4F81BD" w:themeColor="accent1"/>
        </w:rPr>
        <w:id w:val="-2120446137"/>
        <w:docPartObj>
          <w:docPartGallery w:val="Cover Pages"/>
          <w:docPartUnique/>
        </w:docPartObj>
      </w:sdtPr>
      <w:sdtEndPr>
        <w:rPr>
          <w:color w:val="auto"/>
          <w:sz w:val="24"/>
          <w:szCs w:val="24"/>
        </w:rPr>
      </w:sdtEndPr>
      <w:sdtContent>
        <w:p w14:paraId="31C936FC" w14:textId="77777777" w:rsidR="0061391F" w:rsidRDefault="0061391F" w:rsidP="0061391F">
          <w:pPr>
            <w:spacing w:before="212"/>
            <w:jc w:val="center"/>
            <w:rPr>
              <w:b/>
              <w:sz w:val="56"/>
            </w:rPr>
          </w:pPr>
          <w:r>
            <w:rPr>
              <w:b/>
              <w:noProof/>
              <w:sz w:val="56"/>
            </w:rPr>
            <w:drawing>
              <wp:inline distT="0" distB="0" distL="0" distR="0" wp14:anchorId="5A15CE1A" wp14:editId="1190979C">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F4F2ECD" w14:textId="77777777" w:rsidR="0061391F" w:rsidRPr="0066224E" w:rsidRDefault="0061391F" w:rsidP="0061391F">
          <w:pPr>
            <w:spacing w:before="212"/>
            <w:jc w:val="center"/>
            <w:rPr>
              <w:b/>
              <w:sz w:val="36"/>
              <w:szCs w:val="36"/>
            </w:rPr>
          </w:pPr>
        </w:p>
        <w:p w14:paraId="6BC32C5C" w14:textId="77777777" w:rsidR="0061391F" w:rsidRDefault="0061391F" w:rsidP="0061391F">
          <w:pPr>
            <w:spacing w:before="212"/>
            <w:rPr>
              <w:b/>
              <w:sz w:val="56"/>
            </w:rPr>
          </w:pPr>
        </w:p>
        <w:p w14:paraId="3989C6F9" w14:textId="2552A3E4" w:rsidR="0061391F" w:rsidRDefault="0061391F" w:rsidP="0061391F">
          <w:pPr>
            <w:spacing w:before="212"/>
            <w:rPr>
              <w:b/>
              <w:sz w:val="48"/>
              <w:szCs w:val="48"/>
            </w:rPr>
          </w:pPr>
          <w:r w:rsidRPr="00DD5969">
            <w:rPr>
              <w:b/>
              <w:sz w:val="48"/>
              <w:szCs w:val="48"/>
            </w:rPr>
            <w:t>MODULE CODE:</w:t>
          </w:r>
          <w:r>
            <w:rPr>
              <w:b/>
              <w:sz w:val="48"/>
              <w:szCs w:val="48"/>
            </w:rPr>
            <w:t xml:space="preserve"> EDCE7016</w:t>
          </w:r>
        </w:p>
        <w:p w14:paraId="75A31A8A" w14:textId="77777777" w:rsidR="0061391F" w:rsidRDefault="0061391F" w:rsidP="0061391F">
          <w:pPr>
            <w:spacing w:before="212"/>
            <w:rPr>
              <w:b/>
              <w:sz w:val="48"/>
              <w:szCs w:val="48"/>
            </w:rPr>
          </w:pPr>
        </w:p>
        <w:p w14:paraId="0D3E2968" w14:textId="6E66305A" w:rsidR="0061391F" w:rsidRPr="00DD5969" w:rsidRDefault="0061391F" w:rsidP="0061391F">
          <w:pPr>
            <w:spacing w:before="212"/>
            <w:rPr>
              <w:b/>
              <w:sz w:val="48"/>
              <w:szCs w:val="48"/>
            </w:rPr>
          </w:pPr>
          <w:r>
            <w:rPr>
              <w:b/>
              <w:sz w:val="48"/>
              <w:szCs w:val="48"/>
            </w:rPr>
            <w:t>ASSESSMENT COMPONENT:</w:t>
          </w:r>
          <w:r>
            <w:rPr>
              <w:b/>
              <w:sz w:val="48"/>
              <w:szCs w:val="48"/>
            </w:rPr>
            <w:t>2</w:t>
          </w:r>
        </w:p>
        <w:p w14:paraId="24C72545" w14:textId="77777777" w:rsidR="0061391F" w:rsidRDefault="0061391F" w:rsidP="0061391F">
          <w:pPr>
            <w:spacing w:before="7"/>
            <w:jc w:val="center"/>
            <w:rPr>
              <w:b/>
              <w:sz w:val="44"/>
            </w:rPr>
          </w:pPr>
        </w:p>
        <w:p w14:paraId="06ED7B2C" w14:textId="0D366240" w:rsidR="0061391F" w:rsidRPr="00DD5969" w:rsidRDefault="0061391F" w:rsidP="0061391F">
          <w:pPr>
            <w:spacing w:before="3"/>
            <w:rPr>
              <w:b/>
              <w:sz w:val="48"/>
              <w:szCs w:val="48"/>
            </w:rPr>
          </w:pPr>
          <w:r w:rsidRPr="00DD5969">
            <w:rPr>
              <w:b/>
              <w:sz w:val="48"/>
              <w:szCs w:val="48"/>
            </w:rPr>
            <w:t>STUDENT NAME:</w:t>
          </w:r>
          <w:r>
            <w:rPr>
              <w:b/>
              <w:sz w:val="48"/>
              <w:szCs w:val="48"/>
            </w:rPr>
            <w:t xml:space="preserve"> Owain Glyn Jones</w:t>
          </w:r>
        </w:p>
        <w:p w14:paraId="5F9AF5D0" w14:textId="77777777" w:rsidR="0061391F" w:rsidRPr="00DD5969" w:rsidRDefault="0061391F" w:rsidP="0061391F">
          <w:pPr>
            <w:spacing w:before="3"/>
            <w:rPr>
              <w:b/>
              <w:sz w:val="48"/>
              <w:szCs w:val="48"/>
            </w:rPr>
          </w:pPr>
        </w:p>
        <w:p w14:paraId="56D51A8E" w14:textId="1F050D51" w:rsidR="0061391F" w:rsidRPr="00DD5969" w:rsidRDefault="0061391F" w:rsidP="0061391F">
          <w:pPr>
            <w:spacing w:before="3"/>
            <w:rPr>
              <w:b/>
              <w:sz w:val="48"/>
              <w:szCs w:val="48"/>
            </w:rPr>
          </w:pPr>
          <w:r w:rsidRPr="00DD5969">
            <w:rPr>
              <w:b/>
              <w:sz w:val="48"/>
              <w:szCs w:val="48"/>
            </w:rPr>
            <w:t xml:space="preserve">STUDENT </w:t>
          </w:r>
          <w:r>
            <w:rPr>
              <w:b/>
              <w:sz w:val="48"/>
              <w:szCs w:val="48"/>
            </w:rPr>
            <w:t>NUMBER</w:t>
          </w:r>
          <w:r w:rsidRPr="00DD5969">
            <w:rPr>
              <w:b/>
              <w:sz w:val="48"/>
              <w:szCs w:val="48"/>
            </w:rPr>
            <w:t>:</w:t>
          </w:r>
          <w:r>
            <w:rPr>
              <w:b/>
              <w:sz w:val="48"/>
              <w:szCs w:val="48"/>
            </w:rPr>
            <w:t xml:space="preserve"> 241</w:t>
          </w:r>
          <w:r w:rsidR="008A767D">
            <w:rPr>
              <w:b/>
              <w:sz w:val="48"/>
              <w:szCs w:val="48"/>
            </w:rPr>
            <w:t>3521</w:t>
          </w:r>
        </w:p>
        <w:p w14:paraId="4868AC4D" w14:textId="77777777" w:rsidR="0061391F" w:rsidRDefault="0061391F" w:rsidP="0061391F">
          <w:pPr>
            <w:rPr>
              <w:b/>
              <w:sz w:val="47"/>
            </w:rPr>
          </w:pPr>
        </w:p>
        <w:p w14:paraId="72A6E355" w14:textId="77777777" w:rsidR="0061391F" w:rsidRPr="00192D3C" w:rsidRDefault="0061391F" w:rsidP="0061391F">
          <w:pPr>
            <w:ind w:left="100"/>
            <w:jc w:val="center"/>
            <w:rPr>
              <w:b/>
              <w:sz w:val="47"/>
            </w:rPr>
          </w:pPr>
        </w:p>
        <w:p w14:paraId="076C1A29" w14:textId="77777777" w:rsidR="0061391F" w:rsidRDefault="0061391F" w:rsidP="0061391F">
          <w:pPr>
            <w:ind w:left="100"/>
            <w:rPr>
              <w:b/>
              <w:sz w:val="47"/>
            </w:rPr>
          </w:pPr>
        </w:p>
        <w:p w14:paraId="5934481F" w14:textId="77777777" w:rsidR="0061391F" w:rsidRDefault="0061391F" w:rsidP="0061391F">
          <w:pPr>
            <w:ind w:left="100"/>
            <w:rPr>
              <w:b/>
              <w:sz w:val="47"/>
            </w:rPr>
          </w:pPr>
        </w:p>
        <w:p w14:paraId="45BFB410" w14:textId="77777777" w:rsidR="0061391F" w:rsidRPr="00192D3C" w:rsidRDefault="0061391F" w:rsidP="0061391F">
          <w:pPr>
            <w:ind w:left="100"/>
            <w:rPr>
              <w:b/>
              <w:sz w:val="47"/>
            </w:rPr>
          </w:pPr>
          <w:r w:rsidRPr="00192D3C">
            <w:rPr>
              <w:b/>
              <w:sz w:val="47"/>
            </w:rPr>
            <w:t>Doctorate in Education (EdD)</w:t>
          </w:r>
        </w:p>
        <w:p w14:paraId="666BABBE" w14:textId="77777777" w:rsidR="0061391F" w:rsidRPr="00192D3C" w:rsidRDefault="0061391F" w:rsidP="0061391F">
          <w:pPr>
            <w:jc w:val="center"/>
            <w:rPr>
              <w:b/>
              <w:sz w:val="40"/>
            </w:rPr>
          </w:pPr>
        </w:p>
        <w:p w14:paraId="4BA8815F" w14:textId="77777777" w:rsidR="0061391F" w:rsidRPr="00E243A8" w:rsidRDefault="0061391F" w:rsidP="0061391F">
          <w:pPr>
            <w:rPr>
              <w:b/>
              <w:bCs/>
              <w:sz w:val="32"/>
              <w:szCs w:val="32"/>
              <w:u w:val="single"/>
            </w:rPr>
          </w:pPr>
          <w:r w:rsidRPr="00E243A8">
            <w:rPr>
              <w:b/>
              <w:bCs/>
              <w:sz w:val="32"/>
              <w:szCs w:val="32"/>
              <w:u w:val="single"/>
            </w:rPr>
            <w:lastRenderedPageBreak/>
            <w:t>AI Acknowledgement</w:t>
          </w:r>
        </w:p>
        <w:p w14:paraId="1A780230" w14:textId="77777777" w:rsidR="0061391F" w:rsidRDefault="0061391F" w:rsidP="0061391F"/>
        <w:p w14:paraId="08F8BBC4" w14:textId="77777777" w:rsidR="0061391F" w:rsidRDefault="0061391F" w:rsidP="0061391F">
          <w:r w:rsidRPr="00E243A8">
            <w:t xml:space="preserve">I confirm that I have not used any AI tools in the research and creation of this assignment. </w:t>
          </w:r>
        </w:p>
        <w:p w14:paraId="4947F6E4" w14:textId="77777777" w:rsidR="0061391F" w:rsidRDefault="0061391F" w:rsidP="0061391F">
          <w:r w:rsidRPr="00E243A8">
            <w:t xml:space="preserve">I confirm that I have not presented any AI generated materials as my own work. </w:t>
          </w:r>
        </w:p>
        <w:p w14:paraId="68D75481" w14:textId="77777777" w:rsidR="0061391F" w:rsidRPr="00E243A8" w:rsidRDefault="0061391F" w:rsidP="0061391F">
          <w:r w:rsidRPr="00E243A8">
            <w:t xml:space="preserve">I confirm </w:t>
          </w:r>
          <w:r>
            <w:t xml:space="preserve">that </w:t>
          </w:r>
          <w:r w:rsidRPr="00E243A8">
            <w:t>I have copies of my drafts, notes, and other resources I used, which I may be asked to provide in evidence.</w:t>
          </w:r>
        </w:p>
        <w:p w14:paraId="27D1C43D" w14:textId="77777777" w:rsidR="0061391F" w:rsidRDefault="0061391F" w:rsidP="0061391F"/>
        <w:p w14:paraId="19321452" w14:textId="54E9B1E4" w:rsidR="0061391F" w:rsidRDefault="0061391F" w:rsidP="0061391F">
          <w:r w:rsidRPr="00DD5969">
            <w:t xml:space="preserve">. </w:t>
          </w:r>
        </w:p>
        <w:p w14:paraId="3B1F018B" w14:textId="31425DD0" w:rsidR="00B00745" w:rsidRDefault="00B00745" w:rsidP="0061391F">
          <w:pPr>
            <w:pStyle w:val="NoSpacing"/>
            <w:spacing w:before="1540" w:after="240"/>
            <w:jc w:val="center"/>
            <w:rPr>
              <w:color w:val="4F81BD" w:themeColor="accent1"/>
            </w:rPr>
          </w:pPr>
        </w:p>
        <w:p w14:paraId="4E89D14C" w14:textId="5CDA3438" w:rsidR="00B00745" w:rsidRDefault="00B00745">
          <w:pPr>
            <w:rPr>
              <w:sz w:val="24"/>
              <w:szCs w:val="24"/>
            </w:rPr>
          </w:pPr>
          <w:r>
            <w:rPr>
              <w:sz w:val="24"/>
              <w:szCs w:val="24"/>
            </w:rPr>
            <w:br w:type="page"/>
          </w:r>
        </w:p>
      </w:sdtContent>
    </w:sdt>
    <w:sdt>
      <w:sdtPr>
        <w:rPr>
          <w:rFonts w:ascii="Arial" w:hAnsi="Arial" w:cs="Arial"/>
          <w:sz w:val="24"/>
          <w:szCs w:val="24"/>
        </w:rPr>
        <w:id w:val="889230662"/>
        <w:docPartObj>
          <w:docPartGallery w:val="Table of Contents"/>
          <w:docPartUnique/>
        </w:docPartObj>
      </w:sdtPr>
      <w:sdtEndPr>
        <w:rPr>
          <w:rFonts w:eastAsia="Arial"/>
          <w:b/>
          <w:bCs/>
          <w:noProof/>
          <w:color w:val="auto"/>
          <w:lang w:val="en" w:eastAsia="en-GB"/>
        </w:rPr>
      </w:sdtEndPr>
      <w:sdtContent>
        <w:p w14:paraId="5694937B" w14:textId="61A87963" w:rsidR="00F3673A" w:rsidRPr="00B00745" w:rsidRDefault="00F3673A" w:rsidP="00B00745">
          <w:pPr>
            <w:pStyle w:val="TOCHeading"/>
            <w:spacing w:line="480" w:lineRule="auto"/>
            <w:rPr>
              <w:rFonts w:ascii="Arial" w:hAnsi="Arial" w:cs="Arial"/>
              <w:sz w:val="24"/>
              <w:szCs w:val="24"/>
            </w:rPr>
          </w:pPr>
          <w:r w:rsidRPr="00F3673A">
            <w:rPr>
              <w:rFonts w:ascii="Arial" w:hAnsi="Arial" w:cs="Arial"/>
              <w:sz w:val="24"/>
              <w:szCs w:val="24"/>
            </w:rPr>
            <w:t>Contents</w:t>
          </w:r>
        </w:p>
        <w:p w14:paraId="2B5D102C" w14:textId="1A61EAE4" w:rsidR="00D96AD0" w:rsidRPr="00D96AD0" w:rsidRDefault="00F3673A" w:rsidP="00D96AD0">
          <w:pPr>
            <w:pStyle w:val="TOC2"/>
            <w:rPr>
              <w:rFonts w:asciiTheme="minorHAnsi" w:eastAsiaTheme="minorEastAsia" w:hAnsiTheme="minorHAnsi" w:cstheme="minorBidi"/>
              <w:kern w:val="2"/>
              <w:lang w:val="en-GB"/>
              <w14:ligatures w14:val="standardContextual"/>
            </w:rPr>
          </w:pPr>
          <w:r w:rsidRPr="00F3673A">
            <w:fldChar w:fldCharType="begin"/>
          </w:r>
          <w:r w:rsidRPr="00F3673A">
            <w:instrText xml:space="preserve"> TOC \o "1-3" \h \z \u </w:instrText>
          </w:r>
          <w:r w:rsidRPr="00F3673A">
            <w:fldChar w:fldCharType="separate"/>
          </w:r>
          <w:hyperlink w:anchor="_Toc219753175" w:history="1">
            <w:r w:rsidR="00D96AD0" w:rsidRPr="00D96AD0">
              <w:rPr>
                <w:rStyle w:val="Hyperlink"/>
              </w:rPr>
              <w:t>List of Figures</w:t>
            </w:r>
            <w:r w:rsidR="00D96AD0" w:rsidRPr="00D96AD0">
              <w:rPr>
                <w:webHidden/>
              </w:rPr>
              <w:tab/>
            </w:r>
            <w:r w:rsidR="00D96AD0" w:rsidRPr="00D96AD0">
              <w:rPr>
                <w:webHidden/>
              </w:rPr>
              <w:fldChar w:fldCharType="begin"/>
            </w:r>
            <w:r w:rsidR="00D96AD0" w:rsidRPr="00D96AD0">
              <w:rPr>
                <w:webHidden/>
              </w:rPr>
              <w:instrText xml:space="preserve"> PAGEREF _Toc219753175 \h </w:instrText>
            </w:r>
            <w:r w:rsidR="00D96AD0" w:rsidRPr="00D96AD0">
              <w:rPr>
                <w:webHidden/>
              </w:rPr>
            </w:r>
            <w:r w:rsidR="00D96AD0" w:rsidRPr="00D96AD0">
              <w:rPr>
                <w:webHidden/>
              </w:rPr>
              <w:fldChar w:fldCharType="separate"/>
            </w:r>
            <w:r w:rsidR="00D96AD0" w:rsidRPr="00D96AD0">
              <w:rPr>
                <w:webHidden/>
              </w:rPr>
              <w:t>3</w:t>
            </w:r>
            <w:r w:rsidR="00D96AD0" w:rsidRPr="00D96AD0">
              <w:rPr>
                <w:webHidden/>
              </w:rPr>
              <w:fldChar w:fldCharType="end"/>
            </w:r>
          </w:hyperlink>
        </w:p>
        <w:p w14:paraId="2C4235C3" w14:textId="063767B4" w:rsidR="00D96AD0" w:rsidRDefault="00D96AD0">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9753176" w:history="1">
            <w:r w:rsidRPr="00145EA2">
              <w:rPr>
                <w:rStyle w:val="Hyperlink"/>
                <w:noProof/>
              </w:rPr>
              <w:t>1. Introduction</w:t>
            </w:r>
            <w:r>
              <w:rPr>
                <w:noProof/>
                <w:webHidden/>
              </w:rPr>
              <w:tab/>
            </w:r>
            <w:r>
              <w:rPr>
                <w:noProof/>
                <w:webHidden/>
              </w:rPr>
              <w:fldChar w:fldCharType="begin"/>
            </w:r>
            <w:r>
              <w:rPr>
                <w:noProof/>
                <w:webHidden/>
              </w:rPr>
              <w:instrText xml:space="preserve"> PAGEREF _Toc219753176 \h </w:instrText>
            </w:r>
            <w:r>
              <w:rPr>
                <w:noProof/>
                <w:webHidden/>
              </w:rPr>
            </w:r>
            <w:r>
              <w:rPr>
                <w:noProof/>
                <w:webHidden/>
              </w:rPr>
              <w:fldChar w:fldCharType="separate"/>
            </w:r>
            <w:r>
              <w:rPr>
                <w:noProof/>
                <w:webHidden/>
              </w:rPr>
              <w:t>4</w:t>
            </w:r>
            <w:r>
              <w:rPr>
                <w:noProof/>
                <w:webHidden/>
              </w:rPr>
              <w:fldChar w:fldCharType="end"/>
            </w:r>
          </w:hyperlink>
        </w:p>
        <w:p w14:paraId="03154226" w14:textId="7C06C433"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77" w:history="1">
            <w:r w:rsidRPr="00145EA2">
              <w:rPr>
                <w:rStyle w:val="Hyperlink"/>
              </w:rPr>
              <w:t>1.1 Background and professional context</w:t>
            </w:r>
            <w:r>
              <w:rPr>
                <w:webHidden/>
              </w:rPr>
              <w:tab/>
            </w:r>
            <w:r>
              <w:rPr>
                <w:webHidden/>
              </w:rPr>
              <w:fldChar w:fldCharType="begin"/>
            </w:r>
            <w:r>
              <w:rPr>
                <w:webHidden/>
              </w:rPr>
              <w:instrText xml:space="preserve"> PAGEREF _Toc219753177 \h </w:instrText>
            </w:r>
            <w:r>
              <w:rPr>
                <w:webHidden/>
              </w:rPr>
            </w:r>
            <w:r>
              <w:rPr>
                <w:webHidden/>
              </w:rPr>
              <w:fldChar w:fldCharType="separate"/>
            </w:r>
            <w:r>
              <w:rPr>
                <w:webHidden/>
              </w:rPr>
              <w:t>4</w:t>
            </w:r>
            <w:r>
              <w:rPr>
                <w:webHidden/>
              </w:rPr>
              <w:fldChar w:fldCharType="end"/>
            </w:r>
          </w:hyperlink>
        </w:p>
        <w:p w14:paraId="61976A25" w14:textId="1C216569"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78" w:history="1">
            <w:r w:rsidRPr="00145EA2">
              <w:rPr>
                <w:rStyle w:val="Hyperlink"/>
              </w:rPr>
              <w:t>1.2 Rationale and significance</w:t>
            </w:r>
            <w:r>
              <w:rPr>
                <w:webHidden/>
              </w:rPr>
              <w:tab/>
            </w:r>
            <w:r>
              <w:rPr>
                <w:webHidden/>
              </w:rPr>
              <w:fldChar w:fldCharType="begin"/>
            </w:r>
            <w:r>
              <w:rPr>
                <w:webHidden/>
              </w:rPr>
              <w:instrText xml:space="preserve"> PAGEREF _Toc219753178 \h </w:instrText>
            </w:r>
            <w:r>
              <w:rPr>
                <w:webHidden/>
              </w:rPr>
            </w:r>
            <w:r>
              <w:rPr>
                <w:webHidden/>
              </w:rPr>
              <w:fldChar w:fldCharType="separate"/>
            </w:r>
            <w:r>
              <w:rPr>
                <w:webHidden/>
              </w:rPr>
              <w:t>5</w:t>
            </w:r>
            <w:r>
              <w:rPr>
                <w:webHidden/>
              </w:rPr>
              <w:fldChar w:fldCharType="end"/>
            </w:r>
          </w:hyperlink>
        </w:p>
        <w:p w14:paraId="08CFEC15" w14:textId="46FB5714"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79" w:history="1">
            <w:r w:rsidRPr="00145EA2">
              <w:rPr>
                <w:rStyle w:val="Hyperlink"/>
              </w:rPr>
              <w:t>1.3 Research gap</w:t>
            </w:r>
            <w:r>
              <w:rPr>
                <w:webHidden/>
              </w:rPr>
              <w:tab/>
            </w:r>
            <w:r>
              <w:rPr>
                <w:webHidden/>
              </w:rPr>
              <w:fldChar w:fldCharType="begin"/>
            </w:r>
            <w:r>
              <w:rPr>
                <w:webHidden/>
              </w:rPr>
              <w:instrText xml:space="preserve"> PAGEREF _Toc219753179 \h </w:instrText>
            </w:r>
            <w:r>
              <w:rPr>
                <w:webHidden/>
              </w:rPr>
            </w:r>
            <w:r>
              <w:rPr>
                <w:webHidden/>
              </w:rPr>
              <w:fldChar w:fldCharType="separate"/>
            </w:r>
            <w:r>
              <w:rPr>
                <w:webHidden/>
              </w:rPr>
              <w:t>6</w:t>
            </w:r>
            <w:r>
              <w:rPr>
                <w:webHidden/>
              </w:rPr>
              <w:fldChar w:fldCharType="end"/>
            </w:r>
          </w:hyperlink>
        </w:p>
        <w:p w14:paraId="2BA0958E" w14:textId="7DF9DD36" w:rsidR="00D96AD0" w:rsidRDefault="00D96AD0">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9753180" w:history="1">
            <w:r w:rsidRPr="00145EA2">
              <w:rPr>
                <w:rStyle w:val="Hyperlink"/>
                <w:noProof/>
              </w:rPr>
              <w:t>2. Literature Review</w:t>
            </w:r>
            <w:r>
              <w:rPr>
                <w:noProof/>
                <w:webHidden/>
              </w:rPr>
              <w:tab/>
            </w:r>
            <w:r>
              <w:rPr>
                <w:noProof/>
                <w:webHidden/>
              </w:rPr>
              <w:fldChar w:fldCharType="begin"/>
            </w:r>
            <w:r>
              <w:rPr>
                <w:noProof/>
                <w:webHidden/>
              </w:rPr>
              <w:instrText xml:space="preserve"> PAGEREF _Toc219753180 \h </w:instrText>
            </w:r>
            <w:r>
              <w:rPr>
                <w:noProof/>
                <w:webHidden/>
              </w:rPr>
            </w:r>
            <w:r>
              <w:rPr>
                <w:noProof/>
                <w:webHidden/>
              </w:rPr>
              <w:fldChar w:fldCharType="separate"/>
            </w:r>
            <w:r>
              <w:rPr>
                <w:noProof/>
                <w:webHidden/>
              </w:rPr>
              <w:t>7</w:t>
            </w:r>
            <w:r>
              <w:rPr>
                <w:noProof/>
                <w:webHidden/>
              </w:rPr>
              <w:fldChar w:fldCharType="end"/>
            </w:r>
          </w:hyperlink>
        </w:p>
        <w:p w14:paraId="4A963DB4" w14:textId="5463EEF8"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81" w:history="1">
            <w:r w:rsidRPr="00145EA2">
              <w:rPr>
                <w:rStyle w:val="Hyperlink"/>
              </w:rPr>
              <w:t>2.1 Conducting a Literature Review</w:t>
            </w:r>
            <w:r>
              <w:rPr>
                <w:webHidden/>
              </w:rPr>
              <w:tab/>
            </w:r>
            <w:r>
              <w:rPr>
                <w:webHidden/>
              </w:rPr>
              <w:fldChar w:fldCharType="begin"/>
            </w:r>
            <w:r>
              <w:rPr>
                <w:webHidden/>
              </w:rPr>
              <w:instrText xml:space="preserve"> PAGEREF _Toc219753181 \h </w:instrText>
            </w:r>
            <w:r>
              <w:rPr>
                <w:webHidden/>
              </w:rPr>
            </w:r>
            <w:r>
              <w:rPr>
                <w:webHidden/>
              </w:rPr>
              <w:fldChar w:fldCharType="separate"/>
            </w:r>
            <w:r>
              <w:rPr>
                <w:webHidden/>
              </w:rPr>
              <w:t>7</w:t>
            </w:r>
            <w:r>
              <w:rPr>
                <w:webHidden/>
              </w:rPr>
              <w:fldChar w:fldCharType="end"/>
            </w:r>
          </w:hyperlink>
        </w:p>
        <w:p w14:paraId="00CA096C" w14:textId="03CB9992"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82" w:history="1">
            <w:r w:rsidRPr="00145EA2">
              <w:rPr>
                <w:rStyle w:val="Hyperlink"/>
              </w:rPr>
              <w:t>2.2 Search strategy and inclusion criteria</w:t>
            </w:r>
            <w:r>
              <w:rPr>
                <w:webHidden/>
              </w:rPr>
              <w:tab/>
            </w:r>
            <w:r>
              <w:rPr>
                <w:webHidden/>
              </w:rPr>
              <w:fldChar w:fldCharType="begin"/>
            </w:r>
            <w:r>
              <w:rPr>
                <w:webHidden/>
              </w:rPr>
              <w:instrText xml:space="preserve"> PAGEREF _Toc219753182 \h </w:instrText>
            </w:r>
            <w:r>
              <w:rPr>
                <w:webHidden/>
              </w:rPr>
            </w:r>
            <w:r>
              <w:rPr>
                <w:webHidden/>
              </w:rPr>
              <w:fldChar w:fldCharType="separate"/>
            </w:r>
            <w:r>
              <w:rPr>
                <w:webHidden/>
              </w:rPr>
              <w:t>8</w:t>
            </w:r>
            <w:r>
              <w:rPr>
                <w:webHidden/>
              </w:rPr>
              <w:fldChar w:fldCharType="end"/>
            </w:r>
          </w:hyperlink>
        </w:p>
        <w:p w14:paraId="61D81E58" w14:textId="08C95207" w:rsidR="00D96AD0" w:rsidRDefault="00D96AD0">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9753183" w:history="1">
            <w:r w:rsidRPr="00145EA2">
              <w:rPr>
                <w:rStyle w:val="Hyperlink"/>
                <w:noProof/>
              </w:rPr>
              <w:t>3. Curriculum for Wales (CfW)</w:t>
            </w:r>
            <w:r>
              <w:rPr>
                <w:noProof/>
                <w:webHidden/>
              </w:rPr>
              <w:tab/>
            </w:r>
            <w:r>
              <w:rPr>
                <w:noProof/>
                <w:webHidden/>
              </w:rPr>
              <w:fldChar w:fldCharType="begin"/>
            </w:r>
            <w:r>
              <w:rPr>
                <w:noProof/>
                <w:webHidden/>
              </w:rPr>
              <w:instrText xml:space="preserve"> PAGEREF _Toc219753183 \h </w:instrText>
            </w:r>
            <w:r>
              <w:rPr>
                <w:noProof/>
                <w:webHidden/>
              </w:rPr>
            </w:r>
            <w:r>
              <w:rPr>
                <w:noProof/>
                <w:webHidden/>
              </w:rPr>
              <w:fldChar w:fldCharType="separate"/>
            </w:r>
            <w:r>
              <w:rPr>
                <w:noProof/>
                <w:webHidden/>
              </w:rPr>
              <w:t>9</w:t>
            </w:r>
            <w:r>
              <w:rPr>
                <w:noProof/>
                <w:webHidden/>
              </w:rPr>
              <w:fldChar w:fldCharType="end"/>
            </w:r>
          </w:hyperlink>
        </w:p>
        <w:p w14:paraId="3B10F2F5" w14:textId="2FBD2CC4"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84" w:history="1">
            <w:r w:rsidRPr="00145EA2">
              <w:rPr>
                <w:rStyle w:val="Hyperlink"/>
              </w:rPr>
              <w:t>3.1 Origins and rationale of CfW</w:t>
            </w:r>
            <w:r>
              <w:rPr>
                <w:webHidden/>
              </w:rPr>
              <w:tab/>
            </w:r>
            <w:r>
              <w:rPr>
                <w:webHidden/>
              </w:rPr>
              <w:fldChar w:fldCharType="begin"/>
            </w:r>
            <w:r>
              <w:rPr>
                <w:webHidden/>
              </w:rPr>
              <w:instrText xml:space="preserve"> PAGEREF _Toc219753184 \h </w:instrText>
            </w:r>
            <w:r>
              <w:rPr>
                <w:webHidden/>
              </w:rPr>
            </w:r>
            <w:r>
              <w:rPr>
                <w:webHidden/>
              </w:rPr>
              <w:fldChar w:fldCharType="separate"/>
            </w:r>
            <w:r>
              <w:rPr>
                <w:webHidden/>
              </w:rPr>
              <w:t>9</w:t>
            </w:r>
            <w:r>
              <w:rPr>
                <w:webHidden/>
              </w:rPr>
              <w:fldChar w:fldCharType="end"/>
            </w:r>
          </w:hyperlink>
        </w:p>
        <w:p w14:paraId="14456FE8" w14:textId="336F203E"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85" w:history="1">
            <w:r w:rsidRPr="00145EA2">
              <w:rPr>
                <w:rStyle w:val="Hyperlink"/>
              </w:rPr>
              <w:t>3.2 Key features of CfW</w:t>
            </w:r>
            <w:r>
              <w:rPr>
                <w:webHidden/>
              </w:rPr>
              <w:tab/>
            </w:r>
            <w:r>
              <w:rPr>
                <w:webHidden/>
              </w:rPr>
              <w:fldChar w:fldCharType="begin"/>
            </w:r>
            <w:r>
              <w:rPr>
                <w:webHidden/>
              </w:rPr>
              <w:instrText xml:space="preserve"> PAGEREF _Toc219753185 \h </w:instrText>
            </w:r>
            <w:r>
              <w:rPr>
                <w:webHidden/>
              </w:rPr>
            </w:r>
            <w:r>
              <w:rPr>
                <w:webHidden/>
              </w:rPr>
              <w:fldChar w:fldCharType="separate"/>
            </w:r>
            <w:r>
              <w:rPr>
                <w:webHidden/>
              </w:rPr>
              <w:t>10</w:t>
            </w:r>
            <w:r>
              <w:rPr>
                <w:webHidden/>
              </w:rPr>
              <w:fldChar w:fldCharType="end"/>
            </w:r>
          </w:hyperlink>
        </w:p>
        <w:p w14:paraId="46E2D506" w14:textId="078EFEC6"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86" w:history="1">
            <w:r w:rsidRPr="00145EA2">
              <w:rPr>
                <w:rStyle w:val="Hyperlink"/>
              </w:rPr>
              <w:t>3.3 Early evidence on CfW implementation</w:t>
            </w:r>
            <w:r>
              <w:rPr>
                <w:webHidden/>
              </w:rPr>
              <w:tab/>
            </w:r>
            <w:r>
              <w:rPr>
                <w:webHidden/>
              </w:rPr>
              <w:fldChar w:fldCharType="begin"/>
            </w:r>
            <w:r>
              <w:rPr>
                <w:webHidden/>
              </w:rPr>
              <w:instrText xml:space="preserve"> PAGEREF _Toc219753186 \h </w:instrText>
            </w:r>
            <w:r>
              <w:rPr>
                <w:webHidden/>
              </w:rPr>
            </w:r>
            <w:r>
              <w:rPr>
                <w:webHidden/>
              </w:rPr>
              <w:fldChar w:fldCharType="separate"/>
            </w:r>
            <w:r>
              <w:rPr>
                <w:webHidden/>
              </w:rPr>
              <w:t>13</w:t>
            </w:r>
            <w:r>
              <w:rPr>
                <w:webHidden/>
              </w:rPr>
              <w:fldChar w:fldCharType="end"/>
            </w:r>
          </w:hyperlink>
        </w:p>
        <w:p w14:paraId="0713146F" w14:textId="44CE2AD1"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87" w:history="1">
            <w:r w:rsidRPr="00145EA2">
              <w:rPr>
                <w:rStyle w:val="Hyperlink"/>
              </w:rPr>
              <w:t>3.4 Summary</w:t>
            </w:r>
            <w:r>
              <w:rPr>
                <w:webHidden/>
              </w:rPr>
              <w:tab/>
            </w:r>
            <w:r>
              <w:rPr>
                <w:webHidden/>
              </w:rPr>
              <w:fldChar w:fldCharType="begin"/>
            </w:r>
            <w:r>
              <w:rPr>
                <w:webHidden/>
              </w:rPr>
              <w:instrText xml:space="preserve"> PAGEREF _Toc219753187 \h </w:instrText>
            </w:r>
            <w:r>
              <w:rPr>
                <w:webHidden/>
              </w:rPr>
            </w:r>
            <w:r>
              <w:rPr>
                <w:webHidden/>
              </w:rPr>
              <w:fldChar w:fldCharType="separate"/>
            </w:r>
            <w:r>
              <w:rPr>
                <w:webHidden/>
              </w:rPr>
              <w:t>14</w:t>
            </w:r>
            <w:r>
              <w:rPr>
                <w:webHidden/>
              </w:rPr>
              <w:fldChar w:fldCharType="end"/>
            </w:r>
          </w:hyperlink>
        </w:p>
        <w:p w14:paraId="0203A438" w14:textId="1ADD39D7" w:rsidR="00D96AD0" w:rsidRDefault="00D96AD0">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9753188" w:history="1">
            <w:r w:rsidRPr="00145EA2">
              <w:rPr>
                <w:rStyle w:val="Hyperlink"/>
                <w:noProof/>
              </w:rPr>
              <w:t>4. Managing Educational Change and Curriculum Reform</w:t>
            </w:r>
            <w:r>
              <w:rPr>
                <w:noProof/>
                <w:webHidden/>
              </w:rPr>
              <w:tab/>
            </w:r>
            <w:r>
              <w:rPr>
                <w:noProof/>
                <w:webHidden/>
              </w:rPr>
              <w:fldChar w:fldCharType="begin"/>
            </w:r>
            <w:r>
              <w:rPr>
                <w:noProof/>
                <w:webHidden/>
              </w:rPr>
              <w:instrText xml:space="preserve"> PAGEREF _Toc219753188 \h </w:instrText>
            </w:r>
            <w:r>
              <w:rPr>
                <w:noProof/>
                <w:webHidden/>
              </w:rPr>
            </w:r>
            <w:r>
              <w:rPr>
                <w:noProof/>
                <w:webHidden/>
              </w:rPr>
              <w:fldChar w:fldCharType="separate"/>
            </w:r>
            <w:r>
              <w:rPr>
                <w:noProof/>
                <w:webHidden/>
              </w:rPr>
              <w:t>16</w:t>
            </w:r>
            <w:r>
              <w:rPr>
                <w:noProof/>
                <w:webHidden/>
              </w:rPr>
              <w:fldChar w:fldCharType="end"/>
            </w:r>
          </w:hyperlink>
        </w:p>
        <w:p w14:paraId="60BFAD2B" w14:textId="1AF45993"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89" w:history="1">
            <w:r w:rsidRPr="00145EA2">
              <w:rPr>
                <w:rStyle w:val="Hyperlink"/>
              </w:rPr>
              <w:t>4.1 Theories of educational change</w:t>
            </w:r>
            <w:r>
              <w:rPr>
                <w:webHidden/>
              </w:rPr>
              <w:tab/>
            </w:r>
            <w:r>
              <w:rPr>
                <w:webHidden/>
              </w:rPr>
              <w:fldChar w:fldCharType="begin"/>
            </w:r>
            <w:r>
              <w:rPr>
                <w:webHidden/>
              </w:rPr>
              <w:instrText xml:space="preserve"> PAGEREF _Toc219753189 \h </w:instrText>
            </w:r>
            <w:r>
              <w:rPr>
                <w:webHidden/>
              </w:rPr>
            </w:r>
            <w:r>
              <w:rPr>
                <w:webHidden/>
              </w:rPr>
              <w:fldChar w:fldCharType="separate"/>
            </w:r>
            <w:r>
              <w:rPr>
                <w:webHidden/>
              </w:rPr>
              <w:t>16</w:t>
            </w:r>
            <w:r>
              <w:rPr>
                <w:webHidden/>
              </w:rPr>
              <w:fldChar w:fldCharType="end"/>
            </w:r>
          </w:hyperlink>
        </w:p>
        <w:p w14:paraId="346326A3" w14:textId="1666EBDC"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90" w:history="1">
            <w:r w:rsidRPr="00145EA2">
              <w:rPr>
                <w:rStyle w:val="Hyperlink"/>
              </w:rPr>
              <w:t>4.2 Implementating Change</w:t>
            </w:r>
            <w:r>
              <w:rPr>
                <w:webHidden/>
              </w:rPr>
              <w:tab/>
            </w:r>
            <w:r>
              <w:rPr>
                <w:webHidden/>
              </w:rPr>
              <w:fldChar w:fldCharType="begin"/>
            </w:r>
            <w:r>
              <w:rPr>
                <w:webHidden/>
              </w:rPr>
              <w:instrText xml:space="preserve"> PAGEREF _Toc219753190 \h </w:instrText>
            </w:r>
            <w:r>
              <w:rPr>
                <w:webHidden/>
              </w:rPr>
            </w:r>
            <w:r>
              <w:rPr>
                <w:webHidden/>
              </w:rPr>
              <w:fldChar w:fldCharType="separate"/>
            </w:r>
            <w:r>
              <w:rPr>
                <w:webHidden/>
              </w:rPr>
              <w:t>18</w:t>
            </w:r>
            <w:r>
              <w:rPr>
                <w:webHidden/>
              </w:rPr>
              <w:fldChar w:fldCharType="end"/>
            </w:r>
          </w:hyperlink>
        </w:p>
        <w:p w14:paraId="5ACE07CA" w14:textId="2AC16CF3"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91" w:history="1">
            <w:r w:rsidRPr="00145EA2">
              <w:rPr>
                <w:rStyle w:val="Hyperlink"/>
              </w:rPr>
              <w:t>4.3 Curriculum reform</w:t>
            </w:r>
            <w:r>
              <w:rPr>
                <w:webHidden/>
              </w:rPr>
              <w:tab/>
            </w:r>
            <w:r>
              <w:rPr>
                <w:webHidden/>
              </w:rPr>
              <w:fldChar w:fldCharType="begin"/>
            </w:r>
            <w:r>
              <w:rPr>
                <w:webHidden/>
              </w:rPr>
              <w:instrText xml:space="preserve"> PAGEREF _Toc219753191 \h </w:instrText>
            </w:r>
            <w:r>
              <w:rPr>
                <w:webHidden/>
              </w:rPr>
            </w:r>
            <w:r>
              <w:rPr>
                <w:webHidden/>
              </w:rPr>
              <w:fldChar w:fldCharType="separate"/>
            </w:r>
            <w:r>
              <w:rPr>
                <w:webHidden/>
              </w:rPr>
              <w:t>19</w:t>
            </w:r>
            <w:r>
              <w:rPr>
                <w:webHidden/>
              </w:rPr>
              <w:fldChar w:fldCharType="end"/>
            </w:r>
          </w:hyperlink>
        </w:p>
        <w:p w14:paraId="2D0DC2A6" w14:textId="3DFC5855"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92" w:history="1">
            <w:r w:rsidRPr="00145EA2">
              <w:rPr>
                <w:rStyle w:val="Hyperlink"/>
              </w:rPr>
              <w:t>4.4 Synthesis</w:t>
            </w:r>
            <w:r>
              <w:rPr>
                <w:webHidden/>
              </w:rPr>
              <w:tab/>
            </w:r>
            <w:r>
              <w:rPr>
                <w:webHidden/>
              </w:rPr>
              <w:fldChar w:fldCharType="begin"/>
            </w:r>
            <w:r>
              <w:rPr>
                <w:webHidden/>
              </w:rPr>
              <w:instrText xml:space="preserve"> PAGEREF _Toc219753192 \h </w:instrText>
            </w:r>
            <w:r>
              <w:rPr>
                <w:webHidden/>
              </w:rPr>
            </w:r>
            <w:r>
              <w:rPr>
                <w:webHidden/>
              </w:rPr>
              <w:fldChar w:fldCharType="separate"/>
            </w:r>
            <w:r>
              <w:rPr>
                <w:webHidden/>
              </w:rPr>
              <w:t>20</w:t>
            </w:r>
            <w:r>
              <w:rPr>
                <w:webHidden/>
              </w:rPr>
              <w:fldChar w:fldCharType="end"/>
            </w:r>
          </w:hyperlink>
        </w:p>
        <w:p w14:paraId="03F13439" w14:textId="5C8F6005" w:rsidR="00D96AD0" w:rsidRDefault="00D96AD0">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9753193" w:history="1">
            <w:r w:rsidRPr="00145EA2">
              <w:rPr>
                <w:rStyle w:val="Hyperlink"/>
                <w:noProof/>
              </w:rPr>
              <w:t>5. Teachers as Curriculum Designers</w:t>
            </w:r>
            <w:r>
              <w:rPr>
                <w:noProof/>
                <w:webHidden/>
              </w:rPr>
              <w:tab/>
            </w:r>
            <w:r>
              <w:rPr>
                <w:noProof/>
                <w:webHidden/>
              </w:rPr>
              <w:fldChar w:fldCharType="begin"/>
            </w:r>
            <w:r>
              <w:rPr>
                <w:noProof/>
                <w:webHidden/>
              </w:rPr>
              <w:instrText xml:space="preserve"> PAGEREF _Toc219753193 \h </w:instrText>
            </w:r>
            <w:r>
              <w:rPr>
                <w:noProof/>
                <w:webHidden/>
              </w:rPr>
            </w:r>
            <w:r>
              <w:rPr>
                <w:noProof/>
                <w:webHidden/>
              </w:rPr>
              <w:fldChar w:fldCharType="separate"/>
            </w:r>
            <w:r>
              <w:rPr>
                <w:noProof/>
                <w:webHidden/>
              </w:rPr>
              <w:t>22</w:t>
            </w:r>
            <w:r>
              <w:rPr>
                <w:noProof/>
                <w:webHidden/>
              </w:rPr>
              <w:fldChar w:fldCharType="end"/>
            </w:r>
          </w:hyperlink>
        </w:p>
        <w:p w14:paraId="576D20FC" w14:textId="1B0DEA65"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94" w:history="1">
            <w:r w:rsidRPr="00145EA2">
              <w:rPr>
                <w:rStyle w:val="Hyperlink"/>
              </w:rPr>
              <w:t>5.1 Theoretical Background</w:t>
            </w:r>
            <w:r>
              <w:rPr>
                <w:webHidden/>
              </w:rPr>
              <w:tab/>
            </w:r>
            <w:r>
              <w:rPr>
                <w:webHidden/>
              </w:rPr>
              <w:fldChar w:fldCharType="begin"/>
            </w:r>
            <w:r>
              <w:rPr>
                <w:webHidden/>
              </w:rPr>
              <w:instrText xml:space="preserve"> PAGEREF _Toc219753194 \h </w:instrText>
            </w:r>
            <w:r>
              <w:rPr>
                <w:webHidden/>
              </w:rPr>
            </w:r>
            <w:r>
              <w:rPr>
                <w:webHidden/>
              </w:rPr>
              <w:fldChar w:fldCharType="separate"/>
            </w:r>
            <w:r>
              <w:rPr>
                <w:webHidden/>
              </w:rPr>
              <w:t>22</w:t>
            </w:r>
            <w:r>
              <w:rPr>
                <w:webHidden/>
              </w:rPr>
              <w:fldChar w:fldCharType="end"/>
            </w:r>
          </w:hyperlink>
        </w:p>
        <w:p w14:paraId="109738D2" w14:textId="31186A7B"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95" w:history="1">
            <w:r w:rsidRPr="00145EA2">
              <w:rPr>
                <w:rStyle w:val="Hyperlink"/>
              </w:rPr>
              <w:t>5.2 Teacher agency and curriculum enactment</w:t>
            </w:r>
            <w:r>
              <w:rPr>
                <w:webHidden/>
              </w:rPr>
              <w:tab/>
            </w:r>
            <w:r>
              <w:rPr>
                <w:webHidden/>
              </w:rPr>
              <w:fldChar w:fldCharType="begin"/>
            </w:r>
            <w:r>
              <w:rPr>
                <w:webHidden/>
              </w:rPr>
              <w:instrText xml:space="preserve"> PAGEREF _Toc219753195 \h </w:instrText>
            </w:r>
            <w:r>
              <w:rPr>
                <w:webHidden/>
              </w:rPr>
            </w:r>
            <w:r>
              <w:rPr>
                <w:webHidden/>
              </w:rPr>
              <w:fldChar w:fldCharType="separate"/>
            </w:r>
            <w:r>
              <w:rPr>
                <w:webHidden/>
              </w:rPr>
              <w:t>22</w:t>
            </w:r>
            <w:r>
              <w:rPr>
                <w:webHidden/>
              </w:rPr>
              <w:fldChar w:fldCharType="end"/>
            </w:r>
          </w:hyperlink>
        </w:p>
        <w:p w14:paraId="146B7887" w14:textId="42BDC6CD"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96" w:history="1">
            <w:r w:rsidRPr="00145EA2">
              <w:rPr>
                <w:rStyle w:val="Hyperlink"/>
              </w:rPr>
              <w:t>5.3 Departments as Curriculum Makers</w:t>
            </w:r>
            <w:r>
              <w:rPr>
                <w:webHidden/>
              </w:rPr>
              <w:tab/>
            </w:r>
            <w:r>
              <w:rPr>
                <w:webHidden/>
              </w:rPr>
              <w:fldChar w:fldCharType="begin"/>
            </w:r>
            <w:r>
              <w:rPr>
                <w:webHidden/>
              </w:rPr>
              <w:instrText xml:space="preserve"> PAGEREF _Toc219753196 \h </w:instrText>
            </w:r>
            <w:r>
              <w:rPr>
                <w:webHidden/>
              </w:rPr>
            </w:r>
            <w:r>
              <w:rPr>
                <w:webHidden/>
              </w:rPr>
              <w:fldChar w:fldCharType="separate"/>
            </w:r>
            <w:r>
              <w:rPr>
                <w:webHidden/>
              </w:rPr>
              <w:t>23</w:t>
            </w:r>
            <w:r>
              <w:rPr>
                <w:webHidden/>
              </w:rPr>
              <w:fldChar w:fldCharType="end"/>
            </w:r>
          </w:hyperlink>
        </w:p>
        <w:p w14:paraId="79FB9B45" w14:textId="2C0CA2A7"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97" w:history="1">
            <w:r w:rsidRPr="00145EA2">
              <w:rPr>
                <w:rStyle w:val="Hyperlink"/>
              </w:rPr>
              <w:t>5.4 Summary</w:t>
            </w:r>
            <w:r>
              <w:rPr>
                <w:webHidden/>
              </w:rPr>
              <w:tab/>
            </w:r>
            <w:r>
              <w:rPr>
                <w:webHidden/>
              </w:rPr>
              <w:fldChar w:fldCharType="begin"/>
            </w:r>
            <w:r>
              <w:rPr>
                <w:webHidden/>
              </w:rPr>
              <w:instrText xml:space="preserve"> PAGEREF _Toc219753197 \h </w:instrText>
            </w:r>
            <w:r>
              <w:rPr>
                <w:webHidden/>
              </w:rPr>
            </w:r>
            <w:r>
              <w:rPr>
                <w:webHidden/>
              </w:rPr>
              <w:fldChar w:fldCharType="separate"/>
            </w:r>
            <w:r>
              <w:rPr>
                <w:webHidden/>
              </w:rPr>
              <w:t>24</w:t>
            </w:r>
            <w:r>
              <w:rPr>
                <w:webHidden/>
              </w:rPr>
              <w:fldChar w:fldCharType="end"/>
            </w:r>
          </w:hyperlink>
        </w:p>
        <w:p w14:paraId="4480AA2A" w14:textId="5BF5FDEF" w:rsidR="00D96AD0" w:rsidRDefault="00D96AD0">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9753198" w:history="1">
            <w:r w:rsidRPr="00145EA2">
              <w:rPr>
                <w:rStyle w:val="Hyperlink"/>
                <w:noProof/>
              </w:rPr>
              <w:t>6. Reforming Mathematics Curriculum</w:t>
            </w:r>
            <w:r>
              <w:rPr>
                <w:noProof/>
                <w:webHidden/>
              </w:rPr>
              <w:tab/>
            </w:r>
            <w:r>
              <w:rPr>
                <w:noProof/>
                <w:webHidden/>
              </w:rPr>
              <w:fldChar w:fldCharType="begin"/>
            </w:r>
            <w:r>
              <w:rPr>
                <w:noProof/>
                <w:webHidden/>
              </w:rPr>
              <w:instrText xml:space="preserve"> PAGEREF _Toc219753198 \h </w:instrText>
            </w:r>
            <w:r>
              <w:rPr>
                <w:noProof/>
                <w:webHidden/>
              </w:rPr>
            </w:r>
            <w:r>
              <w:rPr>
                <w:noProof/>
                <w:webHidden/>
              </w:rPr>
              <w:fldChar w:fldCharType="separate"/>
            </w:r>
            <w:r>
              <w:rPr>
                <w:noProof/>
                <w:webHidden/>
              </w:rPr>
              <w:t>25</w:t>
            </w:r>
            <w:r>
              <w:rPr>
                <w:noProof/>
                <w:webHidden/>
              </w:rPr>
              <w:fldChar w:fldCharType="end"/>
            </w:r>
          </w:hyperlink>
        </w:p>
        <w:p w14:paraId="170CF017" w14:textId="4C6EFF37"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199" w:history="1">
            <w:r w:rsidRPr="00145EA2">
              <w:rPr>
                <w:rStyle w:val="Hyperlink"/>
              </w:rPr>
              <w:t>6.1 Mathematics in the curriculum</w:t>
            </w:r>
            <w:r>
              <w:rPr>
                <w:webHidden/>
              </w:rPr>
              <w:tab/>
            </w:r>
            <w:r>
              <w:rPr>
                <w:webHidden/>
              </w:rPr>
              <w:fldChar w:fldCharType="begin"/>
            </w:r>
            <w:r>
              <w:rPr>
                <w:webHidden/>
              </w:rPr>
              <w:instrText xml:space="preserve"> PAGEREF _Toc219753199 \h </w:instrText>
            </w:r>
            <w:r>
              <w:rPr>
                <w:webHidden/>
              </w:rPr>
            </w:r>
            <w:r>
              <w:rPr>
                <w:webHidden/>
              </w:rPr>
              <w:fldChar w:fldCharType="separate"/>
            </w:r>
            <w:r>
              <w:rPr>
                <w:webHidden/>
              </w:rPr>
              <w:t>25</w:t>
            </w:r>
            <w:r>
              <w:rPr>
                <w:webHidden/>
              </w:rPr>
              <w:fldChar w:fldCharType="end"/>
            </w:r>
          </w:hyperlink>
        </w:p>
        <w:p w14:paraId="66636C3C" w14:textId="4C3DFE37"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200" w:history="1">
            <w:r w:rsidRPr="00145EA2">
              <w:rPr>
                <w:rStyle w:val="Hyperlink"/>
              </w:rPr>
              <w:t>6.2 Pedagogy of Mathematics in the CfW</w:t>
            </w:r>
            <w:r>
              <w:rPr>
                <w:webHidden/>
              </w:rPr>
              <w:tab/>
            </w:r>
            <w:r>
              <w:rPr>
                <w:webHidden/>
              </w:rPr>
              <w:fldChar w:fldCharType="begin"/>
            </w:r>
            <w:r>
              <w:rPr>
                <w:webHidden/>
              </w:rPr>
              <w:instrText xml:space="preserve"> PAGEREF _Toc219753200 \h </w:instrText>
            </w:r>
            <w:r>
              <w:rPr>
                <w:webHidden/>
              </w:rPr>
            </w:r>
            <w:r>
              <w:rPr>
                <w:webHidden/>
              </w:rPr>
              <w:fldChar w:fldCharType="separate"/>
            </w:r>
            <w:r>
              <w:rPr>
                <w:webHidden/>
              </w:rPr>
              <w:t>26</w:t>
            </w:r>
            <w:r>
              <w:rPr>
                <w:webHidden/>
              </w:rPr>
              <w:fldChar w:fldCharType="end"/>
            </w:r>
          </w:hyperlink>
        </w:p>
        <w:p w14:paraId="0F3C1763" w14:textId="38100057"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201" w:history="1">
            <w:r w:rsidRPr="00145EA2">
              <w:rPr>
                <w:rStyle w:val="Hyperlink"/>
              </w:rPr>
              <w:t>6.3 Implication for Mathematics Departments</w:t>
            </w:r>
            <w:r>
              <w:rPr>
                <w:webHidden/>
              </w:rPr>
              <w:tab/>
            </w:r>
            <w:r>
              <w:rPr>
                <w:webHidden/>
              </w:rPr>
              <w:fldChar w:fldCharType="begin"/>
            </w:r>
            <w:r>
              <w:rPr>
                <w:webHidden/>
              </w:rPr>
              <w:instrText xml:space="preserve"> PAGEREF _Toc219753201 \h </w:instrText>
            </w:r>
            <w:r>
              <w:rPr>
                <w:webHidden/>
              </w:rPr>
            </w:r>
            <w:r>
              <w:rPr>
                <w:webHidden/>
              </w:rPr>
              <w:fldChar w:fldCharType="separate"/>
            </w:r>
            <w:r>
              <w:rPr>
                <w:webHidden/>
              </w:rPr>
              <w:t>28</w:t>
            </w:r>
            <w:r>
              <w:rPr>
                <w:webHidden/>
              </w:rPr>
              <w:fldChar w:fldCharType="end"/>
            </w:r>
          </w:hyperlink>
        </w:p>
        <w:p w14:paraId="0F59DF6C" w14:textId="1D04495E" w:rsidR="00D96AD0" w:rsidRDefault="00D96AD0">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9753202" w:history="1">
            <w:r w:rsidRPr="00145EA2">
              <w:rPr>
                <w:rStyle w:val="Hyperlink"/>
                <w:noProof/>
              </w:rPr>
              <w:t>7. Synthesis of Themes and Debates</w:t>
            </w:r>
            <w:r>
              <w:rPr>
                <w:noProof/>
                <w:webHidden/>
              </w:rPr>
              <w:tab/>
            </w:r>
            <w:r>
              <w:rPr>
                <w:noProof/>
                <w:webHidden/>
              </w:rPr>
              <w:fldChar w:fldCharType="begin"/>
            </w:r>
            <w:r>
              <w:rPr>
                <w:noProof/>
                <w:webHidden/>
              </w:rPr>
              <w:instrText xml:space="preserve"> PAGEREF _Toc219753202 \h </w:instrText>
            </w:r>
            <w:r>
              <w:rPr>
                <w:noProof/>
                <w:webHidden/>
              </w:rPr>
            </w:r>
            <w:r>
              <w:rPr>
                <w:noProof/>
                <w:webHidden/>
              </w:rPr>
              <w:fldChar w:fldCharType="separate"/>
            </w:r>
            <w:r>
              <w:rPr>
                <w:noProof/>
                <w:webHidden/>
              </w:rPr>
              <w:t>30</w:t>
            </w:r>
            <w:r>
              <w:rPr>
                <w:noProof/>
                <w:webHidden/>
              </w:rPr>
              <w:fldChar w:fldCharType="end"/>
            </w:r>
          </w:hyperlink>
        </w:p>
        <w:p w14:paraId="05DCFD64" w14:textId="5825F437" w:rsidR="00D96AD0" w:rsidRDefault="00D96AD0">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9753203" w:history="1">
            <w:r w:rsidRPr="00145EA2">
              <w:rPr>
                <w:rStyle w:val="Hyperlink"/>
                <w:noProof/>
              </w:rPr>
              <w:t>8. Conclusion</w:t>
            </w:r>
            <w:r>
              <w:rPr>
                <w:noProof/>
                <w:webHidden/>
              </w:rPr>
              <w:tab/>
            </w:r>
            <w:r>
              <w:rPr>
                <w:noProof/>
                <w:webHidden/>
              </w:rPr>
              <w:fldChar w:fldCharType="begin"/>
            </w:r>
            <w:r>
              <w:rPr>
                <w:noProof/>
                <w:webHidden/>
              </w:rPr>
              <w:instrText xml:space="preserve"> PAGEREF _Toc219753203 \h </w:instrText>
            </w:r>
            <w:r>
              <w:rPr>
                <w:noProof/>
                <w:webHidden/>
              </w:rPr>
            </w:r>
            <w:r>
              <w:rPr>
                <w:noProof/>
                <w:webHidden/>
              </w:rPr>
              <w:fldChar w:fldCharType="separate"/>
            </w:r>
            <w:r>
              <w:rPr>
                <w:noProof/>
                <w:webHidden/>
              </w:rPr>
              <w:t>31</w:t>
            </w:r>
            <w:r>
              <w:rPr>
                <w:noProof/>
                <w:webHidden/>
              </w:rPr>
              <w:fldChar w:fldCharType="end"/>
            </w:r>
          </w:hyperlink>
        </w:p>
        <w:p w14:paraId="09F19FED" w14:textId="5E43AA04" w:rsidR="00D96AD0" w:rsidRDefault="00D96AD0" w:rsidP="00D96AD0">
          <w:pPr>
            <w:pStyle w:val="TOC2"/>
            <w:rPr>
              <w:rFonts w:asciiTheme="minorHAnsi" w:eastAsiaTheme="minorEastAsia" w:hAnsiTheme="minorHAnsi" w:cstheme="minorBidi"/>
              <w:kern w:val="2"/>
              <w:lang w:val="en-GB"/>
              <w14:ligatures w14:val="standardContextual"/>
            </w:rPr>
          </w:pPr>
          <w:hyperlink w:anchor="_Toc219753204" w:history="1">
            <w:r w:rsidRPr="00145EA2">
              <w:rPr>
                <w:rStyle w:val="Hyperlink"/>
              </w:rPr>
              <w:t>References</w:t>
            </w:r>
            <w:r>
              <w:rPr>
                <w:webHidden/>
              </w:rPr>
              <w:tab/>
            </w:r>
            <w:r>
              <w:rPr>
                <w:webHidden/>
              </w:rPr>
              <w:fldChar w:fldCharType="begin"/>
            </w:r>
            <w:r>
              <w:rPr>
                <w:webHidden/>
              </w:rPr>
              <w:instrText xml:space="preserve"> PAGEREF _Toc219753204 \h </w:instrText>
            </w:r>
            <w:r>
              <w:rPr>
                <w:webHidden/>
              </w:rPr>
            </w:r>
            <w:r>
              <w:rPr>
                <w:webHidden/>
              </w:rPr>
              <w:fldChar w:fldCharType="separate"/>
            </w:r>
            <w:r>
              <w:rPr>
                <w:webHidden/>
              </w:rPr>
              <w:t>33</w:t>
            </w:r>
            <w:r>
              <w:rPr>
                <w:webHidden/>
              </w:rPr>
              <w:fldChar w:fldCharType="end"/>
            </w:r>
          </w:hyperlink>
        </w:p>
        <w:p w14:paraId="1CEAA988" w14:textId="1590FC3A" w:rsidR="00F3673A" w:rsidRDefault="00F3673A" w:rsidP="00F3673A">
          <w:pPr>
            <w:spacing w:line="480" w:lineRule="auto"/>
          </w:pPr>
          <w:r w:rsidRPr="00F3673A">
            <w:rPr>
              <w:b/>
              <w:bCs/>
              <w:noProof/>
              <w:sz w:val="24"/>
              <w:szCs w:val="24"/>
            </w:rPr>
            <w:fldChar w:fldCharType="end"/>
          </w:r>
        </w:p>
      </w:sdtContent>
    </w:sdt>
    <w:p w14:paraId="433204A3" w14:textId="77777777" w:rsidR="00E21480" w:rsidRDefault="00E21480">
      <w:pPr>
        <w:pStyle w:val="Heading1"/>
        <w:widowControl w:val="0"/>
        <w:spacing w:after="80" w:line="480" w:lineRule="auto"/>
        <w:rPr>
          <w:sz w:val="24"/>
          <w:szCs w:val="24"/>
          <w:u w:val="single"/>
        </w:rPr>
      </w:pPr>
    </w:p>
    <w:p w14:paraId="14262E73" w14:textId="303D647B" w:rsidR="00D03C68" w:rsidRDefault="00D96AD0" w:rsidP="00D96AD0">
      <w:pPr>
        <w:pStyle w:val="Heading2"/>
      </w:pPr>
      <w:bookmarkStart w:id="1" w:name="_Toc219753175"/>
      <w:r>
        <w:t>List of Figures</w:t>
      </w:r>
      <w:bookmarkEnd w:id="1"/>
    </w:p>
    <w:p w14:paraId="14262E74" w14:textId="77777777" w:rsidR="00D03C68" w:rsidRDefault="00D96AD0">
      <w:pPr>
        <w:keepNext/>
        <w:widowControl w:val="0"/>
        <w:spacing w:line="480" w:lineRule="auto"/>
        <w:rPr>
          <w:sz w:val="24"/>
          <w:szCs w:val="24"/>
          <w:highlight w:val="white"/>
        </w:rPr>
      </w:pPr>
      <w:r>
        <w:rPr>
          <w:sz w:val="24"/>
          <w:szCs w:val="24"/>
          <w:highlight w:val="white"/>
        </w:rPr>
        <w:t>F</w:t>
      </w:r>
      <w:r>
        <w:rPr>
          <w:sz w:val="24"/>
          <w:szCs w:val="24"/>
          <w:highlight w:val="white"/>
        </w:rPr>
        <w:t>igure 1: The Four Purposes (Hwb, 2022a)</w:t>
      </w:r>
    </w:p>
    <w:p w14:paraId="14262E75" w14:textId="77777777" w:rsidR="00D03C68" w:rsidRDefault="00D96AD0">
      <w:pPr>
        <w:keepNext/>
        <w:widowControl w:val="0"/>
        <w:spacing w:line="480" w:lineRule="auto"/>
        <w:rPr>
          <w:sz w:val="24"/>
          <w:szCs w:val="24"/>
          <w:highlight w:val="white"/>
        </w:rPr>
      </w:pPr>
      <w:r>
        <w:rPr>
          <w:sz w:val="24"/>
          <w:szCs w:val="24"/>
          <w:highlight w:val="white"/>
        </w:rPr>
        <w:t>Figure 2: The Areas of Learning and Experience (Hwb, 2022a)</w:t>
      </w:r>
    </w:p>
    <w:p w14:paraId="67A04496" w14:textId="77777777" w:rsidR="00F3673A" w:rsidRDefault="00F3673A">
      <w:pPr>
        <w:rPr>
          <w:sz w:val="24"/>
          <w:szCs w:val="24"/>
          <w:u w:val="single"/>
        </w:rPr>
      </w:pPr>
      <w:bookmarkStart w:id="2" w:name="_ugpts2l9a1fw" w:colFirst="0" w:colLast="0"/>
      <w:bookmarkEnd w:id="2"/>
      <w:r>
        <w:rPr>
          <w:sz w:val="24"/>
          <w:szCs w:val="24"/>
          <w:u w:val="single"/>
        </w:rPr>
        <w:br w:type="page"/>
      </w:r>
    </w:p>
    <w:p w14:paraId="14262E76" w14:textId="3E4491F5" w:rsidR="00D03C68" w:rsidRDefault="00D96AD0">
      <w:pPr>
        <w:pStyle w:val="Heading1"/>
        <w:widowControl w:val="0"/>
        <w:spacing w:after="80" w:line="480" w:lineRule="auto"/>
        <w:rPr>
          <w:sz w:val="24"/>
          <w:szCs w:val="24"/>
          <w:u w:val="single"/>
        </w:rPr>
      </w:pPr>
      <w:bookmarkStart w:id="3" w:name="_Toc219753176"/>
      <w:r>
        <w:rPr>
          <w:sz w:val="24"/>
          <w:szCs w:val="24"/>
          <w:u w:val="single"/>
        </w:rPr>
        <w:lastRenderedPageBreak/>
        <w:t>1. Introduction</w:t>
      </w:r>
      <w:bookmarkEnd w:id="3"/>
    </w:p>
    <w:p w14:paraId="14262E77" w14:textId="77777777" w:rsidR="00D03C68" w:rsidRDefault="00D96AD0">
      <w:pPr>
        <w:keepNext/>
        <w:widowControl w:val="0"/>
        <w:spacing w:line="480" w:lineRule="auto"/>
        <w:rPr>
          <w:sz w:val="24"/>
          <w:szCs w:val="24"/>
          <w:highlight w:val="white"/>
        </w:rPr>
      </w:pPr>
      <w:r>
        <w:rPr>
          <w:sz w:val="24"/>
          <w:szCs w:val="24"/>
          <w:highlight w:val="white"/>
        </w:rPr>
        <w:t>My research focuses on the implementation of the Curriculum for Wales (</w:t>
      </w:r>
      <w:proofErr w:type="spellStart"/>
      <w:r>
        <w:rPr>
          <w:sz w:val="24"/>
          <w:szCs w:val="24"/>
          <w:highlight w:val="white"/>
        </w:rPr>
        <w:t>CfW</w:t>
      </w:r>
      <w:proofErr w:type="spellEnd"/>
      <w:r>
        <w:rPr>
          <w:sz w:val="24"/>
          <w:szCs w:val="24"/>
          <w:highlight w:val="white"/>
        </w:rPr>
        <w:t xml:space="preserve">) in secondary mathematics departments in North Wales. This literature review aims to critically </w:t>
      </w:r>
      <w:proofErr w:type="spellStart"/>
      <w:r>
        <w:rPr>
          <w:sz w:val="24"/>
          <w:szCs w:val="24"/>
          <w:highlight w:val="white"/>
        </w:rPr>
        <w:t>analyse</w:t>
      </w:r>
      <w:proofErr w:type="spellEnd"/>
      <w:r>
        <w:rPr>
          <w:sz w:val="24"/>
          <w:szCs w:val="24"/>
          <w:highlight w:val="white"/>
        </w:rPr>
        <w:t xml:space="preserve"> and </w:t>
      </w:r>
      <w:proofErr w:type="spellStart"/>
      <w:r>
        <w:rPr>
          <w:sz w:val="24"/>
          <w:szCs w:val="24"/>
          <w:highlight w:val="white"/>
        </w:rPr>
        <w:t>synthesise</w:t>
      </w:r>
      <w:proofErr w:type="spellEnd"/>
      <w:r>
        <w:rPr>
          <w:sz w:val="24"/>
          <w:szCs w:val="24"/>
          <w:highlight w:val="white"/>
        </w:rPr>
        <w:t xml:space="preserve"> the existing literature in four areas whose themes I have identified as significant in my research: the creation and implementation of the </w:t>
      </w:r>
      <w:proofErr w:type="spellStart"/>
      <w:r>
        <w:rPr>
          <w:sz w:val="24"/>
          <w:szCs w:val="24"/>
          <w:highlight w:val="white"/>
        </w:rPr>
        <w:t>CfW</w:t>
      </w:r>
      <w:proofErr w:type="spellEnd"/>
      <w:r>
        <w:rPr>
          <w:sz w:val="24"/>
          <w:szCs w:val="24"/>
          <w:highlight w:val="white"/>
        </w:rPr>
        <w:t>; theories of educational change and curricular reform; the teacher’s role in curriculum change and design; and reforming mathematics curricula. The review is guided by three research questions (RQ):</w:t>
      </w:r>
    </w:p>
    <w:p w14:paraId="14262E78" w14:textId="77777777" w:rsidR="00D03C68" w:rsidRDefault="00D96AD0">
      <w:pPr>
        <w:keepNext/>
        <w:widowControl w:val="0"/>
        <w:spacing w:line="480" w:lineRule="auto"/>
        <w:rPr>
          <w:sz w:val="24"/>
          <w:szCs w:val="24"/>
          <w:highlight w:val="white"/>
        </w:rPr>
      </w:pPr>
      <w:r>
        <w:rPr>
          <w:sz w:val="24"/>
          <w:szCs w:val="24"/>
          <w:highlight w:val="white"/>
        </w:rPr>
        <w:t xml:space="preserve">RQ1: What changes have mathematics departments made in response to </w:t>
      </w:r>
      <w:proofErr w:type="spellStart"/>
      <w:r>
        <w:rPr>
          <w:sz w:val="24"/>
          <w:szCs w:val="24"/>
          <w:highlight w:val="white"/>
        </w:rPr>
        <w:t>CfW</w:t>
      </w:r>
      <w:proofErr w:type="spellEnd"/>
      <w:r>
        <w:rPr>
          <w:sz w:val="24"/>
          <w:szCs w:val="24"/>
          <w:highlight w:val="white"/>
        </w:rPr>
        <w:t>?</w:t>
      </w:r>
    </w:p>
    <w:p w14:paraId="14262E79" w14:textId="77777777" w:rsidR="00D03C68" w:rsidRDefault="00D96AD0">
      <w:pPr>
        <w:keepNext/>
        <w:widowControl w:val="0"/>
        <w:spacing w:line="480" w:lineRule="auto"/>
        <w:rPr>
          <w:sz w:val="24"/>
          <w:szCs w:val="24"/>
          <w:highlight w:val="white"/>
        </w:rPr>
      </w:pPr>
      <w:r>
        <w:rPr>
          <w:sz w:val="24"/>
          <w:szCs w:val="24"/>
          <w:highlight w:val="white"/>
        </w:rPr>
        <w:t xml:space="preserve">RQ2: What have been the successes and challenges from the implementation of the </w:t>
      </w:r>
      <w:proofErr w:type="spellStart"/>
      <w:r>
        <w:rPr>
          <w:sz w:val="24"/>
          <w:szCs w:val="24"/>
          <w:highlight w:val="white"/>
        </w:rPr>
        <w:t>CfW</w:t>
      </w:r>
      <w:proofErr w:type="spellEnd"/>
      <w:r>
        <w:rPr>
          <w:sz w:val="24"/>
          <w:szCs w:val="24"/>
          <w:highlight w:val="white"/>
        </w:rPr>
        <w:t>?</w:t>
      </w:r>
    </w:p>
    <w:p w14:paraId="14262E7A" w14:textId="77777777" w:rsidR="00D03C68" w:rsidRDefault="00D96AD0">
      <w:pPr>
        <w:keepNext/>
        <w:widowControl w:val="0"/>
        <w:spacing w:line="480" w:lineRule="auto"/>
        <w:rPr>
          <w:sz w:val="24"/>
          <w:szCs w:val="24"/>
          <w:highlight w:val="white"/>
        </w:rPr>
      </w:pPr>
      <w:r>
        <w:rPr>
          <w:sz w:val="24"/>
          <w:szCs w:val="24"/>
          <w:highlight w:val="white"/>
        </w:rPr>
        <w:t xml:space="preserve">RQ3: How do teachers perceive their role in curriculum design and its impact on the implementation of the </w:t>
      </w:r>
      <w:proofErr w:type="spellStart"/>
      <w:r>
        <w:rPr>
          <w:sz w:val="24"/>
          <w:szCs w:val="24"/>
          <w:highlight w:val="white"/>
        </w:rPr>
        <w:t>CfW</w:t>
      </w:r>
      <w:proofErr w:type="spellEnd"/>
      <w:r>
        <w:rPr>
          <w:sz w:val="24"/>
          <w:szCs w:val="24"/>
          <w:highlight w:val="white"/>
        </w:rPr>
        <w:t>?</w:t>
      </w:r>
    </w:p>
    <w:p w14:paraId="14262E7B" w14:textId="77777777" w:rsidR="00D03C68" w:rsidRDefault="00D96AD0">
      <w:pPr>
        <w:keepNext/>
        <w:widowControl w:val="0"/>
        <w:spacing w:line="480" w:lineRule="auto"/>
        <w:rPr>
          <w:sz w:val="24"/>
          <w:szCs w:val="24"/>
          <w:highlight w:val="white"/>
        </w:rPr>
      </w:pPr>
      <w:r>
        <w:rPr>
          <w:sz w:val="24"/>
          <w:szCs w:val="24"/>
          <w:highlight w:val="white"/>
        </w:rPr>
        <w:t xml:space="preserve">I begin with a discussion of the relevance of research into </w:t>
      </w:r>
      <w:proofErr w:type="spellStart"/>
      <w:r>
        <w:rPr>
          <w:sz w:val="24"/>
          <w:szCs w:val="24"/>
          <w:highlight w:val="white"/>
        </w:rPr>
        <w:t>CfW</w:t>
      </w:r>
      <w:proofErr w:type="spellEnd"/>
      <w:r>
        <w:rPr>
          <w:sz w:val="24"/>
          <w:szCs w:val="24"/>
          <w:highlight w:val="white"/>
        </w:rPr>
        <w:t xml:space="preserve"> implementation in secondary mathematics departments to my professional practice and to the wider research community, before looking at how I conducted the literature review and exploring the literature relating to each of the four themes identified. </w:t>
      </w:r>
    </w:p>
    <w:p w14:paraId="14262E7C" w14:textId="77777777" w:rsidR="00D03C68" w:rsidRDefault="00D96AD0">
      <w:pPr>
        <w:pStyle w:val="Heading2"/>
        <w:widowControl w:val="0"/>
        <w:spacing w:line="480" w:lineRule="auto"/>
        <w:rPr>
          <w:u w:val="single"/>
        </w:rPr>
      </w:pPr>
      <w:bookmarkStart w:id="4" w:name="_o7wwp5cnn0ld" w:colFirst="0" w:colLast="0"/>
      <w:bookmarkStart w:id="5" w:name="_Toc219753177"/>
      <w:bookmarkEnd w:id="4"/>
      <w:r>
        <w:rPr>
          <w:u w:val="single"/>
        </w:rPr>
        <w:t>1.1 Background and professional context</w:t>
      </w:r>
      <w:bookmarkEnd w:id="5"/>
    </w:p>
    <w:p w14:paraId="14262E7D" w14:textId="77777777" w:rsidR="00D03C68" w:rsidRDefault="00D96AD0">
      <w:pPr>
        <w:keepNext/>
        <w:widowControl w:val="0"/>
        <w:spacing w:line="480" w:lineRule="auto"/>
        <w:rPr>
          <w:sz w:val="24"/>
          <w:szCs w:val="24"/>
        </w:rPr>
      </w:pPr>
      <w:r>
        <w:rPr>
          <w:sz w:val="24"/>
          <w:szCs w:val="24"/>
        </w:rPr>
        <w:t xml:space="preserve">I am a secondary mathematics teacher in North Wales, with previous experience as Head of Mathematics, Numeracy coordinator and Assistant Headteacher. This has given me a depth of experience in developing a departmental and whole-school curriculum including design, implementation and evaluation. This experience has given </w:t>
      </w:r>
      <w:r>
        <w:rPr>
          <w:sz w:val="24"/>
          <w:szCs w:val="24"/>
        </w:rPr>
        <w:lastRenderedPageBreak/>
        <w:t>me insight into the challenges and excitement associated with this level of reform.</w:t>
      </w:r>
    </w:p>
    <w:p w14:paraId="14262E7E" w14:textId="77777777" w:rsidR="00D03C68" w:rsidRDefault="00D96AD0">
      <w:pPr>
        <w:keepNext/>
        <w:widowControl w:val="0"/>
        <w:spacing w:line="480" w:lineRule="auto"/>
      </w:pPr>
      <w:r>
        <w:rPr>
          <w:sz w:val="24"/>
          <w:szCs w:val="24"/>
        </w:rPr>
        <w:t xml:space="preserve">I began teaching in 2017, in a school who were actively preparing and engaging with </w:t>
      </w:r>
      <w:proofErr w:type="gramStart"/>
      <w:r>
        <w:rPr>
          <w:sz w:val="24"/>
          <w:szCs w:val="24"/>
        </w:rPr>
        <w:t xml:space="preserve">the </w:t>
      </w:r>
      <w:proofErr w:type="spellStart"/>
      <w:r>
        <w:rPr>
          <w:sz w:val="24"/>
          <w:szCs w:val="24"/>
        </w:rPr>
        <w:t>CfW</w:t>
      </w:r>
      <w:proofErr w:type="spellEnd"/>
      <w:proofErr w:type="gramEnd"/>
      <w:r>
        <w:rPr>
          <w:sz w:val="24"/>
          <w:szCs w:val="24"/>
        </w:rPr>
        <w:t xml:space="preserve">, so my entire career has had </w:t>
      </w:r>
      <w:proofErr w:type="gramStart"/>
      <w:r>
        <w:rPr>
          <w:sz w:val="24"/>
          <w:szCs w:val="24"/>
        </w:rPr>
        <w:t xml:space="preserve">the </w:t>
      </w:r>
      <w:proofErr w:type="spellStart"/>
      <w:r>
        <w:rPr>
          <w:sz w:val="24"/>
          <w:szCs w:val="24"/>
        </w:rPr>
        <w:t>CfW</w:t>
      </w:r>
      <w:proofErr w:type="spellEnd"/>
      <w:proofErr w:type="gramEnd"/>
      <w:r>
        <w:rPr>
          <w:sz w:val="24"/>
          <w:szCs w:val="24"/>
        </w:rPr>
        <w:t xml:space="preserve"> as a framework. Being a head of department meant that I led curriculum changes in my setting, collaborating with other professionals to develop my knowledge and practice and mentoring other staff. In my current role as </w:t>
      </w:r>
      <w:proofErr w:type="gramStart"/>
      <w:r>
        <w:rPr>
          <w:sz w:val="24"/>
          <w:szCs w:val="24"/>
        </w:rPr>
        <w:t>school teacher</w:t>
      </w:r>
      <w:proofErr w:type="gramEnd"/>
      <w:r>
        <w:rPr>
          <w:sz w:val="24"/>
          <w:szCs w:val="24"/>
        </w:rPr>
        <w:t xml:space="preserve"> in a small department, I still take a less prominent role in developing the direction for our curriculum design as it is still rolling out. My leadership and classroom experience situate me with a professional perspective on how curr</w:t>
      </w:r>
      <w:r>
        <w:rPr>
          <w:sz w:val="24"/>
          <w:szCs w:val="24"/>
        </w:rPr>
        <w:t xml:space="preserve">iculum reform is interpreted and implemented in secondary mathematics departments, informing the direction of my study. </w:t>
      </w:r>
    </w:p>
    <w:p w14:paraId="14262E7F" w14:textId="77777777" w:rsidR="00D03C68" w:rsidRDefault="00D96AD0">
      <w:pPr>
        <w:pStyle w:val="Heading2"/>
        <w:widowControl w:val="0"/>
        <w:spacing w:line="480" w:lineRule="auto"/>
        <w:rPr>
          <w:highlight w:val="yellow"/>
          <w:u w:val="single"/>
        </w:rPr>
      </w:pPr>
      <w:bookmarkStart w:id="6" w:name="_w6pkdznenfkt" w:colFirst="0" w:colLast="0"/>
      <w:bookmarkStart w:id="7" w:name="_Toc219753178"/>
      <w:bookmarkEnd w:id="6"/>
      <w:r>
        <w:rPr>
          <w:u w:val="single"/>
        </w:rPr>
        <w:t>1.2 Rationale and significance</w:t>
      </w:r>
      <w:bookmarkEnd w:id="7"/>
    </w:p>
    <w:p w14:paraId="14262E80" w14:textId="77777777" w:rsidR="00D03C68" w:rsidRDefault="00D96AD0">
      <w:pPr>
        <w:keepNext/>
        <w:widowControl w:val="0"/>
        <w:spacing w:line="480" w:lineRule="auto"/>
        <w:rPr>
          <w:sz w:val="24"/>
          <w:szCs w:val="24"/>
        </w:rPr>
      </w:pPr>
      <w:r>
        <w:rPr>
          <w:sz w:val="24"/>
          <w:szCs w:val="24"/>
        </w:rPr>
        <w:t xml:space="preserve">The </w:t>
      </w:r>
      <w:proofErr w:type="spellStart"/>
      <w:r>
        <w:rPr>
          <w:sz w:val="24"/>
          <w:szCs w:val="24"/>
        </w:rPr>
        <w:t>CfW</w:t>
      </w:r>
      <w:proofErr w:type="spellEnd"/>
      <w:r>
        <w:rPr>
          <w:sz w:val="24"/>
          <w:szCs w:val="24"/>
        </w:rPr>
        <w:t xml:space="preserve"> represents a major, system wide reform in Wales with a shift towards greater professional autonomy, greater flexibility for schools to design and implement their own curricula, and a </w:t>
      </w:r>
      <w:proofErr w:type="gramStart"/>
      <w:r>
        <w:rPr>
          <w:sz w:val="24"/>
          <w:szCs w:val="24"/>
        </w:rPr>
        <w:t>long term</w:t>
      </w:r>
      <w:proofErr w:type="gramEnd"/>
      <w:r>
        <w:rPr>
          <w:sz w:val="24"/>
          <w:szCs w:val="24"/>
        </w:rPr>
        <w:t xml:space="preserve"> plan for improvement (Welsh Government, 2020a; OECD, 2020). The study will be placed in the context of a significant, ongoing policy change in Welsh education. </w:t>
      </w:r>
    </w:p>
    <w:p w14:paraId="14262E81" w14:textId="77777777" w:rsidR="00D03C68" w:rsidRDefault="00D96AD0">
      <w:pPr>
        <w:keepNext/>
        <w:widowControl w:val="0"/>
        <w:spacing w:line="480" w:lineRule="auto"/>
        <w:rPr>
          <w:sz w:val="24"/>
          <w:szCs w:val="24"/>
        </w:rPr>
      </w:pPr>
      <w:r>
        <w:rPr>
          <w:sz w:val="24"/>
          <w:szCs w:val="24"/>
        </w:rPr>
        <w:t xml:space="preserve">With the shifts outlined towards autonomy and flexibility, mathematics departments will be creating their own curricula and working toward reform. The departments will be working towards implementing changes, keeping school and policy priorities in mind and facing pressures to get progression, pedagogy and assessment well aligned within their individual contexts (EEF, 2024). </w:t>
      </w:r>
    </w:p>
    <w:p w14:paraId="14262E82" w14:textId="77777777" w:rsidR="00D03C68" w:rsidRDefault="00D96AD0">
      <w:pPr>
        <w:keepNext/>
        <w:widowControl w:val="0"/>
        <w:spacing w:line="480" w:lineRule="auto"/>
        <w:rPr>
          <w:sz w:val="24"/>
          <w:szCs w:val="24"/>
        </w:rPr>
      </w:pPr>
      <w:r>
        <w:rPr>
          <w:sz w:val="24"/>
          <w:szCs w:val="24"/>
        </w:rPr>
        <w:t xml:space="preserve">Evaluating early implementation, </w:t>
      </w:r>
      <w:proofErr w:type="spellStart"/>
      <w:r>
        <w:rPr>
          <w:sz w:val="24"/>
          <w:szCs w:val="24"/>
        </w:rPr>
        <w:t>Estyn</w:t>
      </w:r>
      <w:proofErr w:type="spellEnd"/>
      <w:r>
        <w:rPr>
          <w:sz w:val="24"/>
          <w:szCs w:val="24"/>
        </w:rPr>
        <w:t xml:space="preserve"> (2025) and Welsh Government (2023) have identified inconsistencies in provision and voiced concerns about progress in </w:t>
      </w:r>
      <w:r>
        <w:rPr>
          <w:sz w:val="24"/>
          <w:szCs w:val="24"/>
        </w:rPr>
        <w:lastRenderedPageBreak/>
        <w:t xml:space="preserve">mathematics and numeracy, therefore exploring implementation and perceptions about successes and challenges is a relevant area of study to investigate this issue. </w:t>
      </w:r>
    </w:p>
    <w:p w14:paraId="14262E83" w14:textId="77777777" w:rsidR="00D03C68" w:rsidRDefault="00D96AD0">
      <w:pPr>
        <w:keepNext/>
        <w:widowControl w:val="0"/>
        <w:spacing w:line="480" w:lineRule="auto"/>
        <w:rPr>
          <w:sz w:val="24"/>
          <w:szCs w:val="24"/>
        </w:rPr>
      </w:pPr>
      <w:r>
        <w:rPr>
          <w:sz w:val="24"/>
          <w:szCs w:val="24"/>
        </w:rPr>
        <w:t xml:space="preserve">The existing empirical research focuses on policy intent, whole school perspectives and early implementation and there is limited research specifically exploring secondary mathematics departments. My study is intended to address the gap in research relating to implementation in secondary mathematics departments, bridging policy guidance and classroom practice. </w:t>
      </w:r>
    </w:p>
    <w:p w14:paraId="14262E84" w14:textId="77777777" w:rsidR="00D03C68" w:rsidRDefault="00D96AD0">
      <w:pPr>
        <w:pStyle w:val="Heading2"/>
        <w:widowControl w:val="0"/>
        <w:spacing w:before="240" w:after="240" w:line="480" w:lineRule="auto"/>
        <w:rPr>
          <w:u w:val="single"/>
        </w:rPr>
      </w:pPr>
      <w:bookmarkStart w:id="8" w:name="_chsie442fvcf" w:colFirst="0" w:colLast="0"/>
      <w:bookmarkStart w:id="9" w:name="_Toc219753179"/>
      <w:bookmarkEnd w:id="8"/>
      <w:r>
        <w:rPr>
          <w:u w:val="single"/>
        </w:rPr>
        <w:t>1.3 Research gap</w:t>
      </w:r>
      <w:bookmarkEnd w:id="9"/>
    </w:p>
    <w:p w14:paraId="14262E85" w14:textId="77777777" w:rsidR="00D03C68" w:rsidRDefault="00D96AD0">
      <w:pPr>
        <w:keepNext/>
        <w:widowControl w:val="0"/>
        <w:spacing w:line="480" w:lineRule="auto"/>
        <w:rPr>
          <w:sz w:val="24"/>
          <w:szCs w:val="24"/>
        </w:rPr>
      </w:pPr>
      <w:r>
        <w:rPr>
          <w:sz w:val="24"/>
          <w:szCs w:val="24"/>
        </w:rPr>
        <w:t>Early implementations in some Areas of Learning and Experience (</w:t>
      </w:r>
      <w:proofErr w:type="spellStart"/>
      <w:r>
        <w:rPr>
          <w:sz w:val="24"/>
          <w:szCs w:val="24"/>
        </w:rPr>
        <w:t>AoLE</w:t>
      </w:r>
      <w:proofErr w:type="spellEnd"/>
      <w:r>
        <w:rPr>
          <w:sz w:val="24"/>
          <w:szCs w:val="24"/>
        </w:rPr>
        <w:t xml:space="preserve">) have been discussed in research by Robinson (2022) and Aldous </w:t>
      </w:r>
      <w:r>
        <w:rPr>
          <w:i/>
          <w:iCs/>
          <w:sz w:val="24"/>
          <w:szCs w:val="24"/>
        </w:rPr>
        <w:t xml:space="preserve">et al. </w:t>
      </w:r>
      <w:r>
        <w:rPr>
          <w:sz w:val="24"/>
          <w:szCs w:val="24"/>
        </w:rPr>
        <w:t xml:space="preserve">(2022) and general whole school perspectives are documented by Thomas </w:t>
      </w:r>
      <w:r>
        <w:rPr>
          <w:i/>
          <w:iCs/>
          <w:sz w:val="24"/>
          <w:szCs w:val="24"/>
        </w:rPr>
        <w:t>et al.,</w:t>
      </w:r>
      <w:r>
        <w:rPr>
          <w:sz w:val="24"/>
          <w:szCs w:val="24"/>
        </w:rPr>
        <w:t xml:space="preserve"> (2023). Curriculum design, policy and intent have also been explored by Evans (2023) and Wood and Hughson (2025). </w:t>
      </w:r>
    </w:p>
    <w:p w14:paraId="14262E86" w14:textId="77777777" w:rsidR="00D03C68" w:rsidRDefault="00D96AD0">
      <w:pPr>
        <w:keepNext/>
        <w:widowControl w:val="0"/>
        <w:spacing w:line="480" w:lineRule="auto"/>
        <w:rPr>
          <w:sz w:val="24"/>
          <w:szCs w:val="24"/>
        </w:rPr>
      </w:pPr>
      <w:r>
        <w:rPr>
          <w:sz w:val="24"/>
          <w:szCs w:val="24"/>
        </w:rPr>
        <w:t xml:space="preserve">Although </w:t>
      </w:r>
      <w:proofErr w:type="spellStart"/>
      <w:r>
        <w:rPr>
          <w:sz w:val="24"/>
          <w:szCs w:val="24"/>
        </w:rPr>
        <w:t>Lyakhova</w:t>
      </w:r>
      <w:proofErr w:type="spellEnd"/>
      <w:r>
        <w:rPr>
          <w:sz w:val="24"/>
          <w:szCs w:val="24"/>
        </w:rPr>
        <w:t xml:space="preserve"> </w:t>
      </w:r>
      <w:r>
        <w:rPr>
          <w:i/>
          <w:iCs/>
          <w:sz w:val="24"/>
          <w:szCs w:val="24"/>
        </w:rPr>
        <w:t xml:space="preserve">et al. </w:t>
      </w:r>
      <w:r>
        <w:rPr>
          <w:sz w:val="24"/>
          <w:szCs w:val="24"/>
        </w:rPr>
        <w:t xml:space="preserve">(2019) discuss the </w:t>
      </w:r>
      <w:proofErr w:type="spellStart"/>
      <w:r>
        <w:rPr>
          <w:sz w:val="24"/>
          <w:szCs w:val="24"/>
        </w:rPr>
        <w:t>CfW</w:t>
      </w:r>
      <w:proofErr w:type="spellEnd"/>
      <w:r>
        <w:rPr>
          <w:sz w:val="24"/>
          <w:szCs w:val="24"/>
        </w:rPr>
        <w:t xml:space="preserve"> in relation to mathematics, it skews towards </w:t>
      </w:r>
      <w:proofErr w:type="spellStart"/>
      <w:r>
        <w:rPr>
          <w:sz w:val="24"/>
          <w:szCs w:val="24"/>
        </w:rPr>
        <w:t>analysing</w:t>
      </w:r>
      <w:proofErr w:type="spellEnd"/>
      <w:r>
        <w:rPr>
          <w:sz w:val="24"/>
          <w:szCs w:val="24"/>
        </w:rPr>
        <w:t xml:space="preserve"> policy intent as it was written prior to significant implementation of the </w:t>
      </w:r>
      <w:proofErr w:type="spellStart"/>
      <w:r>
        <w:rPr>
          <w:sz w:val="24"/>
          <w:szCs w:val="24"/>
        </w:rPr>
        <w:t>CfW</w:t>
      </w:r>
      <w:proofErr w:type="spellEnd"/>
      <w:r>
        <w:rPr>
          <w:sz w:val="24"/>
          <w:szCs w:val="24"/>
        </w:rPr>
        <w:t xml:space="preserve"> and it is one of very few instances of research involving mathematics through the lens of the </w:t>
      </w:r>
      <w:proofErr w:type="spellStart"/>
      <w:r>
        <w:rPr>
          <w:sz w:val="24"/>
          <w:szCs w:val="24"/>
        </w:rPr>
        <w:t>CfW</w:t>
      </w:r>
      <w:proofErr w:type="spellEnd"/>
      <w:r>
        <w:rPr>
          <w:sz w:val="24"/>
          <w:szCs w:val="24"/>
        </w:rPr>
        <w:t xml:space="preserve">. </w:t>
      </w:r>
    </w:p>
    <w:p w14:paraId="14262E87" w14:textId="77777777" w:rsidR="00D03C68" w:rsidRDefault="00D96AD0">
      <w:pPr>
        <w:keepNext/>
        <w:widowControl w:val="0"/>
        <w:spacing w:line="480" w:lineRule="auto"/>
        <w:rPr>
          <w:sz w:val="24"/>
          <w:szCs w:val="24"/>
        </w:rPr>
      </w:pPr>
      <w:r>
        <w:rPr>
          <w:sz w:val="24"/>
          <w:szCs w:val="24"/>
        </w:rPr>
        <w:t xml:space="preserve">By examining </w:t>
      </w:r>
      <w:proofErr w:type="gramStart"/>
      <w:r>
        <w:rPr>
          <w:sz w:val="24"/>
          <w:szCs w:val="24"/>
        </w:rPr>
        <w:t>the implementation</w:t>
      </w:r>
      <w:proofErr w:type="gramEnd"/>
      <w:r>
        <w:rPr>
          <w:sz w:val="24"/>
          <w:szCs w:val="24"/>
        </w:rPr>
        <w:t xml:space="preserve"> at departmental level in secondary mathematics I will address a gap in currently available empirical research. I will explore the change process, perceived successes and challenges, and teachers’ perception of their role in curriculum design which are currently under-researched in both mathematics and Welsh contexts. </w:t>
      </w:r>
    </w:p>
    <w:p w14:paraId="2136CDA1" w14:textId="77777777" w:rsidR="00F3673A" w:rsidRDefault="00F3673A">
      <w:pPr>
        <w:rPr>
          <w:sz w:val="24"/>
          <w:szCs w:val="24"/>
          <w:u w:val="single"/>
        </w:rPr>
      </w:pPr>
      <w:bookmarkStart w:id="10" w:name="_qov3fbkrb1t7" w:colFirst="0" w:colLast="0"/>
      <w:bookmarkEnd w:id="10"/>
      <w:r>
        <w:rPr>
          <w:sz w:val="24"/>
          <w:szCs w:val="24"/>
          <w:u w:val="single"/>
        </w:rPr>
        <w:br w:type="page"/>
      </w:r>
    </w:p>
    <w:p w14:paraId="14262E88" w14:textId="0A740D81" w:rsidR="00D03C68" w:rsidRDefault="00D96AD0">
      <w:pPr>
        <w:pStyle w:val="Heading1"/>
        <w:widowControl w:val="0"/>
        <w:spacing w:after="80" w:line="480" w:lineRule="auto"/>
        <w:rPr>
          <w:sz w:val="24"/>
          <w:szCs w:val="24"/>
          <w:u w:val="single"/>
        </w:rPr>
      </w:pPr>
      <w:bookmarkStart w:id="11" w:name="_Toc219753180"/>
      <w:r>
        <w:rPr>
          <w:sz w:val="24"/>
          <w:szCs w:val="24"/>
          <w:u w:val="single"/>
        </w:rPr>
        <w:lastRenderedPageBreak/>
        <w:t>2. Literature Review</w:t>
      </w:r>
      <w:bookmarkEnd w:id="11"/>
    </w:p>
    <w:p w14:paraId="14262E89" w14:textId="77777777" w:rsidR="00D03C68" w:rsidRDefault="00D96AD0">
      <w:pPr>
        <w:pStyle w:val="Heading2"/>
        <w:widowControl w:val="0"/>
        <w:spacing w:before="240" w:after="240" w:line="480" w:lineRule="auto"/>
        <w:rPr>
          <w:u w:val="single"/>
        </w:rPr>
      </w:pPr>
      <w:bookmarkStart w:id="12" w:name="_aqur9oqhgpsj" w:colFirst="0" w:colLast="0"/>
      <w:bookmarkStart w:id="13" w:name="_Toc219753181"/>
      <w:bookmarkEnd w:id="12"/>
      <w:r>
        <w:rPr>
          <w:u w:val="single"/>
        </w:rPr>
        <w:t>2.1 Conducting a Literature Review</w:t>
      </w:r>
      <w:bookmarkEnd w:id="13"/>
    </w:p>
    <w:p w14:paraId="14262E8A" w14:textId="77777777" w:rsidR="00D03C68" w:rsidRDefault="00D96AD0">
      <w:pPr>
        <w:keepNext/>
        <w:widowControl w:val="0"/>
        <w:spacing w:line="480" w:lineRule="auto"/>
        <w:rPr>
          <w:sz w:val="24"/>
          <w:szCs w:val="24"/>
        </w:rPr>
      </w:pPr>
      <w:proofErr w:type="spellStart"/>
      <w:r>
        <w:rPr>
          <w:sz w:val="24"/>
          <w:szCs w:val="24"/>
        </w:rPr>
        <w:t>Biggam</w:t>
      </w:r>
      <w:proofErr w:type="spellEnd"/>
      <w:r>
        <w:rPr>
          <w:sz w:val="24"/>
          <w:szCs w:val="24"/>
        </w:rPr>
        <w:t xml:space="preserve"> (2008) suggests that the purpose of the literature review is to discover what is being said about your area of study and present the work of others in a clear, progressive way. Bryman (2016) adds that this is an opportunity to identify key voices and debates in your area of study. </w:t>
      </w:r>
    </w:p>
    <w:p w14:paraId="14262E8B" w14:textId="77777777" w:rsidR="00D03C68" w:rsidRDefault="00D96AD0">
      <w:pPr>
        <w:keepNext/>
        <w:widowControl w:val="0"/>
        <w:spacing w:line="480" w:lineRule="auto"/>
        <w:rPr>
          <w:sz w:val="24"/>
          <w:szCs w:val="24"/>
        </w:rPr>
      </w:pPr>
      <w:r>
        <w:rPr>
          <w:sz w:val="24"/>
          <w:szCs w:val="24"/>
        </w:rPr>
        <w:t>A critical literature review seeks to demonstrate not only a broad and expansive knowledge base (Kumar, 2019) but whether the author can offer insight into people’s views and support their own point of view with reasoned academic argument (</w:t>
      </w:r>
      <w:proofErr w:type="spellStart"/>
      <w:r>
        <w:rPr>
          <w:sz w:val="24"/>
          <w:szCs w:val="24"/>
        </w:rPr>
        <w:t>Biggam</w:t>
      </w:r>
      <w:proofErr w:type="spellEnd"/>
      <w:r>
        <w:rPr>
          <w:sz w:val="24"/>
          <w:szCs w:val="24"/>
        </w:rPr>
        <w:t xml:space="preserve">, 2008). As my research will explore implementation of the </w:t>
      </w:r>
      <w:proofErr w:type="spellStart"/>
      <w:r>
        <w:rPr>
          <w:sz w:val="24"/>
          <w:szCs w:val="24"/>
        </w:rPr>
        <w:t>CfW</w:t>
      </w:r>
      <w:proofErr w:type="spellEnd"/>
      <w:r>
        <w:rPr>
          <w:sz w:val="24"/>
          <w:szCs w:val="24"/>
        </w:rPr>
        <w:t xml:space="preserve"> and perceived success and challenges, I will need to engage with texts relating to policy, empirical evidence and theory, and examine discussions in the fields of curriculum, change and pedagogy. </w:t>
      </w:r>
    </w:p>
    <w:p w14:paraId="14262E8C" w14:textId="77777777" w:rsidR="00D03C68" w:rsidRDefault="00D96AD0">
      <w:pPr>
        <w:keepNext/>
        <w:widowControl w:val="0"/>
        <w:spacing w:line="480" w:lineRule="auto"/>
        <w:rPr>
          <w:sz w:val="24"/>
          <w:szCs w:val="24"/>
        </w:rPr>
      </w:pPr>
      <w:r>
        <w:rPr>
          <w:sz w:val="24"/>
          <w:szCs w:val="24"/>
        </w:rPr>
        <w:t xml:space="preserve">I attempted to </w:t>
      </w:r>
      <w:proofErr w:type="spellStart"/>
      <w:r>
        <w:rPr>
          <w:sz w:val="24"/>
          <w:szCs w:val="24"/>
        </w:rPr>
        <w:t>synthesise</w:t>
      </w:r>
      <w:proofErr w:type="spellEnd"/>
      <w:r>
        <w:rPr>
          <w:sz w:val="24"/>
          <w:szCs w:val="24"/>
        </w:rPr>
        <w:t xml:space="preserve"> the literature thematically, identifying key themes and arguments in curriculum reform, implementation and professional agency. Contexts of the research were explored to ensure relevance to the </w:t>
      </w:r>
      <w:proofErr w:type="spellStart"/>
      <w:r>
        <w:rPr>
          <w:sz w:val="24"/>
          <w:szCs w:val="24"/>
        </w:rPr>
        <w:t>CfW</w:t>
      </w:r>
      <w:proofErr w:type="spellEnd"/>
      <w:r>
        <w:rPr>
          <w:sz w:val="24"/>
          <w:szCs w:val="24"/>
        </w:rPr>
        <w:t xml:space="preserve"> and its position in international curricular trends. </w:t>
      </w:r>
    </w:p>
    <w:p w14:paraId="14262E8D" w14:textId="77777777" w:rsidR="00D03C68" w:rsidRDefault="00D96AD0">
      <w:pPr>
        <w:keepNext/>
        <w:widowControl w:val="0"/>
        <w:spacing w:line="480" w:lineRule="auto"/>
        <w:rPr>
          <w:sz w:val="24"/>
          <w:szCs w:val="24"/>
        </w:rPr>
      </w:pPr>
      <w:r>
        <w:rPr>
          <w:sz w:val="24"/>
          <w:szCs w:val="24"/>
        </w:rPr>
        <w:t xml:space="preserve">Relevance was judged by </w:t>
      </w:r>
      <w:proofErr w:type="spellStart"/>
      <w:r>
        <w:rPr>
          <w:sz w:val="24"/>
          <w:szCs w:val="24"/>
        </w:rPr>
        <w:t>recognising</w:t>
      </w:r>
      <w:proofErr w:type="spellEnd"/>
      <w:r>
        <w:rPr>
          <w:sz w:val="24"/>
          <w:szCs w:val="24"/>
        </w:rPr>
        <w:t xml:space="preserve"> whether research was conducted in relation to </w:t>
      </w:r>
      <w:proofErr w:type="spellStart"/>
      <w:r>
        <w:rPr>
          <w:sz w:val="24"/>
          <w:szCs w:val="24"/>
        </w:rPr>
        <w:t>CfW</w:t>
      </w:r>
      <w:proofErr w:type="spellEnd"/>
      <w:r>
        <w:rPr>
          <w:sz w:val="24"/>
          <w:szCs w:val="24"/>
        </w:rPr>
        <w:t xml:space="preserve"> or similar contexts, recency and trying to balance books by expert authors, empirical research and policy and government documents and reports. Despite the relative recency of the </w:t>
      </w:r>
      <w:proofErr w:type="spellStart"/>
      <w:r>
        <w:rPr>
          <w:sz w:val="24"/>
          <w:szCs w:val="24"/>
        </w:rPr>
        <w:t>CfW</w:t>
      </w:r>
      <w:proofErr w:type="spellEnd"/>
      <w:r>
        <w:rPr>
          <w:sz w:val="24"/>
          <w:szCs w:val="24"/>
        </w:rPr>
        <w:t xml:space="preserve">, some of the relevant documentation slightly pushes the guidance to concentrate on literature published within the past five years as research </w:t>
      </w:r>
      <w:r>
        <w:rPr>
          <w:sz w:val="24"/>
          <w:szCs w:val="24"/>
        </w:rPr>
        <w:lastRenderedPageBreak/>
        <w:t xml:space="preserve">conducted in 2019 and 2020 were still relevant to </w:t>
      </w:r>
      <w:proofErr w:type="spellStart"/>
      <w:r>
        <w:rPr>
          <w:sz w:val="24"/>
          <w:szCs w:val="24"/>
        </w:rPr>
        <w:t>CfW</w:t>
      </w:r>
      <w:proofErr w:type="spellEnd"/>
      <w:r>
        <w:rPr>
          <w:sz w:val="24"/>
          <w:szCs w:val="24"/>
        </w:rPr>
        <w:t>.</w:t>
      </w:r>
    </w:p>
    <w:p w14:paraId="14262E8E" w14:textId="77777777" w:rsidR="00D03C68" w:rsidRDefault="00D96AD0">
      <w:pPr>
        <w:pStyle w:val="Heading2"/>
        <w:widowControl w:val="0"/>
        <w:spacing w:before="240" w:after="240" w:line="480" w:lineRule="auto"/>
        <w:rPr>
          <w:u w:val="single"/>
        </w:rPr>
      </w:pPr>
      <w:bookmarkStart w:id="14" w:name="_qlshr07n50q1" w:colFirst="0" w:colLast="0"/>
      <w:bookmarkStart w:id="15" w:name="_Toc219753182"/>
      <w:bookmarkEnd w:id="14"/>
      <w:r>
        <w:rPr>
          <w:u w:val="single"/>
        </w:rPr>
        <w:t>2.2 Search strategy and inclusion criteria</w:t>
      </w:r>
      <w:bookmarkEnd w:id="15"/>
    </w:p>
    <w:p w14:paraId="14262E8F" w14:textId="77777777" w:rsidR="00D03C68" w:rsidRDefault="00D96AD0">
      <w:pPr>
        <w:keepNext/>
        <w:widowControl w:val="0"/>
        <w:spacing w:line="480" w:lineRule="auto"/>
        <w:rPr>
          <w:sz w:val="24"/>
          <w:szCs w:val="24"/>
        </w:rPr>
      </w:pPr>
      <w:r>
        <w:rPr>
          <w:sz w:val="24"/>
          <w:szCs w:val="24"/>
        </w:rPr>
        <w:t xml:space="preserve">This section will give some indication of how I </w:t>
      </w:r>
      <w:proofErr w:type="gramStart"/>
      <w:r>
        <w:rPr>
          <w:sz w:val="24"/>
          <w:szCs w:val="24"/>
        </w:rPr>
        <w:t>performed</w:t>
      </w:r>
      <w:proofErr w:type="gramEnd"/>
      <w:r>
        <w:rPr>
          <w:sz w:val="24"/>
          <w:szCs w:val="24"/>
        </w:rPr>
        <w:t xml:space="preserve"> my </w:t>
      </w:r>
      <w:proofErr w:type="gramStart"/>
      <w:r>
        <w:rPr>
          <w:sz w:val="24"/>
          <w:szCs w:val="24"/>
        </w:rPr>
        <w:t>searches</w:t>
      </w:r>
      <w:proofErr w:type="gramEnd"/>
      <w:r>
        <w:rPr>
          <w:sz w:val="24"/>
          <w:szCs w:val="24"/>
        </w:rPr>
        <w:t xml:space="preserve"> and the strategy I adopted. There was a breadth of reading around </w:t>
      </w:r>
      <w:proofErr w:type="spellStart"/>
      <w:r>
        <w:rPr>
          <w:sz w:val="24"/>
          <w:szCs w:val="24"/>
        </w:rPr>
        <w:t>CfW</w:t>
      </w:r>
      <w:proofErr w:type="spellEnd"/>
      <w:r>
        <w:rPr>
          <w:sz w:val="24"/>
          <w:szCs w:val="24"/>
        </w:rPr>
        <w:t xml:space="preserve">, educational change, curriculum reform, mathematics education and curriculum design. Searches were iterative and were refined during the process (Brown and Fallin, 2019). </w:t>
      </w:r>
    </w:p>
    <w:p w14:paraId="14262E90" w14:textId="77777777" w:rsidR="00D03C68" w:rsidRDefault="00D96AD0">
      <w:pPr>
        <w:keepNext/>
        <w:widowControl w:val="0"/>
        <w:spacing w:line="480" w:lineRule="auto"/>
        <w:rPr>
          <w:sz w:val="24"/>
          <w:szCs w:val="24"/>
        </w:rPr>
      </w:pPr>
      <w:r>
        <w:rPr>
          <w:sz w:val="24"/>
          <w:szCs w:val="24"/>
        </w:rPr>
        <w:t xml:space="preserve">My primary database to search for journals was the interdisciplinary academic database (Brown and Fallin, 2019) by the University of Wales Trinity Saint David (UWTSD) as it allowed me to browse a wide range of resources and filter efficiently and use cited by and cited functions to investigate further sources. Online resources by Welsh Government (2020), OECD (2020), </w:t>
      </w:r>
      <w:proofErr w:type="spellStart"/>
      <w:r>
        <w:rPr>
          <w:sz w:val="24"/>
          <w:szCs w:val="24"/>
        </w:rPr>
        <w:t>Estyn</w:t>
      </w:r>
      <w:proofErr w:type="spellEnd"/>
      <w:r>
        <w:rPr>
          <w:sz w:val="24"/>
          <w:szCs w:val="24"/>
        </w:rPr>
        <w:t xml:space="preserve"> (2025) and EEF (2024) were generally found on their websites but are relevant as they discuss </w:t>
      </w:r>
      <w:proofErr w:type="spellStart"/>
      <w:r>
        <w:rPr>
          <w:sz w:val="24"/>
          <w:szCs w:val="24"/>
        </w:rPr>
        <w:t>CfW</w:t>
      </w:r>
      <w:proofErr w:type="spellEnd"/>
      <w:r>
        <w:rPr>
          <w:sz w:val="24"/>
          <w:szCs w:val="24"/>
        </w:rPr>
        <w:t xml:space="preserve"> or implementation by trusted, official sources. </w:t>
      </w:r>
    </w:p>
    <w:p w14:paraId="14262E91" w14:textId="77777777" w:rsidR="00D03C68" w:rsidRDefault="00D96AD0">
      <w:pPr>
        <w:keepNext/>
        <w:widowControl w:val="0"/>
        <w:spacing w:line="480" w:lineRule="auto"/>
        <w:rPr>
          <w:sz w:val="24"/>
          <w:szCs w:val="24"/>
        </w:rPr>
      </w:pPr>
      <w:r>
        <w:rPr>
          <w:sz w:val="24"/>
          <w:szCs w:val="24"/>
        </w:rPr>
        <w:t xml:space="preserve">My indicative search terms included “Curriculum for Wales” - which was important to include in quotation marks to avoid diffusion with works involving curriculum in general with some tangential mention of Wales - “mathematics pedagogy”, “curriculum reform” and “teacher autonomy”. Inclusion criteria included relevance to secondary education, mathematics, curriculum reform, </w:t>
      </w:r>
      <w:proofErr w:type="spellStart"/>
      <w:r>
        <w:rPr>
          <w:sz w:val="24"/>
          <w:szCs w:val="24"/>
        </w:rPr>
        <w:t>CfW</w:t>
      </w:r>
      <w:proofErr w:type="spellEnd"/>
      <w:r>
        <w:rPr>
          <w:sz w:val="24"/>
          <w:szCs w:val="24"/>
        </w:rPr>
        <w:t xml:space="preserve"> and international curriculum trends. </w:t>
      </w:r>
    </w:p>
    <w:p w14:paraId="14262E92" w14:textId="77777777" w:rsidR="00D03C68" w:rsidRDefault="00D96AD0">
      <w:pPr>
        <w:keepNext/>
        <w:widowControl w:val="0"/>
        <w:spacing w:line="480" w:lineRule="auto"/>
        <w:rPr>
          <w:sz w:val="24"/>
          <w:szCs w:val="24"/>
        </w:rPr>
      </w:pPr>
      <w:r>
        <w:rPr>
          <w:sz w:val="24"/>
          <w:szCs w:val="24"/>
        </w:rPr>
        <w:t xml:space="preserve">There were limitations as </w:t>
      </w:r>
      <w:proofErr w:type="spellStart"/>
      <w:r>
        <w:rPr>
          <w:sz w:val="24"/>
          <w:szCs w:val="24"/>
        </w:rPr>
        <w:t>CfW</w:t>
      </w:r>
      <w:proofErr w:type="spellEnd"/>
      <w:r>
        <w:rPr>
          <w:sz w:val="24"/>
          <w:szCs w:val="24"/>
        </w:rPr>
        <w:t xml:space="preserve"> is an emerging field of study and empirical study is scarce and as such, I notice a tendency to refer to and build on the same authors.</w:t>
      </w:r>
    </w:p>
    <w:p w14:paraId="6E946B40" w14:textId="77777777" w:rsidR="00F3673A" w:rsidRDefault="00F3673A">
      <w:pPr>
        <w:rPr>
          <w:sz w:val="24"/>
          <w:szCs w:val="24"/>
          <w:u w:val="single"/>
        </w:rPr>
      </w:pPr>
      <w:bookmarkStart w:id="16" w:name="_gs1fdki1hbk7" w:colFirst="0" w:colLast="0"/>
      <w:bookmarkEnd w:id="16"/>
      <w:r>
        <w:rPr>
          <w:sz w:val="24"/>
          <w:szCs w:val="24"/>
          <w:u w:val="single"/>
        </w:rPr>
        <w:br w:type="page"/>
      </w:r>
    </w:p>
    <w:p w14:paraId="14262E93" w14:textId="4E7B6311" w:rsidR="00D03C68" w:rsidRDefault="00D96AD0">
      <w:pPr>
        <w:pStyle w:val="Heading1"/>
        <w:widowControl w:val="0"/>
        <w:spacing w:after="80" w:line="480" w:lineRule="auto"/>
        <w:rPr>
          <w:b/>
          <w:bCs/>
          <w:sz w:val="24"/>
          <w:szCs w:val="24"/>
          <w:u w:val="single"/>
        </w:rPr>
      </w:pPr>
      <w:bookmarkStart w:id="17" w:name="_Toc219753183"/>
      <w:r>
        <w:rPr>
          <w:sz w:val="24"/>
          <w:szCs w:val="24"/>
          <w:u w:val="single"/>
        </w:rPr>
        <w:lastRenderedPageBreak/>
        <w:t>3. Curriculum for Wales (</w:t>
      </w:r>
      <w:proofErr w:type="spellStart"/>
      <w:r>
        <w:rPr>
          <w:sz w:val="24"/>
          <w:szCs w:val="24"/>
          <w:u w:val="single"/>
        </w:rPr>
        <w:t>CfW</w:t>
      </w:r>
      <w:proofErr w:type="spellEnd"/>
      <w:r>
        <w:rPr>
          <w:sz w:val="24"/>
          <w:szCs w:val="24"/>
          <w:u w:val="single"/>
        </w:rPr>
        <w:t>)</w:t>
      </w:r>
      <w:bookmarkEnd w:id="17"/>
    </w:p>
    <w:p w14:paraId="14262E94" w14:textId="77777777" w:rsidR="00D03C68" w:rsidRDefault="00D96AD0">
      <w:pPr>
        <w:keepNext/>
        <w:widowControl w:val="0"/>
        <w:spacing w:line="480" w:lineRule="auto"/>
        <w:rPr>
          <w:sz w:val="24"/>
          <w:szCs w:val="24"/>
        </w:rPr>
      </w:pPr>
      <w:r>
        <w:rPr>
          <w:sz w:val="24"/>
          <w:szCs w:val="24"/>
        </w:rPr>
        <w:t xml:space="preserve">This section examines the </w:t>
      </w:r>
      <w:proofErr w:type="spellStart"/>
      <w:r>
        <w:rPr>
          <w:sz w:val="24"/>
          <w:szCs w:val="24"/>
        </w:rPr>
        <w:t>CfW</w:t>
      </w:r>
      <w:proofErr w:type="spellEnd"/>
      <w:r>
        <w:rPr>
          <w:sz w:val="24"/>
          <w:szCs w:val="24"/>
        </w:rPr>
        <w:t xml:space="preserve"> as a policy framework, considering its origin and rationale, key features and briefly looking at its early implementation. I provided some context in where the </w:t>
      </w:r>
      <w:proofErr w:type="spellStart"/>
      <w:r>
        <w:rPr>
          <w:sz w:val="24"/>
          <w:szCs w:val="24"/>
        </w:rPr>
        <w:t>CfW</w:t>
      </w:r>
      <w:proofErr w:type="spellEnd"/>
      <w:r>
        <w:rPr>
          <w:sz w:val="24"/>
          <w:szCs w:val="24"/>
        </w:rPr>
        <w:t xml:space="preserve"> sits in international curricula, highlighting the shift from the prescriptive to broader, purpose led curricula. Establishing the structure of the </w:t>
      </w:r>
      <w:proofErr w:type="spellStart"/>
      <w:r>
        <w:rPr>
          <w:sz w:val="24"/>
          <w:szCs w:val="24"/>
        </w:rPr>
        <w:t>CfW</w:t>
      </w:r>
      <w:proofErr w:type="spellEnd"/>
      <w:r>
        <w:rPr>
          <w:sz w:val="24"/>
          <w:szCs w:val="24"/>
        </w:rPr>
        <w:t xml:space="preserve"> and early research into its implementation allows some understanding into interpretation and initial practice. This will give the foundation to my rationale into why research into mathematics d</w:t>
      </w:r>
      <w:r>
        <w:rPr>
          <w:sz w:val="24"/>
          <w:szCs w:val="24"/>
        </w:rPr>
        <w:t xml:space="preserve">epartments implementation is required, informing research questions one and two. </w:t>
      </w:r>
    </w:p>
    <w:p w14:paraId="14262E95" w14:textId="77777777" w:rsidR="00D03C68" w:rsidRDefault="00D96AD0">
      <w:pPr>
        <w:pStyle w:val="Heading2"/>
        <w:widowControl w:val="0"/>
        <w:spacing w:before="240" w:after="240" w:line="480" w:lineRule="auto"/>
        <w:rPr>
          <w:u w:val="single"/>
        </w:rPr>
      </w:pPr>
      <w:bookmarkStart w:id="18" w:name="_uuepjg32txy9" w:colFirst="0" w:colLast="0"/>
      <w:bookmarkStart w:id="19" w:name="_Toc219753184"/>
      <w:bookmarkEnd w:id="18"/>
      <w:r>
        <w:rPr>
          <w:u w:val="single"/>
        </w:rPr>
        <w:t xml:space="preserve">3.1 Origins and rationale of </w:t>
      </w:r>
      <w:proofErr w:type="spellStart"/>
      <w:r>
        <w:rPr>
          <w:u w:val="single"/>
        </w:rPr>
        <w:t>CfW</w:t>
      </w:r>
      <w:bookmarkEnd w:id="19"/>
      <w:proofErr w:type="spellEnd"/>
    </w:p>
    <w:p w14:paraId="14262E96" w14:textId="77777777" w:rsidR="00D03C68" w:rsidRDefault="00D96AD0">
      <w:pPr>
        <w:keepNext/>
        <w:widowControl w:val="0"/>
        <w:spacing w:line="480" w:lineRule="auto"/>
        <w:rPr>
          <w:sz w:val="24"/>
          <w:szCs w:val="24"/>
          <w:highlight w:val="white"/>
        </w:rPr>
      </w:pPr>
      <w:r>
        <w:rPr>
          <w:sz w:val="24"/>
          <w:szCs w:val="24"/>
        </w:rPr>
        <w:t xml:space="preserve">The introduction of the </w:t>
      </w:r>
      <w:proofErr w:type="spellStart"/>
      <w:r>
        <w:rPr>
          <w:sz w:val="24"/>
          <w:szCs w:val="24"/>
        </w:rPr>
        <w:t>CfW</w:t>
      </w:r>
      <w:proofErr w:type="spellEnd"/>
      <w:r>
        <w:rPr>
          <w:sz w:val="24"/>
          <w:szCs w:val="24"/>
        </w:rPr>
        <w:t xml:space="preserve"> was framed as a necessity due to perceived weaknesses in the previous curriculum (Donaldson, 2015). These concerns were reinforced by </w:t>
      </w:r>
      <w:proofErr w:type="spellStart"/>
      <w:r>
        <w:rPr>
          <w:sz w:val="24"/>
          <w:szCs w:val="24"/>
        </w:rPr>
        <w:t>Wales’</w:t>
      </w:r>
      <w:proofErr w:type="spellEnd"/>
      <w:r>
        <w:rPr>
          <w:sz w:val="24"/>
          <w:szCs w:val="24"/>
        </w:rPr>
        <w:t xml:space="preserve"> performance in the </w:t>
      </w:r>
      <w:proofErr w:type="spellStart"/>
      <w:r>
        <w:rPr>
          <w:sz w:val="24"/>
          <w:szCs w:val="24"/>
        </w:rPr>
        <w:t>Programme</w:t>
      </w:r>
      <w:proofErr w:type="spellEnd"/>
      <w:r>
        <w:rPr>
          <w:sz w:val="24"/>
          <w:szCs w:val="24"/>
        </w:rPr>
        <w:t xml:space="preserve"> for International Student Assessment (PISA) - examinations set by the </w:t>
      </w:r>
      <w:r>
        <w:rPr>
          <w:sz w:val="24"/>
          <w:szCs w:val="24"/>
          <w:highlight w:val="white"/>
        </w:rPr>
        <w:t xml:space="preserve">Organization for Economic Cooperation and Development (OECD) assessing </w:t>
      </w:r>
      <w:proofErr w:type="gramStart"/>
      <w:r>
        <w:rPr>
          <w:sz w:val="24"/>
          <w:szCs w:val="24"/>
          <w:highlight w:val="white"/>
        </w:rPr>
        <w:t>15 year olds</w:t>
      </w:r>
      <w:proofErr w:type="gramEnd"/>
      <w:r>
        <w:rPr>
          <w:sz w:val="24"/>
          <w:szCs w:val="24"/>
          <w:highlight w:val="white"/>
        </w:rPr>
        <w:t xml:space="preserve"> across 81 countries in science, reading and mathematics (OECD, 2024). Wales had been performing at lower than the OECD average, sparking apprehension about </w:t>
      </w:r>
      <w:proofErr w:type="spellStart"/>
      <w:r>
        <w:rPr>
          <w:sz w:val="24"/>
          <w:szCs w:val="24"/>
          <w:highlight w:val="white"/>
        </w:rPr>
        <w:t>Wales’</w:t>
      </w:r>
      <w:proofErr w:type="spellEnd"/>
      <w:r>
        <w:rPr>
          <w:sz w:val="24"/>
          <w:szCs w:val="24"/>
          <w:highlight w:val="white"/>
        </w:rPr>
        <w:t xml:space="preserve"> global competitivenes</w:t>
      </w:r>
      <w:r>
        <w:rPr>
          <w:sz w:val="24"/>
          <w:szCs w:val="24"/>
          <w:highlight w:val="white"/>
        </w:rPr>
        <w:t xml:space="preserve">s in education (OECD, 2014). </w:t>
      </w:r>
    </w:p>
    <w:p w14:paraId="14262E97" w14:textId="77777777" w:rsidR="00D03C68" w:rsidRDefault="00D96AD0">
      <w:pPr>
        <w:keepNext/>
        <w:widowControl w:val="0"/>
        <w:spacing w:line="480" w:lineRule="auto"/>
        <w:rPr>
          <w:sz w:val="24"/>
          <w:szCs w:val="24"/>
          <w:highlight w:val="white"/>
        </w:rPr>
      </w:pPr>
      <w:r>
        <w:rPr>
          <w:sz w:val="24"/>
          <w:szCs w:val="24"/>
          <w:highlight w:val="white"/>
        </w:rPr>
        <w:t xml:space="preserve">Donaldson (2015) </w:t>
      </w:r>
      <w:proofErr w:type="spellStart"/>
      <w:r>
        <w:rPr>
          <w:sz w:val="24"/>
          <w:szCs w:val="24"/>
          <w:highlight w:val="white"/>
        </w:rPr>
        <w:t>characterised</w:t>
      </w:r>
      <w:proofErr w:type="spellEnd"/>
      <w:r>
        <w:rPr>
          <w:sz w:val="24"/>
          <w:szCs w:val="24"/>
          <w:highlight w:val="white"/>
        </w:rPr>
        <w:t xml:space="preserve"> the previous curriculum as prescriptive, overloaded and insufficient to contemporary education, and outlined recommendations to overcome these supposed shortcomings in his report </w:t>
      </w:r>
      <w:r>
        <w:rPr>
          <w:i/>
          <w:iCs/>
          <w:sz w:val="24"/>
          <w:szCs w:val="24"/>
          <w:highlight w:val="white"/>
        </w:rPr>
        <w:t>Successful Futures</w:t>
      </w:r>
      <w:r>
        <w:rPr>
          <w:sz w:val="24"/>
          <w:szCs w:val="24"/>
          <w:highlight w:val="white"/>
        </w:rPr>
        <w:t xml:space="preserve">. Key tenets of the </w:t>
      </w:r>
      <w:proofErr w:type="spellStart"/>
      <w:r>
        <w:rPr>
          <w:sz w:val="24"/>
          <w:szCs w:val="24"/>
          <w:highlight w:val="white"/>
        </w:rPr>
        <w:t>CfW</w:t>
      </w:r>
      <w:proofErr w:type="spellEnd"/>
      <w:r>
        <w:rPr>
          <w:sz w:val="24"/>
          <w:szCs w:val="24"/>
          <w:highlight w:val="white"/>
        </w:rPr>
        <w:t xml:space="preserve"> include a focus on the whole learner, developing transferable skills and increasing </w:t>
      </w:r>
      <w:r>
        <w:rPr>
          <w:sz w:val="24"/>
          <w:szCs w:val="24"/>
          <w:highlight w:val="white"/>
        </w:rPr>
        <w:lastRenderedPageBreak/>
        <w:t xml:space="preserve">flexibility and autonomy for schools and teachers to </w:t>
      </w:r>
      <w:proofErr w:type="spellStart"/>
      <w:r>
        <w:rPr>
          <w:sz w:val="24"/>
          <w:szCs w:val="24"/>
          <w:highlight w:val="white"/>
        </w:rPr>
        <w:t>personalise</w:t>
      </w:r>
      <w:proofErr w:type="spellEnd"/>
      <w:r>
        <w:rPr>
          <w:sz w:val="24"/>
          <w:szCs w:val="24"/>
          <w:highlight w:val="white"/>
        </w:rPr>
        <w:t xml:space="preserve"> their curricula to their local contexts (Donaldson, 2015; Sinnema </w:t>
      </w:r>
      <w:r>
        <w:rPr>
          <w:i/>
          <w:iCs/>
          <w:sz w:val="24"/>
          <w:szCs w:val="24"/>
          <w:highlight w:val="white"/>
        </w:rPr>
        <w:t xml:space="preserve">et al., </w:t>
      </w:r>
      <w:r>
        <w:rPr>
          <w:sz w:val="24"/>
          <w:szCs w:val="24"/>
          <w:highlight w:val="white"/>
        </w:rPr>
        <w:t>2020). This shift in focus aligns with international c</w:t>
      </w:r>
      <w:r>
        <w:rPr>
          <w:sz w:val="24"/>
          <w:szCs w:val="24"/>
          <w:highlight w:val="white"/>
        </w:rPr>
        <w:t xml:space="preserve">urriculum reform initiatives in countries including </w:t>
      </w:r>
      <w:r>
        <w:rPr>
          <w:sz w:val="24"/>
          <w:szCs w:val="24"/>
        </w:rPr>
        <w:t xml:space="preserve">Australia, British Columbia, New Zealand and Scotland (OECD, 2020; </w:t>
      </w:r>
      <w:r>
        <w:rPr>
          <w:sz w:val="24"/>
          <w:szCs w:val="24"/>
          <w:highlight w:val="white"/>
        </w:rPr>
        <w:t xml:space="preserve">Sinnema </w:t>
      </w:r>
      <w:r>
        <w:rPr>
          <w:i/>
          <w:iCs/>
          <w:sz w:val="24"/>
          <w:szCs w:val="24"/>
          <w:highlight w:val="white"/>
        </w:rPr>
        <w:t xml:space="preserve">et al., </w:t>
      </w:r>
      <w:r>
        <w:rPr>
          <w:sz w:val="24"/>
          <w:szCs w:val="24"/>
          <w:highlight w:val="white"/>
        </w:rPr>
        <w:t xml:space="preserve">2020). Scotland is particularly notable as Donaldson (2010) was a key voice in the implementation of Scotland’s Curriculum for Excellence which also </w:t>
      </w:r>
      <w:proofErr w:type="spellStart"/>
      <w:r>
        <w:rPr>
          <w:sz w:val="24"/>
          <w:szCs w:val="24"/>
          <w:highlight w:val="white"/>
        </w:rPr>
        <w:t>emphasised</w:t>
      </w:r>
      <w:proofErr w:type="spellEnd"/>
      <w:r>
        <w:rPr>
          <w:sz w:val="24"/>
          <w:szCs w:val="24"/>
          <w:highlight w:val="white"/>
        </w:rPr>
        <w:t xml:space="preserve"> professional autonomy and curricular coherence, reflecting a shift towards curriculum models where these ideas are </w:t>
      </w:r>
      <w:proofErr w:type="spellStart"/>
      <w:r>
        <w:rPr>
          <w:sz w:val="24"/>
          <w:szCs w:val="24"/>
          <w:highlight w:val="white"/>
        </w:rPr>
        <w:t>prioritised</w:t>
      </w:r>
      <w:proofErr w:type="spellEnd"/>
      <w:r>
        <w:rPr>
          <w:sz w:val="24"/>
          <w:szCs w:val="24"/>
          <w:highlight w:val="white"/>
        </w:rPr>
        <w:t xml:space="preserve"> that are explored more fully in later sections of this review.</w:t>
      </w:r>
    </w:p>
    <w:p w14:paraId="14262E98" w14:textId="033C203F" w:rsidR="00D03C68" w:rsidRDefault="00D96AD0">
      <w:pPr>
        <w:keepNext/>
        <w:widowControl w:val="0"/>
        <w:spacing w:line="480" w:lineRule="auto"/>
        <w:rPr>
          <w:sz w:val="24"/>
          <w:szCs w:val="24"/>
          <w:highlight w:val="white"/>
        </w:rPr>
      </w:pPr>
      <w:r>
        <w:rPr>
          <w:sz w:val="24"/>
          <w:szCs w:val="24"/>
          <w:highlight w:val="white"/>
        </w:rPr>
        <w:t xml:space="preserve">While the </w:t>
      </w:r>
      <w:proofErr w:type="spellStart"/>
      <w:r>
        <w:rPr>
          <w:sz w:val="24"/>
          <w:szCs w:val="24"/>
          <w:highlight w:val="white"/>
        </w:rPr>
        <w:t>CfW</w:t>
      </w:r>
      <w:proofErr w:type="spellEnd"/>
      <w:r>
        <w:rPr>
          <w:sz w:val="24"/>
          <w:szCs w:val="24"/>
          <w:highlight w:val="white"/>
        </w:rPr>
        <w:t xml:space="preserve"> draws on established international trends, there seems to be an assumption that schools and teachers have the capacity and expertise to enact this </w:t>
      </w:r>
      <w:r w:rsidR="00F3673A">
        <w:rPr>
          <w:sz w:val="24"/>
          <w:szCs w:val="24"/>
          <w:highlight w:val="white"/>
        </w:rPr>
        <w:t>wide-reaching</w:t>
      </w:r>
      <w:r>
        <w:rPr>
          <w:sz w:val="24"/>
          <w:szCs w:val="24"/>
          <w:highlight w:val="white"/>
        </w:rPr>
        <w:t xml:space="preserve"> change. Sinnema </w:t>
      </w:r>
      <w:r>
        <w:rPr>
          <w:i/>
          <w:iCs/>
          <w:sz w:val="24"/>
          <w:szCs w:val="24"/>
          <w:highlight w:val="white"/>
        </w:rPr>
        <w:t xml:space="preserve">et al. </w:t>
      </w:r>
      <w:r>
        <w:rPr>
          <w:sz w:val="24"/>
          <w:szCs w:val="24"/>
          <w:highlight w:val="white"/>
        </w:rPr>
        <w:t xml:space="preserve">(2020) and Evans (2022) warned that although teachers may feel excitement or nervousness in this undertaking, global trends implied an inconsistency in successful implementation. This variability highlights the need to investigate the changes that departments have made in response to the </w:t>
      </w:r>
      <w:proofErr w:type="spellStart"/>
      <w:r>
        <w:rPr>
          <w:sz w:val="24"/>
          <w:szCs w:val="24"/>
          <w:highlight w:val="white"/>
        </w:rPr>
        <w:t>CfW</w:t>
      </w:r>
      <w:proofErr w:type="spellEnd"/>
      <w:r>
        <w:rPr>
          <w:sz w:val="24"/>
          <w:szCs w:val="24"/>
          <w:highlight w:val="white"/>
        </w:rPr>
        <w:t xml:space="preserve"> as I intend to do in my first research question. In the following section, I examined the key features of the </w:t>
      </w:r>
      <w:proofErr w:type="spellStart"/>
      <w:r>
        <w:rPr>
          <w:sz w:val="24"/>
          <w:szCs w:val="24"/>
          <w:highlight w:val="white"/>
        </w:rPr>
        <w:t>CfW</w:t>
      </w:r>
      <w:proofErr w:type="spellEnd"/>
      <w:r>
        <w:rPr>
          <w:sz w:val="24"/>
          <w:szCs w:val="24"/>
          <w:highlight w:val="white"/>
        </w:rPr>
        <w:t>, considering how the changes compared to similar curricula worldwide, and their i</w:t>
      </w:r>
      <w:r>
        <w:rPr>
          <w:sz w:val="24"/>
          <w:szCs w:val="24"/>
          <w:highlight w:val="white"/>
        </w:rPr>
        <w:t xml:space="preserve">mplications for schools and teachers. </w:t>
      </w:r>
    </w:p>
    <w:p w14:paraId="14262E99" w14:textId="77777777" w:rsidR="00D03C68" w:rsidRDefault="00D96AD0">
      <w:pPr>
        <w:pStyle w:val="Heading2"/>
        <w:widowControl w:val="0"/>
        <w:spacing w:before="240" w:after="240" w:line="480" w:lineRule="auto"/>
        <w:rPr>
          <w:u w:val="single"/>
        </w:rPr>
      </w:pPr>
      <w:bookmarkStart w:id="20" w:name="_2te3poe5pj3k" w:colFirst="0" w:colLast="0"/>
      <w:bookmarkStart w:id="21" w:name="_Toc219753185"/>
      <w:bookmarkEnd w:id="20"/>
      <w:r>
        <w:rPr>
          <w:u w:val="single"/>
        </w:rPr>
        <w:t xml:space="preserve">3.2 Key features of </w:t>
      </w:r>
      <w:proofErr w:type="spellStart"/>
      <w:r>
        <w:rPr>
          <w:u w:val="single"/>
        </w:rPr>
        <w:t>CfW</w:t>
      </w:r>
      <w:bookmarkEnd w:id="21"/>
      <w:proofErr w:type="spellEnd"/>
    </w:p>
    <w:p w14:paraId="14262E9A" w14:textId="77777777" w:rsidR="00D03C68" w:rsidRDefault="00D96AD0">
      <w:pPr>
        <w:keepNext/>
        <w:widowControl w:val="0"/>
        <w:spacing w:line="480" w:lineRule="auto"/>
        <w:rPr>
          <w:sz w:val="24"/>
          <w:szCs w:val="24"/>
        </w:rPr>
      </w:pPr>
      <w:r>
        <w:rPr>
          <w:sz w:val="24"/>
          <w:szCs w:val="24"/>
        </w:rPr>
        <w:t xml:space="preserve">In this section I will outline the structure of the </w:t>
      </w:r>
      <w:proofErr w:type="spellStart"/>
      <w:r>
        <w:rPr>
          <w:sz w:val="24"/>
          <w:szCs w:val="24"/>
        </w:rPr>
        <w:t>CfW</w:t>
      </w:r>
      <w:proofErr w:type="spellEnd"/>
      <w:r>
        <w:rPr>
          <w:sz w:val="24"/>
          <w:szCs w:val="24"/>
        </w:rPr>
        <w:t xml:space="preserve">, discussing the implications for teachers generally and for mathematics teachers. Smith (2024) described the </w:t>
      </w:r>
      <w:proofErr w:type="spellStart"/>
      <w:r>
        <w:rPr>
          <w:sz w:val="24"/>
          <w:szCs w:val="24"/>
        </w:rPr>
        <w:t>CfW</w:t>
      </w:r>
      <w:proofErr w:type="spellEnd"/>
      <w:r>
        <w:rPr>
          <w:sz w:val="24"/>
          <w:szCs w:val="24"/>
        </w:rPr>
        <w:t xml:space="preserve"> as a framework for teachers to build a school-based curriculum which contrasts with the detailed specification of the previous </w:t>
      </w:r>
      <w:proofErr w:type="gramStart"/>
      <w:r>
        <w:rPr>
          <w:sz w:val="24"/>
          <w:szCs w:val="24"/>
        </w:rPr>
        <w:t>curriculum, but</w:t>
      </w:r>
      <w:proofErr w:type="gramEnd"/>
      <w:r>
        <w:rPr>
          <w:sz w:val="24"/>
          <w:szCs w:val="24"/>
        </w:rPr>
        <w:t xml:space="preserve"> aligns with the international trend in curricular design (Sinnema </w:t>
      </w:r>
      <w:r>
        <w:rPr>
          <w:i/>
          <w:iCs/>
          <w:sz w:val="24"/>
          <w:szCs w:val="24"/>
        </w:rPr>
        <w:t xml:space="preserve">et al., </w:t>
      </w:r>
      <w:r>
        <w:rPr>
          <w:sz w:val="24"/>
          <w:szCs w:val="24"/>
        </w:rPr>
        <w:t xml:space="preserve">2020). The change to a broader framework gives </w:t>
      </w:r>
      <w:r>
        <w:rPr>
          <w:sz w:val="24"/>
          <w:szCs w:val="24"/>
        </w:rPr>
        <w:lastRenderedPageBreak/>
        <w:t>schools, departments and teachers greater responsibility for curriculum design and coherence which the OECD (2020) noted as a poten</w:t>
      </w:r>
      <w:r>
        <w:rPr>
          <w:sz w:val="24"/>
          <w:szCs w:val="24"/>
        </w:rPr>
        <w:t xml:space="preserve">tial risk for successful implementation of the </w:t>
      </w:r>
      <w:proofErr w:type="spellStart"/>
      <w:r>
        <w:rPr>
          <w:sz w:val="24"/>
          <w:szCs w:val="24"/>
        </w:rPr>
        <w:t>CfW</w:t>
      </w:r>
      <w:proofErr w:type="spellEnd"/>
      <w:r>
        <w:rPr>
          <w:sz w:val="24"/>
          <w:szCs w:val="24"/>
        </w:rPr>
        <w:t xml:space="preserve">. </w:t>
      </w:r>
    </w:p>
    <w:p w14:paraId="14262E9B" w14:textId="77777777" w:rsidR="00D03C68" w:rsidRDefault="00D96AD0">
      <w:pPr>
        <w:keepNext/>
        <w:widowControl w:val="0"/>
        <w:spacing w:line="480" w:lineRule="auto"/>
        <w:rPr>
          <w:sz w:val="24"/>
          <w:szCs w:val="24"/>
        </w:rPr>
      </w:pPr>
      <w:r>
        <w:rPr>
          <w:noProof/>
          <w:sz w:val="24"/>
          <w:szCs w:val="24"/>
        </w:rPr>
        <w:drawing>
          <wp:inline distT="114300" distB="114300" distL="114300" distR="114300" wp14:anchorId="14262F2C" wp14:editId="14262F2D">
            <wp:extent cx="3495076" cy="3412927"/>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495076" cy="3412927"/>
                    </a:xfrm>
                    <a:prstGeom prst="rect">
                      <a:avLst/>
                    </a:prstGeom>
                    <a:ln/>
                  </pic:spPr>
                </pic:pic>
              </a:graphicData>
            </a:graphic>
          </wp:inline>
        </w:drawing>
      </w:r>
    </w:p>
    <w:p w14:paraId="14262E9C" w14:textId="77777777" w:rsidR="00D03C68" w:rsidRDefault="00D96AD0">
      <w:pPr>
        <w:keepNext/>
        <w:widowControl w:val="0"/>
        <w:spacing w:line="480" w:lineRule="auto"/>
        <w:rPr>
          <w:i/>
          <w:iCs/>
          <w:sz w:val="24"/>
          <w:szCs w:val="24"/>
        </w:rPr>
      </w:pPr>
      <w:r>
        <w:rPr>
          <w:i/>
          <w:iCs/>
          <w:sz w:val="24"/>
          <w:szCs w:val="24"/>
        </w:rPr>
        <w:t>Figure 1: The Four Purposes (Hwb, 2022a).</w:t>
      </w:r>
    </w:p>
    <w:p w14:paraId="14262E9D" w14:textId="77777777" w:rsidR="00D03C68" w:rsidRDefault="00D96AD0">
      <w:pPr>
        <w:keepNext/>
        <w:widowControl w:val="0"/>
        <w:spacing w:line="480" w:lineRule="auto"/>
        <w:rPr>
          <w:sz w:val="24"/>
          <w:szCs w:val="24"/>
        </w:rPr>
      </w:pPr>
      <w:r>
        <w:rPr>
          <w:sz w:val="24"/>
          <w:szCs w:val="24"/>
        </w:rPr>
        <w:t xml:space="preserve">The four purposes, shown in Figure </w:t>
      </w:r>
      <w:proofErr w:type="gramStart"/>
      <w:r>
        <w:rPr>
          <w:sz w:val="24"/>
          <w:szCs w:val="24"/>
        </w:rPr>
        <w:t>1 should</w:t>
      </w:r>
      <w:proofErr w:type="gramEnd"/>
      <w:r>
        <w:rPr>
          <w:sz w:val="24"/>
          <w:szCs w:val="24"/>
        </w:rPr>
        <w:t xml:space="preserve"> be used by schools as the guiding principle for designing their curriculum (Welsh Government, 2020a) and should be considered throughout the design process. For the purposes of my research, it will be useful to investigate how different mathematics departments have interpreted the four purposes and integrated them into their curriculum. </w:t>
      </w:r>
      <w:proofErr w:type="spellStart"/>
      <w:r>
        <w:rPr>
          <w:sz w:val="24"/>
          <w:szCs w:val="24"/>
        </w:rPr>
        <w:t>Lyakhova</w:t>
      </w:r>
      <w:proofErr w:type="spellEnd"/>
      <w:r>
        <w:rPr>
          <w:sz w:val="24"/>
          <w:szCs w:val="24"/>
        </w:rPr>
        <w:t xml:space="preserve"> </w:t>
      </w:r>
      <w:r>
        <w:rPr>
          <w:i/>
          <w:iCs/>
          <w:sz w:val="24"/>
          <w:szCs w:val="24"/>
        </w:rPr>
        <w:t xml:space="preserve">et al. </w:t>
      </w:r>
      <w:r>
        <w:rPr>
          <w:sz w:val="24"/>
          <w:szCs w:val="24"/>
        </w:rPr>
        <w:t>(2019) suggested different ways that mathematics contribute towards the four purposes but noted that there is a difficulty in relating them to the m</w:t>
      </w:r>
      <w:r>
        <w:rPr>
          <w:sz w:val="24"/>
          <w:szCs w:val="24"/>
        </w:rPr>
        <w:t xml:space="preserve">ore abstract topics in mathematics. </w:t>
      </w:r>
      <w:proofErr w:type="spellStart"/>
      <w:r>
        <w:rPr>
          <w:sz w:val="24"/>
          <w:szCs w:val="24"/>
        </w:rPr>
        <w:t>Lyakhova</w:t>
      </w:r>
      <w:proofErr w:type="spellEnd"/>
      <w:r>
        <w:rPr>
          <w:sz w:val="24"/>
          <w:szCs w:val="24"/>
        </w:rPr>
        <w:t xml:space="preserve"> </w:t>
      </w:r>
      <w:r>
        <w:rPr>
          <w:i/>
          <w:iCs/>
          <w:sz w:val="24"/>
          <w:szCs w:val="24"/>
        </w:rPr>
        <w:t xml:space="preserve">et al. </w:t>
      </w:r>
      <w:r>
        <w:rPr>
          <w:sz w:val="24"/>
          <w:szCs w:val="24"/>
        </w:rPr>
        <w:t xml:space="preserve">(2019) are some of very limited contributors to the discussion of mathematics and numeracy in the </w:t>
      </w:r>
      <w:proofErr w:type="spellStart"/>
      <w:r>
        <w:rPr>
          <w:sz w:val="24"/>
          <w:szCs w:val="24"/>
        </w:rPr>
        <w:t>CfW</w:t>
      </w:r>
      <w:proofErr w:type="spellEnd"/>
      <w:r>
        <w:rPr>
          <w:sz w:val="24"/>
          <w:szCs w:val="24"/>
        </w:rPr>
        <w:t xml:space="preserve">, however it is worth noting that this study draws </w:t>
      </w:r>
      <w:r>
        <w:rPr>
          <w:sz w:val="24"/>
          <w:szCs w:val="24"/>
        </w:rPr>
        <w:lastRenderedPageBreak/>
        <w:t xml:space="preserve">on the opinions of twelve academics in higher education an interest in mathematics education, and literature involving mathematics rather than practitioners directly involved in preparing for the implementation of </w:t>
      </w:r>
      <w:proofErr w:type="spellStart"/>
      <w:r>
        <w:rPr>
          <w:sz w:val="24"/>
          <w:szCs w:val="24"/>
        </w:rPr>
        <w:t>CfW</w:t>
      </w:r>
      <w:proofErr w:type="spellEnd"/>
      <w:r>
        <w:rPr>
          <w:sz w:val="24"/>
          <w:szCs w:val="24"/>
        </w:rPr>
        <w:t xml:space="preserve"> (</w:t>
      </w:r>
      <w:proofErr w:type="spellStart"/>
      <w:r>
        <w:rPr>
          <w:sz w:val="24"/>
          <w:szCs w:val="24"/>
        </w:rPr>
        <w:t>Lyakhova</w:t>
      </w:r>
      <w:proofErr w:type="spellEnd"/>
      <w:r>
        <w:rPr>
          <w:sz w:val="24"/>
          <w:szCs w:val="24"/>
        </w:rPr>
        <w:t xml:space="preserve"> </w:t>
      </w:r>
      <w:r>
        <w:rPr>
          <w:i/>
          <w:iCs/>
          <w:sz w:val="24"/>
          <w:szCs w:val="24"/>
        </w:rPr>
        <w:t xml:space="preserve">et al., </w:t>
      </w:r>
      <w:r>
        <w:rPr>
          <w:sz w:val="24"/>
          <w:szCs w:val="24"/>
        </w:rPr>
        <w:t>2019) highlighting the gap in the research in which my study would be si</w:t>
      </w:r>
      <w:r>
        <w:rPr>
          <w:sz w:val="24"/>
          <w:szCs w:val="24"/>
        </w:rPr>
        <w:t xml:space="preserve">tuated. </w:t>
      </w:r>
    </w:p>
    <w:p w14:paraId="14262E9E" w14:textId="77777777" w:rsidR="00D03C68" w:rsidRDefault="00D96AD0">
      <w:pPr>
        <w:keepNext/>
        <w:widowControl w:val="0"/>
        <w:spacing w:line="480" w:lineRule="auto"/>
        <w:rPr>
          <w:sz w:val="24"/>
          <w:szCs w:val="24"/>
        </w:rPr>
      </w:pPr>
      <w:r>
        <w:rPr>
          <w:noProof/>
          <w:sz w:val="24"/>
          <w:szCs w:val="24"/>
        </w:rPr>
        <w:drawing>
          <wp:inline distT="114300" distB="114300" distL="114300" distR="114300" wp14:anchorId="14262F2E" wp14:editId="14262F2F">
            <wp:extent cx="5943600" cy="3111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111500"/>
                    </a:xfrm>
                    <a:prstGeom prst="rect">
                      <a:avLst/>
                    </a:prstGeom>
                    <a:ln/>
                  </pic:spPr>
                </pic:pic>
              </a:graphicData>
            </a:graphic>
          </wp:inline>
        </w:drawing>
      </w:r>
    </w:p>
    <w:p w14:paraId="14262E9F" w14:textId="77777777" w:rsidR="00D03C68" w:rsidRDefault="00D96AD0">
      <w:pPr>
        <w:keepNext/>
        <w:widowControl w:val="0"/>
        <w:spacing w:line="480" w:lineRule="auto"/>
        <w:rPr>
          <w:i/>
          <w:iCs/>
          <w:sz w:val="24"/>
          <w:szCs w:val="24"/>
        </w:rPr>
      </w:pPr>
      <w:r>
        <w:rPr>
          <w:i/>
          <w:iCs/>
          <w:sz w:val="24"/>
          <w:szCs w:val="24"/>
        </w:rPr>
        <w:t>Figure 2: The Areas of Learning and Experience (Hwb, 2022a).</w:t>
      </w:r>
    </w:p>
    <w:p w14:paraId="14262EA0" w14:textId="77777777" w:rsidR="00D03C68" w:rsidRDefault="00D96AD0">
      <w:pPr>
        <w:keepNext/>
        <w:widowControl w:val="0"/>
        <w:spacing w:line="480" w:lineRule="auto"/>
        <w:rPr>
          <w:sz w:val="24"/>
          <w:szCs w:val="24"/>
        </w:rPr>
      </w:pPr>
      <w:r>
        <w:rPr>
          <w:sz w:val="24"/>
          <w:szCs w:val="24"/>
        </w:rPr>
        <w:t xml:space="preserve">As shown in Figure 2, the </w:t>
      </w:r>
      <w:proofErr w:type="spellStart"/>
      <w:r>
        <w:rPr>
          <w:sz w:val="24"/>
          <w:szCs w:val="24"/>
        </w:rPr>
        <w:t>CfW</w:t>
      </w:r>
      <w:proofErr w:type="spellEnd"/>
      <w:r>
        <w:rPr>
          <w:sz w:val="24"/>
          <w:szCs w:val="24"/>
        </w:rPr>
        <w:t xml:space="preserve"> is divided into six Areas of Learning and Experience (</w:t>
      </w:r>
      <w:proofErr w:type="spellStart"/>
      <w:r>
        <w:rPr>
          <w:sz w:val="24"/>
          <w:szCs w:val="24"/>
        </w:rPr>
        <w:t>AoLE</w:t>
      </w:r>
      <w:proofErr w:type="spellEnd"/>
      <w:r>
        <w:rPr>
          <w:sz w:val="24"/>
          <w:szCs w:val="24"/>
        </w:rPr>
        <w:t xml:space="preserve">) within which subjects are grouped together with the intention of making connections and links within and across areas (Welsh Government, 2020a). Within these </w:t>
      </w:r>
      <w:proofErr w:type="spellStart"/>
      <w:r>
        <w:rPr>
          <w:sz w:val="24"/>
          <w:szCs w:val="24"/>
        </w:rPr>
        <w:t>AoLE</w:t>
      </w:r>
      <w:proofErr w:type="spellEnd"/>
      <w:r>
        <w:rPr>
          <w:sz w:val="24"/>
          <w:szCs w:val="24"/>
        </w:rPr>
        <w:t xml:space="preserve"> are 27 Statements of What Matters that sum up key concepts in each area and underpin the skills, knowledge and experiences that pupils should engage </w:t>
      </w:r>
      <w:proofErr w:type="gramStart"/>
      <w:r>
        <w:rPr>
          <w:sz w:val="24"/>
          <w:szCs w:val="24"/>
        </w:rPr>
        <w:t>with  (</w:t>
      </w:r>
      <w:proofErr w:type="gramEnd"/>
      <w:r>
        <w:rPr>
          <w:sz w:val="24"/>
          <w:szCs w:val="24"/>
        </w:rPr>
        <w:t xml:space="preserve">Welsh Government, 2022). Further to this, every </w:t>
      </w:r>
      <w:proofErr w:type="spellStart"/>
      <w:r>
        <w:rPr>
          <w:sz w:val="24"/>
          <w:szCs w:val="24"/>
        </w:rPr>
        <w:t>AoLE</w:t>
      </w:r>
      <w:proofErr w:type="spellEnd"/>
      <w:r>
        <w:rPr>
          <w:sz w:val="24"/>
          <w:szCs w:val="24"/>
        </w:rPr>
        <w:t xml:space="preserve"> has Principles of Progression which show the continuum of progression but th</w:t>
      </w:r>
      <w:r>
        <w:rPr>
          <w:sz w:val="24"/>
          <w:szCs w:val="24"/>
        </w:rPr>
        <w:t xml:space="preserve">at is </w:t>
      </w:r>
      <w:proofErr w:type="gramStart"/>
      <w:r>
        <w:rPr>
          <w:sz w:val="24"/>
          <w:szCs w:val="24"/>
        </w:rPr>
        <w:t>noted</w:t>
      </w:r>
      <w:proofErr w:type="gramEnd"/>
      <w:r>
        <w:rPr>
          <w:sz w:val="24"/>
          <w:szCs w:val="24"/>
        </w:rPr>
        <w:t xml:space="preserve"> will be achieved at different rates by different learners (Welsh Government, 2022), in contrast to the </w:t>
      </w:r>
      <w:proofErr w:type="gramStart"/>
      <w:r>
        <w:rPr>
          <w:sz w:val="24"/>
          <w:szCs w:val="24"/>
        </w:rPr>
        <w:t>age based</w:t>
      </w:r>
      <w:proofErr w:type="gramEnd"/>
      <w:r>
        <w:rPr>
          <w:sz w:val="24"/>
          <w:szCs w:val="24"/>
        </w:rPr>
        <w:t xml:space="preserve"> progression steps of the previous curriculum (Welsh Government, 2016). While detailed </w:t>
      </w:r>
      <w:r>
        <w:rPr>
          <w:sz w:val="24"/>
          <w:szCs w:val="24"/>
        </w:rPr>
        <w:lastRenderedPageBreak/>
        <w:t xml:space="preserve">analysis of these concepts, or other design aspects of the curriculum is beyond the scope of this essay, the effect is a complex, multi-faceted challenge for curriculum designers in </w:t>
      </w:r>
      <w:proofErr w:type="spellStart"/>
      <w:r>
        <w:rPr>
          <w:sz w:val="24"/>
          <w:szCs w:val="24"/>
        </w:rPr>
        <w:t>CfW</w:t>
      </w:r>
      <w:proofErr w:type="spellEnd"/>
      <w:r>
        <w:rPr>
          <w:sz w:val="24"/>
          <w:szCs w:val="24"/>
        </w:rPr>
        <w:t xml:space="preserve"> implementation. Evans (2023) and Smith (2024) suggest that navigating the needs of the framework requires expertise</w:t>
      </w:r>
      <w:r>
        <w:rPr>
          <w:sz w:val="24"/>
          <w:szCs w:val="24"/>
        </w:rPr>
        <w:t xml:space="preserve"> and training and raise questions of how to marry policy and practice, leading us to investigate the early implementation of the </w:t>
      </w:r>
      <w:proofErr w:type="spellStart"/>
      <w:r>
        <w:rPr>
          <w:sz w:val="24"/>
          <w:szCs w:val="24"/>
        </w:rPr>
        <w:t>CfW</w:t>
      </w:r>
      <w:proofErr w:type="spellEnd"/>
      <w:r>
        <w:rPr>
          <w:sz w:val="24"/>
          <w:szCs w:val="24"/>
        </w:rPr>
        <w:t xml:space="preserve">. </w:t>
      </w:r>
    </w:p>
    <w:p w14:paraId="14262EA1" w14:textId="77777777" w:rsidR="00D03C68" w:rsidRDefault="00D96AD0">
      <w:pPr>
        <w:pStyle w:val="Heading2"/>
        <w:widowControl w:val="0"/>
        <w:spacing w:before="240" w:after="240" w:line="480" w:lineRule="auto"/>
        <w:rPr>
          <w:u w:val="single"/>
        </w:rPr>
      </w:pPr>
      <w:bookmarkStart w:id="22" w:name="_x5chl8kzcpl" w:colFirst="0" w:colLast="0"/>
      <w:bookmarkStart w:id="23" w:name="_Toc219753186"/>
      <w:bookmarkEnd w:id="22"/>
      <w:r>
        <w:rPr>
          <w:u w:val="single"/>
        </w:rPr>
        <w:t xml:space="preserve">3.3 Early evidence on </w:t>
      </w:r>
      <w:proofErr w:type="spellStart"/>
      <w:r>
        <w:rPr>
          <w:u w:val="single"/>
        </w:rPr>
        <w:t>CfW</w:t>
      </w:r>
      <w:proofErr w:type="spellEnd"/>
      <w:r>
        <w:rPr>
          <w:u w:val="single"/>
        </w:rPr>
        <w:t xml:space="preserve"> implementation</w:t>
      </w:r>
      <w:bookmarkEnd w:id="23"/>
    </w:p>
    <w:p w14:paraId="14262EA2" w14:textId="77777777" w:rsidR="00D03C68" w:rsidRDefault="00D96AD0">
      <w:pPr>
        <w:keepNext/>
        <w:widowControl w:val="0"/>
        <w:spacing w:line="480" w:lineRule="auto"/>
        <w:rPr>
          <w:sz w:val="24"/>
          <w:szCs w:val="24"/>
        </w:rPr>
      </w:pPr>
      <w:r>
        <w:rPr>
          <w:sz w:val="24"/>
          <w:szCs w:val="24"/>
        </w:rPr>
        <w:t xml:space="preserve">Despite having been present in discussions around Welsh education since 2015, the </w:t>
      </w:r>
      <w:proofErr w:type="spellStart"/>
      <w:r>
        <w:rPr>
          <w:sz w:val="24"/>
          <w:szCs w:val="24"/>
        </w:rPr>
        <w:t>CfW</w:t>
      </w:r>
      <w:proofErr w:type="spellEnd"/>
      <w:r>
        <w:rPr>
          <w:sz w:val="24"/>
          <w:szCs w:val="24"/>
        </w:rPr>
        <w:t xml:space="preserve"> did not become mandatory in schools until 2022 (Welsh Government, 2022). Therefore, much of the current literature is </w:t>
      </w:r>
      <w:proofErr w:type="spellStart"/>
      <w:r>
        <w:rPr>
          <w:sz w:val="24"/>
          <w:szCs w:val="24"/>
        </w:rPr>
        <w:t>focussed</w:t>
      </w:r>
      <w:proofErr w:type="spellEnd"/>
      <w:r>
        <w:rPr>
          <w:sz w:val="24"/>
          <w:szCs w:val="24"/>
        </w:rPr>
        <w:t xml:space="preserve"> on early implementation (Thomas </w:t>
      </w:r>
      <w:r>
        <w:rPr>
          <w:i/>
          <w:iCs/>
          <w:sz w:val="24"/>
          <w:szCs w:val="24"/>
        </w:rPr>
        <w:t>et al.</w:t>
      </w:r>
      <w:r>
        <w:rPr>
          <w:sz w:val="24"/>
          <w:szCs w:val="24"/>
        </w:rPr>
        <w:t xml:space="preserve">, 2023), discussion of policy (Gatley, 2020) and exploratory investigations into practice (Robinson, 2022; </w:t>
      </w:r>
      <w:proofErr w:type="spellStart"/>
      <w:r>
        <w:rPr>
          <w:sz w:val="24"/>
          <w:szCs w:val="24"/>
        </w:rPr>
        <w:t>Embling</w:t>
      </w:r>
      <w:proofErr w:type="spellEnd"/>
      <w:r>
        <w:rPr>
          <w:sz w:val="24"/>
          <w:szCs w:val="24"/>
        </w:rPr>
        <w:t xml:space="preserve"> </w:t>
      </w:r>
      <w:r>
        <w:rPr>
          <w:i/>
          <w:iCs/>
          <w:sz w:val="24"/>
          <w:szCs w:val="24"/>
        </w:rPr>
        <w:t>et al</w:t>
      </w:r>
      <w:r>
        <w:rPr>
          <w:sz w:val="24"/>
          <w:szCs w:val="24"/>
        </w:rPr>
        <w:t xml:space="preserve">., 2025). Much of the evidence is therefore based on perceptions and experiences as opposed to measuring impact which may continue to be the case in my research. </w:t>
      </w:r>
    </w:p>
    <w:p w14:paraId="14262EA3" w14:textId="77777777" w:rsidR="00D03C68" w:rsidRDefault="00D96AD0">
      <w:pPr>
        <w:keepNext/>
        <w:spacing w:line="480" w:lineRule="auto"/>
        <w:rPr>
          <w:sz w:val="24"/>
          <w:szCs w:val="24"/>
        </w:rPr>
      </w:pPr>
      <w:r>
        <w:rPr>
          <w:sz w:val="24"/>
          <w:szCs w:val="24"/>
        </w:rPr>
        <w:t xml:space="preserve">These early findings suggest that teachers are excited to contribute to curriculum design and find the increased autonomy a strength as they take ownership of the new curriculum (Thomas </w:t>
      </w:r>
      <w:r>
        <w:rPr>
          <w:i/>
          <w:iCs/>
          <w:sz w:val="24"/>
          <w:szCs w:val="24"/>
        </w:rPr>
        <w:t>et al</w:t>
      </w:r>
      <w:r>
        <w:rPr>
          <w:sz w:val="24"/>
          <w:szCs w:val="24"/>
        </w:rPr>
        <w:t xml:space="preserve">., 2023, Evans, 2023). The flexibility to adapt teaching and learning to learner needs has also been discussed as an advantage (Thomas </w:t>
      </w:r>
      <w:r>
        <w:rPr>
          <w:i/>
          <w:iCs/>
          <w:sz w:val="24"/>
          <w:szCs w:val="24"/>
        </w:rPr>
        <w:t xml:space="preserve">et al., </w:t>
      </w:r>
      <w:r>
        <w:rPr>
          <w:sz w:val="24"/>
          <w:szCs w:val="24"/>
        </w:rPr>
        <w:t xml:space="preserve">2023) but with a warning that </w:t>
      </w:r>
      <w:proofErr w:type="gramStart"/>
      <w:r>
        <w:rPr>
          <w:sz w:val="24"/>
          <w:szCs w:val="24"/>
        </w:rPr>
        <w:t>the flexibility</w:t>
      </w:r>
      <w:proofErr w:type="gramEnd"/>
      <w:r>
        <w:rPr>
          <w:sz w:val="24"/>
          <w:szCs w:val="24"/>
        </w:rPr>
        <w:t xml:space="preserve"> can widen inequalities across different settings (OECD, 2020). These findings show that increased autonomy can be a strength </w:t>
      </w:r>
      <w:r>
        <w:rPr>
          <w:sz w:val="24"/>
          <w:szCs w:val="24"/>
        </w:rPr>
        <w:lastRenderedPageBreak/>
        <w:t xml:space="preserve">and a limitation depending on local context and teachers’ confidence in enacting the change (Evans, 2023). </w:t>
      </w:r>
    </w:p>
    <w:p w14:paraId="14262EA4" w14:textId="77777777" w:rsidR="00D03C68" w:rsidRDefault="00D96AD0">
      <w:pPr>
        <w:keepNext/>
        <w:spacing w:line="480" w:lineRule="auto"/>
        <w:rPr>
          <w:sz w:val="24"/>
          <w:szCs w:val="24"/>
        </w:rPr>
      </w:pPr>
      <w:r>
        <w:rPr>
          <w:sz w:val="24"/>
          <w:szCs w:val="24"/>
        </w:rPr>
        <w:t xml:space="preserve">Teachers’ access to guidance and professional development to translate guidance into practice has been noted by Smith (2024) and Evans (2023) as limiting factors to successful </w:t>
      </w:r>
      <w:proofErr w:type="spellStart"/>
      <w:r>
        <w:rPr>
          <w:sz w:val="24"/>
          <w:szCs w:val="24"/>
        </w:rPr>
        <w:t>CfW</w:t>
      </w:r>
      <w:proofErr w:type="spellEnd"/>
      <w:r>
        <w:rPr>
          <w:sz w:val="24"/>
          <w:szCs w:val="24"/>
        </w:rPr>
        <w:t xml:space="preserve"> implementation. Inconsistencies between school contexts and departments is also discussed as a barrier by Robinson (2022) who highlighted the difficulties in comparing standards with variation in implementation. Finally, concerns surrounding workload, capacity, and consistency are mentioned by Evans (2023). These strengths and challenges will be explored in my second research question which will be investigated across different settings in North Wales. </w:t>
      </w:r>
    </w:p>
    <w:p w14:paraId="14262EA5" w14:textId="77777777" w:rsidR="00D03C68" w:rsidRDefault="00D96AD0">
      <w:pPr>
        <w:keepNext/>
        <w:spacing w:line="480" w:lineRule="auto"/>
        <w:rPr>
          <w:vertAlign w:val="subscript"/>
        </w:rPr>
      </w:pPr>
      <w:r>
        <w:rPr>
          <w:sz w:val="24"/>
          <w:szCs w:val="24"/>
        </w:rPr>
        <w:t xml:space="preserve">In the body of research into early implementation of the </w:t>
      </w:r>
      <w:proofErr w:type="spellStart"/>
      <w:r>
        <w:rPr>
          <w:sz w:val="24"/>
          <w:szCs w:val="24"/>
        </w:rPr>
        <w:t>CfW</w:t>
      </w:r>
      <w:proofErr w:type="spellEnd"/>
      <w:r>
        <w:rPr>
          <w:sz w:val="24"/>
          <w:szCs w:val="24"/>
        </w:rPr>
        <w:t xml:space="preserve">, I have found investigations that are whole school </w:t>
      </w:r>
      <w:proofErr w:type="spellStart"/>
      <w:r>
        <w:rPr>
          <w:sz w:val="24"/>
          <w:szCs w:val="24"/>
        </w:rPr>
        <w:t>focussed</w:t>
      </w:r>
      <w:proofErr w:type="spellEnd"/>
      <w:r>
        <w:rPr>
          <w:sz w:val="24"/>
          <w:szCs w:val="24"/>
        </w:rPr>
        <w:t xml:space="preserve"> (Thomas </w:t>
      </w:r>
      <w:r>
        <w:rPr>
          <w:i/>
          <w:iCs/>
          <w:sz w:val="24"/>
          <w:szCs w:val="24"/>
        </w:rPr>
        <w:t>et al.</w:t>
      </w:r>
      <w:r>
        <w:rPr>
          <w:sz w:val="24"/>
          <w:szCs w:val="24"/>
        </w:rPr>
        <w:t xml:space="preserve">, 2023), </w:t>
      </w:r>
      <w:proofErr w:type="spellStart"/>
      <w:r>
        <w:rPr>
          <w:sz w:val="24"/>
          <w:szCs w:val="24"/>
        </w:rPr>
        <w:t>focussing</w:t>
      </w:r>
      <w:proofErr w:type="spellEnd"/>
      <w:r>
        <w:rPr>
          <w:sz w:val="24"/>
          <w:szCs w:val="24"/>
        </w:rPr>
        <w:t xml:space="preserve"> on Humanities (Robinson, 2022), Health and Wellbeing (</w:t>
      </w:r>
      <w:proofErr w:type="spellStart"/>
      <w:r>
        <w:rPr>
          <w:sz w:val="24"/>
          <w:szCs w:val="24"/>
        </w:rPr>
        <w:t>Embling</w:t>
      </w:r>
      <w:proofErr w:type="spellEnd"/>
      <w:r>
        <w:rPr>
          <w:sz w:val="24"/>
          <w:szCs w:val="24"/>
        </w:rPr>
        <w:t xml:space="preserve"> </w:t>
      </w:r>
      <w:r>
        <w:rPr>
          <w:i/>
          <w:iCs/>
          <w:sz w:val="24"/>
          <w:szCs w:val="24"/>
        </w:rPr>
        <w:t>et al.</w:t>
      </w:r>
      <w:r>
        <w:rPr>
          <w:sz w:val="24"/>
          <w:szCs w:val="24"/>
        </w:rPr>
        <w:t xml:space="preserve">, 2025) and Expressive Arts (Chapman </w:t>
      </w:r>
      <w:r>
        <w:rPr>
          <w:i/>
          <w:iCs/>
          <w:sz w:val="24"/>
          <w:szCs w:val="24"/>
        </w:rPr>
        <w:t xml:space="preserve">et al., </w:t>
      </w:r>
      <w:r>
        <w:rPr>
          <w:sz w:val="24"/>
          <w:szCs w:val="24"/>
        </w:rPr>
        <w:t xml:space="preserve">2025). There is limited research into departmental responses into the </w:t>
      </w:r>
      <w:proofErr w:type="spellStart"/>
      <w:r>
        <w:rPr>
          <w:sz w:val="24"/>
          <w:szCs w:val="24"/>
        </w:rPr>
        <w:t>CfW</w:t>
      </w:r>
      <w:proofErr w:type="spellEnd"/>
      <w:r>
        <w:rPr>
          <w:sz w:val="24"/>
          <w:szCs w:val="24"/>
        </w:rPr>
        <w:t xml:space="preserve"> and into implementation in secondary mathematics. This gap informs some of my research focus. </w:t>
      </w:r>
    </w:p>
    <w:p w14:paraId="14262EA6" w14:textId="77777777" w:rsidR="00D03C68" w:rsidRDefault="00D96AD0">
      <w:pPr>
        <w:pStyle w:val="Heading2"/>
        <w:widowControl w:val="0"/>
        <w:spacing w:before="240" w:after="240" w:line="480" w:lineRule="auto"/>
        <w:rPr>
          <w:u w:val="single"/>
        </w:rPr>
      </w:pPr>
      <w:bookmarkStart w:id="24" w:name="_em8hzn509pen" w:colFirst="0" w:colLast="0"/>
      <w:bookmarkStart w:id="25" w:name="_Toc219753187"/>
      <w:bookmarkEnd w:id="24"/>
      <w:r>
        <w:rPr>
          <w:u w:val="single"/>
        </w:rPr>
        <w:t>3.4 Summary</w:t>
      </w:r>
      <w:bookmarkEnd w:id="25"/>
      <w:r>
        <w:rPr>
          <w:u w:val="single"/>
        </w:rPr>
        <w:t xml:space="preserve"> </w:t>
      </w:r>
    </w:p>
    <w:p w14:paraId="14262EA7" w14:textId="6E81A459" w:rsidR="00D03C68" w:rsidRDefault="00D96AD0">
      <w:pPr>
        <w:keepNext/>
        <w:widowControl w:val="0"/>
        <w:spacing w:line="480" w:lineRule="auto"/>
        <w:rPr>
          <w:sz w:val="24"/>
          <w:szCs w:val="24"/>
        </w:rPr>
      </w:pPr>
      <w:r>
        <w:rPr>
          <w:sz w:val="24"/>
          <w:szCs w:val="24"/>
        </w:rPr>
        <w:t xml:space="preserve">The literature in this section highlighted the ambitions and aims of the </w:t>
      </w:r>
      <w:proofErr w:type="spellStart"/>
      <w:r>
        <w:rPr>
          <w:sz w:val="24"/>
          <w:szCs w:val="24"/>
        </w:rPr>
        <w:t>CfW</w:t>
      </w:r>
      <w:proofErr w:type="spellEnd"/>
      <w:r>
        <w:rPr>
          <w:sz w:val="24"/>
          <w:szCs w:val="24"/>
        </w:rPr>
        <w:t xml:space="preserve"> and the expectations it places on schools and teachers to embody the role of curriculum designer (Smith, 2024). Strengths and limitations relating to capacity, autonomy and coherence were discussed and will continue to be a common thread throughout the literature review. While </w:t>
      </w:r>
      <w:proofErr w:type="spellStart"/>
      <w:r>
        <w:rPr>
          <w:sz w:val="24"/>
          <w:szCs w:val="24"/>
        </w:rPr>
        <w:t>CfW</w:t>
      </w:r>
      <w:proofErr w:type="spellEnd"/>
      <w:r>
        <w:rPr>
          <w:sz w:val="24"/>
          <w:szCs w:val="24"/>
        </w:rPr>
        <w:t xml:space="preserve"> draws on international reform principles as discussed in this section (Sinnema </w:t>
      </w:r>
      <w:r>
        <w:rPr>
          <w:i/>
          <w:iCs/>
          <w:sz w:val="24"/>
          <w:szCs w:val="24"/>
        </w:rPr>
        <w:t xml:space="preserve">et al., </w:t>
      </w:r>
      <w:r>
        <w:rPr>
          <w:sz w:val="24"/>
          <w:szCs w:val="24"/>
        </w:rPr>
        <w:t xml:space="preserve">2020), the following section will focus on the theoretical </w:t>
      </w:r>
      <w:r>
        <w:rPr>
          <w:sz w:val="24"/>
          <w:szCs w:val="24"/>
        </w:rPr>
        <w:lastRenderedPageBreak/>
        <w:t xml:space="preserve">aspects of curricular reform and educational change to develop an understanding </w:t>
      </w:r>
      <w:r>
        <w:rPr>
          <w:sz w:val="24"/>
          <w:szCs w:val="24"/>
        </w:rPr>
        <w:t xml:space="preserve">for how </w:t>
      </w:r>
      <w:r w:rsidR="00F3673A">
        <w:rPr>
          <w:sz w:val="24"/>
          <w:szCs w:val="24"/>
        </w:rPr>
        <w:t>large-scale</w:t>
      </w:r>
      <w:r>
        <w:rPr>
          <w:sz w:val="24"/>
          <w:szCs w:val="24"/>
        </w:rPr>
        <w:t xml:space="preserve"> reform is enacted by schools. </w:t>
      </w:r>
    </w:p>
    <w:p w14:paraId="5EBD8853" w14:textId="77777777" w:rsidR="00D63CFD" w:rsidRDefault="00D63CFD">
      <w:pPr>
        <w:rPr>
          <w:sz w:val="24"/>
          <w:szCs w:val="24"/>
          <w:u w:val="single"/>
        </w:rPr>
      </w:pPr>
      <w:bookmarkStart w:id="26" w:name="_70xroq5vb4bp" w:colFirst="0" w:colLast="0"/>
      <w:bookmarkEnd w:id="26"/>
      <w:r>
        <w:rPr>
          <w:sz w:val="24"/>
          <w:szCs w:val="24"/>
          <w:u w:val="single"/>
        </w:rPr>
        <w:br w:type="page"/>
      </w:r>
    </w:p>
    <w:p w14:paraId="14262EA8" w14:textId="76EC3516" w:rsidR="00D03C68" w:rsidRDefault="00D96AD0">
      <w:pPr>
        <w:pStyle w:val="Heading1"/>
        <w:widowControl w:val="0"/>
        <w:spacing w:after="80" w:line="480" w:lineRule="auto"/>
        <w:rPr>
          <w:sz w:val="24"/>
          <w:szCs w:val="24"/>
          <w:u w:val="single"/>
        </w:rPr>
      </w:pPr>
      <w:bookmarkStart w:id="27" w:name="_Toc219753188"/>
      <w:r>
        <w:rPr>
          <w:sz w:val="24"/>
          <w:szCs w:val="24"/>
          <w:u w:val="single"/>
        </w:rPr>
        <w:lastRenderedPageBreak/>
        <w:t>4. Managing Educational Change and Curriculum Reform</w:t>
      </w:r>
      <w:bookmarkEnd w:id="27"/>
    </w:p>
    <w:p w14:paraId="14262EA9" w14:textId="77777777" w:rsidR="00D03C68" w:rsidRDefault="00D96AD0">
      <w:pPr>
        <w:keepNext/>
        <w:widowControl w:val="0"/>
        <w:spacing w:line="480" w:lineRule="auto"/>
        <w:rPr>
          <w:sz w:val="24"/>
          <w:szCs w:val="24"/>
        </w:rPr>
      </w:pPr>
      <w:proofErr w:type="spellStart"/>
      <w:r>
        <w:rPr>
          <w:sz w:val="24"/>
          <w:szCs w:val="24"/>
        </w:rPr>
        <w:t>CfW</w:t>
      </w:r>
      <w:proofErr w:type="spellEnd"/>
      <w:r>
        <w:rPr>
          <w:sz w:val="24"/>
          <w:szCs w:val="24"/>
        </w:rPr>
        <w:t xml:space="preserve"> represents a large-scale, complex reform of the Welsh education system, requiring widespread changes to curriculum design (OECD, 2020). Changes in education are </w:t>
      </w:r>
      <w:proofErr w:type="spellStart"/>
      <w:r>
        <w:rPr>
          <w:sz w:val="24"/>
          <w:szCs w:val="24"/>
        </w:rPr>
        <w:t>recognised</w:t>
      </w:r>
      <w:proofErr w:type="spellEnd"/>
      <w:r>
        <w:rPr>
          <w:sz w:val="24"/>
          <w:szCs w:val="24"/>
        </w:rPr>
        <w:t xml:space="preserve"> in </w:t>
      </w:r>
      <w:proofErr w:type="gramStart"/>
      <w:r>
        <w:rPr>
          <w:sz w:val="24"/>
          <w:szCs w:val="24"/>
        </w:rPr>
        <w:t>the literature</w:t>
      </w:r>
      <w:proofErr w:type="gramEnd"/>
      <w:r>
        <w:rPr>
          <w:sz w:val="24"/>
          <w:szCs w:val="24"/>
        </w:rPr>
        <w:t xml:space="preserve"> as being complex, chaotic and uncertain (Myatt, 2016; Fullan, 2003).</w:t>
      </w:r>
    </w:p>
    <w:p w14:paraId="14262EAA" w14:textId="77777777" w:rsidR="00D03C68" w:rsidRDefault="00D96AD0">
      <w:pPr>
        <w:keepNext/>
        <w:widowControl w:val="0"/>
        <w:spacing w:line="480" w:lineRule="auto"/>
        <w:rPr>
          <w:sz w:val="24"/>
          <w:szCs w:val="24"/>
        </w:rPr>
      </w:pPr>
      <w:r>
        <w:rPr>
          <w:sz w:val="24"/>
          <w:szCs w:val="24"/>
        </w:rPr>
        <w:t xml:space="preserve">This section will review the literature around theories of educational change, implementation and curriculum reform to inform understanding of how the change towards the </w:t>
      </w:r>
      <w:proofErr w:type="spellStart"/>
      <w:r>
        <w:rPr>
          <w:sz w:val="24"/>
          <w:szCs w:val="24"/>
        </w:rPr>
        <w:t>CfW</w:t>
      </w:r>
      <w:proofErr w:type="spellEnd"/>
      <w:r>
        <w:rPr>
          <w:sz w:val="24"/>
          <w:szCs w:val="24"/>
        </w:rPr>
        <w:t xml:space="preserve"> has been enacted in practice. This is particularly relevant to research question one and two as the first question investigates how departments have changed and second looks at the perceived success and challenges of making these changes.</w:t>
      </w:r>
    </w:p>
    <w:p w14:paraId="14262EAB" w14:textId="77777777" w:rsidR="00D03C68" w:rsidRDefault="00D96AD0">
      <w:pPr>
        <w:pStyle w:val="Heading2"/>
        <w:widowControl w:val="0"/>
        <w:spacing w:before="240" w:after="240" w:line="480" w:lineRule="auto"/>
        <w:rPr>
          <w:u w:val="single"/>
        </w:rPr>
      </w:pPr>
      <w:bookmarkStart w:id="28" w:name="_n8m4bckf80ig" w:colFirst="0" w:colLast="0"/>
      <w:bookmarkStart w:id="29" w:name="_Toc219753189"/>
      <w:bookmarkEnd w:id="28"/>
      <w:r>
        <w:rPr>
          <w:u w:val="single"/>
        </w:rPr>
        <w:t>4.1 Theories of educational change</w:t>
      </w:r>
      <w:bookmarkEnd w:id="29"/>
    </w:p>
    <w:p w14:paraId="14262EAC" w14:textId="77777777" w:rsidR="00D03C68" w:rsidRDefault="00D96AD0">
      <w:pPr>
        <w:keepNext/>
        <w:widowControl w:val="0"/>
        <w:spacing w:line="480" w:lineRule="auto"/>
        <w:rPr>
          <w:sz w:val="24"/>
          <w:szCs w:val="24"/>
        </w:rPr>
      </w:pPr>
      <w:r>
        <w:rPr>
          <w:sz w:val="24"/>
          <w:szCs w:val="24"/>
        </w:rPr>
        <w:t xml:space="preserve">Educational change is often </w:t>
      </w:r>
      <w:proofErr w:type="spellStart"/>
      <w:r>
        <w:rPr>
          <w:sz w:val="24"/>
          <w:szCs w:val="24"/>
        </w:rPr>
        <w:t>conceptualised</w:t>
      </w:r>
      <w:proofErr w:type="spellEnd"/>
      <w:r>
        <w:rPr>
          <w:sz w:val="24"/>
          <w:szCs w:val="24"/>
        </w:rPr>
        <w:t xml:space="preserve"> (Fullan, 2003) as a complex, iterative process as opposed to a single, straightforward act. Fullan </w:t>
      </w:r>
      <w:r>
        <w:rPr>
          <w:i/>
          <w:iCs/>
          <w:sz w:val="24"/>
          <w:szCs w:val="24"/>
        </w:rPr>
        <w:t xml:space="preserve">et al. </w:t>
      </w:r>
      <w:r>
        <w:rPr>
          <w:sz w:val="24"/>
          <w:szCs w:val="24"/>
        </w:rPr>
        <w:t>(2009) describe eight steps, or forces for change. Although Rees (2018) and Buck (2018) offer different eight step models for leading and managing change, I’ve chosen Fullan’s steps because he is an eminent theorist in the field of educational change, often cited and referred to in other texts around change in education and resonates with my experience of leading and managing change. More</w:t>
      </w:r>
      <w:r>
        <w:rPr>
          <w:sz w:val="24"/>
          <w:szCs w:val="24"/>
        </w:rPr>
        <w:t>over, Fullan works in a Canadian context, where the three levels are school, district and state; these can be equated to school, local authority and government in the Welsh context.</w:t>
      </w:r>
    </w:p>
    <w:p w14:paraId="14262EAD" w14:textId="77777777" w:rsidR="00D03C68" w:rsidRDefault="00D96AD0">
      <w:pPr>
        <w:keepNext/>
        <w:widowControl w:val="0"/>
        <w:spacing w:line="480" w:lineRule="auto"/>
        <w:rPr>
          <w:sz w:val="24"/>
          <w:szCs w:val="24"/>
        </w:rPr>
      </w:pPr>
      <w:r>
        <w:rPr>
          <w:sz w:val="24"/>
          <w:szCs w:val="24"/>
        </w:rPr>
        <w:t xml:space="preserve"> Fullan </w:t>
      </w:r>
      <w:r>
        <w:rPr>
          <w:i/>
          <w:iCs/>
          <w:sz w:val="24"/>
          <w:szCs w:val="24"/>
        </w:rPr>
        <w:t xml:space="preserve">et al. </w:t>
      </w:r>
      <w:r>
        <w:rPr>
          <w:sz w:val="24"/>
          <w:szCs w:val="24"/>
        </w:rPr>
        <w:t xml:space="preserve">(2009) discusses the moral purpose of change, the need for capacity and understanding, building cultures of learning and evaluation, leadership for change, </w:t>
      </w:r>
      <w:r>
        <w:rPr>
          <w:sz w:val="24"/>
          <w:szCs w:val="24"/>
        </w:rPr>
        <w:lastRenderedPageBreak/>
        <w:t xml:space="preserve">coherence and the tri level development. Fullan’s (2003) theory of the tri level development contends that each level of </w:t>
      </w:r>
      <w:proofErr w:type="gramStart"/>
      <w:r>
        <w:rPr>
          <w:sz w:val="24"/>
          <w:szCs w:val="24"/>
        </w:rPr>
        <w:t>the development</w:t>
      </w:r>
      <w:proofErr w:type="gramEnd"/>
      <w:r>
        <w:rPr>
          <w:sz w:val="24"/>
          <w:szCs w:val="24"/>
        </w:rPr>
        <w:t>, school, district, and state requires change and interaction to succeed in enacting meaningful educational transformation. Others, such as Buck (2018) and Rees (2018) have offered other interpretations of a chang</w:t>
      </w:r>
      <w:r>
        <w:rPr>
          <w:sz w:val="24"/>
          <w:szCs w:val="24"/>
        </w:rPr>
        <w:t xml:space="preserve">e leadership model, commonalities include making changes in small steps, and considering the moral implication of change - doing no harm to the staff or pupils as change is occurring.  </w:t>
      </w:r>
    </w:p>
    <w:p w14:paraId="14262EAE" w14:textId="7C592FFA" w:rsidR="00D03C68" w:rsidRDefault="00D96AD0">
      <w:pPr>
        <w:keepNext/>
        <w:widowControl w:val="0"/>
        <w:spacing w:line="480" w:lineRule="auto"/>
        <w:rPr>
          <w:sz w:val="24"/>
          <w:szCs w:val="24"/>
        </w:rPr>
      </w:pPr>
      <w:r>
        <w:rPr>
          <w:sz w:val="24"/>
          <w:szCs w:val="24"/>
        </w:rPr>
        <w:t xml:space="preserve">It is beyond the scope of this literature review to discuss all eight levels of change in </w:t>
      </w:r>
      <w:proofErr w:type="gramStart"/>
      <w:r>
        <w:rPr>
          <w:sz w:val="24"/>
          <w:szCs w:val="24"/>
        </w:rPr>
        <w:t>depth,</w:t>
      </w:r>
      <w:proofErr w:type="gramEnd"/>
      <w:r>
        <w:rPr>
          <w:sz w:val="24"/>
          <w:szCs w:val="24"/>
        </w:rPr>
        <w:t xml:space="preserve"> however, capacity is a recurring and relevant theme as a barrier to successful implementation of change discussed by Riley and Khamis (2005) who note that successful reform is dependent on the capacity and commitment of educators to enact purposefully. Mannion (2025) notes that leaders are not always trained to </w:t>
      </w:r>
      <w:r w:rsidR="00D63CFD">
        <w:rPr>
          <w:sz w:val="24"/>
          <w:szCs w:val="24"/>
        </w:rPr>
        <w:t>adequately implement</w:t>
      </w:r>
      <w:r>
        <w:rPr>
          <w:sz w:val="24"/>
          <w:szCs w:val="24"/>
        </w:rPr>
        <w:t xml:space="preserve"> change which links to Fullan </w:t>
      </w:r>
      <w:r>
        <w:rPr>
          <w:i/>
          <w:iCs/>
          <w:sz w:val="24"/>
          <w:szCs w:val="24"/>
        </w:rPr>
        <w:t xml:space="preserve">et al. </w:t>
      </w:r>
      <w:r>
        <w:rPr>
          <w:sz w:val="24"/>
          <w:szCs w:val="24"/>
        </w:rPr>
        <w:t xml:space="preserve">(2009) who asserts that leadership is an essential driver for reform and Robbins’ (2021) exploration of leaders who are influenced by the changes </w:t>
      </w:r>
      <w:proofErr w:type="gramStart"/>
      <w:r>
        <w:rPr>
          <w:sz w:val="24"/>
          <w:szCs w:val="24"/>
        </w:rPr>
        <w:t>made</w:t>
      </w:r>
      <w:proofErr w:type="gramEnd"/>
      <w:r>
        <w:rPr>
          <w:sz w:val="24"/>
          <w:szCs w:val="24"/>
        </w:rPr>
        <w:t xml:space="preserve"> being more authentic and having more trust by their colleagues. </w:t>
      </w:r>
    </w:p>
    <w:p w14:paraId="14262EAF" w14:textId="03E5A405" w:rsidR="00D03C68" w:rsidRDefault="00D96AD0">
      <w:pPr>
        <w:keepNext/>
        <w:widowControl w:val="0"/>
        <w:spacing w:line="480" w:lineRule="auto"/>
        <w:rPr>
          <w:sz w:val="24"/>
          <w:szCs w:val="24"/>
        </w:rPr>
      </w:pPr>
      <w:proofErr w:type="spellStart"/>
      <w:r>
        <w:rPr>
          <w:sz w:val="24"/>
          <w:szCs w:val="24"/>
        </w:rPr>
        <w:t>CfW</w:t>
      </w:r>
      <w:proofErr w:type="spellEnd"/>
      <w:r>
        <w:rPr>
          <w:sz w:val="24"/>
          <w:szCs w:val="24"/>
        </w:rPr>
        <w:t xml:space="preserve"> represents a large-scale, multilevel educational </w:t>
      </w:r>
      <w:r w:rsidR="00D63CFD">
        <w:rPr>
          <w:sz w:val="24"/>
          <w:szCs w:val="24"/>
        </w:rPr>
        <w:t>change (</w:t>
      </w:r>
      <w:r>
        <w:rPr>
          <w:sz w:val="24"/>
          <w:szCs w:val="24"/>
        </w:rPr>
        <w:t xml:space="preserve">OECD, 2020). Starting from a macro policy level in the Welsh Government (2020a), feeding down to the micro level by schools and departments (Sinnema </w:t>
      </w:r>
      <w:r>
        <w:rPr>
          <w:i/>
          <w:iCs/>
          <w:sz w:val="24"/>
          <w:szCs w:val="24"/>
        </w:rPr>
        <w:t>et al.</w:t>
      </w:r>
      <w:r>
        <w:rPr>
          <w:sz w:val="24"/>
          <w:szCs w:val="24"/>
        </w:rPr>
        <w:t xml:space="preserve">, 2020). Mannion (2025) refers to this sort of top-down change as ineffective when teachers feel that change is done to them, and </w:t>
      </w:r>
      <w:proofErr w:type="spellStart"/>
      <w:r>
        <w:rPr>
          <w:sz w:val="24"/>
          <w:szCs w:val="24"/>
        </w:rPr>
        <w:t>Barrenchea</w:t>
      </w:r>
      <w:proofErr w:type="spellEnd"/>
      <w:r>
        <w:rPr>
          <w:sz w:val="24"/>
          <w:szCs w:val="24"/>
        </w:rPr>
        <w:t xml:space="preserve"> </w:t>
      </w:r>
      <w:r>
        <w:rPr>
          <w:i/>
          <w:iCs/>
          <w:sz w:val="24"/>
          <w:szCs w:val="24"/>
        </w:rPr>
        <w:t>et al</w:t>
      </w:r>
      <w:r>
        <w:rPr>
          <w:sz w:val="24"/>
          <w:szCs w:val="24"/>
        </w:rPr>
        <w:t>. (2022) caution that this can be a difficult balance between being too controlled and too flexible, where too controlled can lead to a prescriptive curriculum, and too flexible leading teachers to feel insecure</w:t>
      </w:r>
      <w:r>
        <w:rPr>
          <w:sz w:val="24"/>
          <w:szCs w:val="24"/>
        </w:rPr>
        <w:t xml:space="preserve"> in what they need to do </w:t>
      </w:r>
      <w:r>
        <w:rPr>
          <w:sz w:val="24"/>
          <w:szCs w:val="24"/>
        </w:rPr>
        <w:lastRenderedPageBreak/>
        <w:t xml:space="preserve">(Evans, 2023). Therefore, the focus of Fullan </w:t>
      </w:r>
      <w:r>
        <w:rPr>
          <w:i/>
          <w:iCs/>
          <w:sz w:val="24"/>
          <w:szCs w:val="24"/>
        </w:rPr>
        <w:t xml:space="preserve">et al. </w:t>
      </w:r>
      <w:r>
        <w:rPr>
          <w:sz w:val="24"/>
          <w:szCs w:val="24"/>
        </w:rPr>
        <w:t>(2009) on coherence between the levels is critical to reduce variability in provision (</w:t>
      </w:r>
      <w:proofErr w:type="spellStart"/>
      <w:r>
        <w:rPr>
          <w:sz w:val="24"/>
          <w:szCs w:val="24"/>
        </w:rPr>
        <w:t>Estyn</w:t>
      </w:r>
      <w:proofErr w:type="spellEnd"/>
      <w:r>
        <w:rPr>
          <w:sz w:val="24"/>
          <w:szCs w:val="24"/>
        </w:rPr>
        <w:t xml:space="preserve">, 2025) and ensure that teachers are confident in preparing for and delivering </w:t>
      </w:r>
      <w:proofErr w:type="spellStart"/>
      <w:r>
        <w:rPr>
          <w:sz w:val="24"/>
          <w:szCs w:val="24"/>
        </w:rPr>
        <w:t>CfW</w:t>
      </w:r>
      <w:proofErr w:type="spellEnd"/>
      <w:r>
        <w:rPr>
          <w:sz w:val="24"/>
          <w:szCs w:val="24"/>
        </w:rPr>
        <w:t xml:space="preserve"> (OECD, 2020). Exploring this aspect will inform understanding on how departments and teachers have responded and implemented curriculum reform (RQ1). </w:t>
      </w:r>
    </w:p>
    <w:p w14:paraId="14262EB0" w14:textId="77777777" w:rsidR="00D03C68" w:rsidRDefault="00D96AD0">
      <w:pPr>
        <w:pStyle w:val="Heading2"/>
        <w:widowControl w:val="0"/>
        <w:spacing w:before="240" w:after="240" w:line="480" w:lineRule="auto"/>
        <w:rPr>
          <w:u w:val="single"/>
        </w:rPr>
      </w:pPr>
      <w:bookmarkStart w:id="30" w:name="_klde7km2qncy" w:colFirst="0" w:colLast="0"/>
      <w:bookmarkStart w:id="31" w:name="_Toc219753190"/>
      <w:bookmarkEnd w:id="30"/>
      <w:r>
        <w:rPr>
          <w:u w:val="single"/>
        </w:rPr>
        <w:t xml:space="preserve">4.2 </w:t>
      </w:r>
      <w:proofErr w:type="spellStart"/>
      <w:r>
        <w:rPr>
          <w:u w:val="single"/>
        </w:rPr>
        <w:t>Implementating</w:t>
      </w:r>
      <w:proofErr w:type="spellEnd"/>
      <w:r>
        <w:rPr>
          <w:u w:val="single"/>
        </w:rPr>
        <w:t xml:space="preserve"> Change</w:t>
      </w:r>
      <w:bookmarkEnd w:id="31"/>
    </w:p>
    <w:p w14:paraId="14262EB1" w14:textId="77777777" w:rsidR="00D03C68" w:rsidRDefault="00D96AD0">
      <w:pPr>
        <w:keepNext/>
        <w:widowControl w:val="0"/>
        <w:spacing w:line="480" w:lineRule="auto"/>
        <w:rPr>
          <w:sz w:val="24"/>
          <w:szCs w:val="24"/>
        </w:rPr>
      </w:pPr>
      <w:r>
        <w:rPr>
          <w:sz w:val="24"/>
          <w:szCs w:val="24"/>
        </w:rPr>
        <w:t xml:space="preserve">As discussed in the previous section, change is a complex process and is rarely a linear process from policy to practice (Fullan, 2003) and effective leaders of change must be comfortable with the uncertainty and chaos of change (Myatt, 2016). Mannion (2025) has three stages for implementation: </w:t>
      </w:r>
      <w:proofErr w:type="gramStart"/>
      <w:r>
        <w:rPr>
          <w:sz w:val="24"/>
          <w:szCs w:val="24"/>
        </w:rPr>
        <w:t>making a plan</w:t>
      </w:r>
      <w:proofErr w:type="gramEnd"/>
      <w:r>
        <w:rPr>
          <w:sz w:val="24"/>
          <w:szCs w:val="24"/>
        </w:rPr>
        <w:t xml:space="preserve">, making a start, and making it </w:t>
      </w:r>
      <w:proofErr w:type="gramStart"/>
      <w:r>
        <w:rPr>
          <w:sz w:val="24"/>
          <w:szCs w:val="24"/>
        </w:rPr>
        <w:t>happen;</w:t>
      </w:r>
      <w:proofErr w:type="gramEnd"/>
      <w:r>
        <w:rPr>
          <w:sz w:val="24"/>
          <w:szCs w:val="24"/>
        </w:rPr>
        <w:t xml:space="preserve"> which can be complicated to map coherently at different levels at a school setting between whole-school, department, and individual teachers. </w:t>
      </w:r>
    </w:p>
    <w:p w14:paraId="14262EB2" w14:textId="77777777" w:rsidR="00D03C68" w:rsidRDefault="00D96AD0">
      <w:pPr>
        <w:keepNext/>
        <w:widowControl w:val="0"/>
        <w:spacing w:line="480" w:lineRule="auto"/>
        <w:rPr>
          <w:sz w:val="24"/>
          <w:szCs w:val="24"/>
        </w:rPr>
      </w:pPr>
      <w:r>
        <w:rPr>
          <w:sz w:val="24"/>
          <w:szCs w:val="24"/>
        </w:rPr>
        <w:t xml:space="preserve">The importance of context and capacity is reinforced by Aldridge and McLure (2023) who conducted a literature review into how leaders support and mitigate barriers to implementing educational change. Drawing on a research base of 191 texts over a </w:t>
      </w:r>
      <w:proofErr w:type="gramStart"/>
      <w:r>
        <w:rPr>
          <w:sz w:val="24"/>
          <w:szCs w:val="24"/>
        </w:rPr>
        <w:t>20 year</w:t>
      </w:r>
      <w:proofErr w:type="gramEnd"/>
      <w:r>
        <w:rPr>
          <w:sz w:val="24"/>
          <w:szCs w:val="24"/>
        </w:rPr>
        <w:t xml:space="preserve"> period, they found that there did not exist a definitive route to successful reform but the success of a setting to build capacity for teachers to engage in professional development and model good practice was key (Aldridge and McLure, 2023). This implies that the process of implementation is less dependent on the design of the reform, and more on the ability of schools and teachers to enact it. </w:t>
      </w:r>
    </w:p>
    <w:p w14:paraId="14262EB3" w14:textId="238A1905" w:rsidR="00D03C68" w:rsidRDefault="00D96AD0">
      <w:pPr>
        <w:keepNext/>
        <w:widowControl w:val="0"/>
        <w:spacing w:line="480" w:lineRule="auto"/>
        <w:rPr>
          <w:sz w:val="24"/>
          <w:szCs w:val="24"/>
        </w:rPr>
      </w:pPr>
      <w:r>
        <w:rPr>
          <w:sz w:val="24"/>
          <w:szCs w:val="24"/>
        </w:rPr>
        <w:t xml:space="preserve">The Education Endowment Fund (EEF) (2024) gives schools recommendations on developing the implementation process including using a structured, but flexible process and paying attention to the contextual factors driving implementation. In enacting </w:t>
      </w:r>
      <w:r>
        <w:rPr>
          <w:sz w:val="24"/>
          <w:szCs w:val="24"/>
        </w:rPr>
        <w:lastRenderedPageBreak/>
        <w:t xml:space="preserve">curricular reform across the country, there are tensions between the flexibility of the process and whether there is need for consistency across settings (Evans, 2023), especially as context is variable (EEF, 2024). Fullan (200) stated that there is need to trust in the change </w:t>
      </w:r>
      <w:r w:rsidR="00D63CFD">
        <w:rPr>
          <w:sz w:val="24"/>
          <w:szCs w:val="24"/>
        </w:rPr>
        <w:t>process,</w:t>
      </w:r>
      <w:r>
        <w:rPr>
          <w:sz w:val="24"/>
          <w:szCs w:val="24"/>
        </w:rPr>
        <w:t xml:space="preserve"> but uncertainty of expectation and direction causes anxiety for teachers. This highlights the </w:t>
      </w:r>
      <w:proofErr w:type="gramStart"/>
      <w:r>
        <w:rPr>
          <w:sz w:val="24"/>
          <w:szCs w:val="24"/>
        </w:rPr>
        <w:t>particular challenge</w:t>
      </w:r>
      <w:proofErr w:type="gramEnd"/>
      <w:r>
        <w:rPr>
          <w:sz w:val="24"/>
          <w:szCs w:val="24"/>
        </w:rPr>
        <w:t xml:space="preserve"> of devolving the responsibility of designing the curriculum to schools. </w:t>
      </w:r>
    </w:p>
    <w:p w14:paraId="14262EB4" w14:textId="77777777" w:rsidR="00D03C68" w:rsidRDefault="00D96AD0">
      <w:pPr>
        <w:pStyle w:val="Heading2"/>
        <w:widowControl w:val="0"/>
        <w:spacing w:before="240" w:after="240" w:line="480" w:lineRule="auto"/>
        <w:rPr>
          <w:u w:val="single"/>
        </w:rPr>
      </w:pPr>
      <w:bookmarkStart w:id="32" w:name="_juvz10utguj9" w:colFirst="0" w:colLast="0"/>
      <w:bookmarkStart w:id="33" w:name="_Toc219753191"/>
      <w:bookmarkEnd w:id="32"/>
      <w:r>
        <w:rPr>
          <w:u w:val="single"/>
        </w:rPr>
        <w:t>4.3 Curriculum reform</w:t>
      </w:r>
      <w:bookmarkEnd w:id="33"/>
    </w:p>
    <w:p w14:paraId="14262EB5" w14:textId="77777777" w:rsidR="00D03C68" w:rsidRDefault="00D96AD0">
      <w:pPr>
        <w:keepNext/>
        <w:widowControl w:val="0"/>
        <w:spacing w:line="480" w:lineRule="auto"/>
        <w:rPr>
          <w:sz w:val="24"/>
          <w:szCs w:val="24"/>
        </w:rPr>
      </w:pPr>
      <w:r>
        <w:rPr>
          <w:sz w:val="24"/>
          <w:szCs w:val="24"/>
        </w:rPr>
        <w:t xml:space="preserve">As my research engages with the implementation of </w:t>
      </w:r>
      <w:proofErr w:type="gramStart"/>
      <w:r>
        <w:rPr>
          <w:sz w:val="24"/>
          <w:szCs w:val="24"/>
        </w:rPr>
        <w:t xml:space="preserve">the </w:t>
      </w:r>
      <w:proofErr w:type="spellStart"/>
      <w:r>
        <w:rPr>
          <w:sz w:val="24"/>
          <w:szCs w:val="24"/>
        </w:rPr>
        <w:t>CfW</w:t>
      </w:r>
      <w:proofErr w:type="spellEnd"/>
      <w:proofErr w:type="gramEnd"/>
      <w:r>
        <w:rPr>
          <w:sz w:val="24"/>
          <w:szCs w:val="24"/>
        </w:rPr>
        <w:t xml:space="preserve">, it is necessary to narrow the focus from change management generally to the specifics of curricular reform. Curriculum reform places a unique pressure on schools and teachers as governmental, whole-school and departmental priorities must be understood and built towards (Myatt and </w:t>
      </w:r>
      <w:proofErr w:type="spellStart"/>
      <w:r>
        <w:rPr>
          <w:sz w:val="24"/>
          <w:szCs w:val="24"/>
        </w:rPr>
        <w:t>Tomsett</w:t>
      </w:r>
      <w:proofErr w:type="spellEnd"/>
      <w:r>
        <w:rPr>
          <w:sz w:val="24"/>
          <w:szCs w:val="24"/>
        </w:rPr>
        <w:t xml:space="preserve">, 2021). The purpose of curriculum is defined by Myatt (2018) as setting out the principles, aims and content of what we want pupils to learn. However, in the </w:t>
      </w:r>
      <w:proofErr w:type="spellStart"/>
      <w:r>
        <w:rPr>
          <w:sz w:val="24"/>
          <w:szCs w:val="24"/>
        </w:rPr>
        <w:t>CfW</w:t>
      </w:r>
      <w:proofErr w:type="spellEnd"/>
      <w:r>
        <w:rPr>
          <w:sz w:val="24"/>
          <w:szCs w:val="24"/>
        </w:rPr>
        <w:t xml:space="preserve"> with the requirement to encompass four purposes, six</w:t>
      </w:r>
      <w:r>
        <w:rPr>
          <w:sz w:val="24"/>
          <w:szCs w:val="24"/>
        </w:rPr>
        <w:t xml:space="preserve"> </w:t>
      </w:r>
      <w:proofErr w:type="spellStart"/>
      <w:r>
        <w:rPr>
          <w:sz w:val="24"/>
          <w:szCs w:val="24"/>
        </w:rPr>
        <w:t>AoLE</w:t>
      </w:r>
      <w:proofErr w:type="spellEnd"/>
      <w:r>
        <w:rPr>
          <w:sz w:val="24"/>
          <w:szCs w:val="24"/>
        </w:rPr>
        <w:t xml:space="preserve"> and 27 Statements of What Matters it creates a particular challenge for Welsh educators (Gately, 2020). </w:t>
      </w:r>
    </w:p>
    <w:p w14:paraId="14262EB6" w14:textId="77777777" w:rsidR="00D03C68" w:rsidRDefault="00D96AD0">
      <w:pPr>
        <w:keepNext/>
        <w:widowControl w:val="0"/>
        <w:spacing w:line="480" w:lineRule="auto"/>
        <w:rPr>
          <w:sz w:val="24"/>
          <w:szCs w:val="24"/>
        </w:rPr>
      </w:pPr>
      <w:r>
        <w:rPr>
          <w:sz w:val="24"/>
          <w:szCs w:val="24"/>
        </w:rPr>
        <w:t xml:space="preserve">Providing support to teachers to navigate, interpret and enact the curriculum is key (Aldous </w:t>
      </w:r>
      <w:r>
        <w:rPr>
          <w:i/>
          <w:iCs/>
          <w:sz w:val="24"/>
          <w:szCs w:val="24"/>
        </w:rPr>
        <w:t>et al.</w:t>
      </w:r>
      <w:r>
        <w:rPr>
          <w:sz w:val="24"/>
          <w:szCs w:val="24"/>
        </w:rPr>
        <w:t xml:space="preserve">, 2022; Beech and McGill, 2020) especially as they become more autonomous in the construction of the curriculum in their setting (Wood and Hughson, 2025). </w:t>
      </w:r>
    </w:p>
    <w:p w14:paraId="14262EB7" w14:textId="77777777" w:rsidR="00D03C68" w:rsidRDefault="00D96AD0">
      <w:pPr>
        <w:keepNext/>
        <w:widowControl w:val="0"/>
        <w:spacing w:line="480" w:lineRule="auto"/>
        <w:rPr>
          <w:sz w:val="24"/>
          <w:szCs w:val="24"/>
        </w:rPr>
      </w:pPr>
      <w:r>
        <w:rPr>
          <w:sz w:val="24"/>
          <w:szCs w:val="24"/>
        </w:rPr>
        <w:t xml:space="preserve">Comparing curricular reform Humes (2023) sets Scotland and Wales apart from England, and Wood and Hughson (2025) note how as England moves from autonomy to prescription; Wales moves the opposite way with greater autonomy, and more focus </w:t>
      </w:r>
      <w:r>
        <w:rPr>
          <w:sz w:val="24"/>
          <w:szCs w:val="24"/>
        </w:rPr>
        <w:lastRenderedPageBreak/>
        <w:t xml:space="preserve">on the local, skewing toward the global curricular trend discussed earlier in the essay. </w:t>
      </w:r>
    </w:p>
    <w:p w14:paraId="14262EB8" w14:textId="737919B0" w:rsidR="00D03C68" w:rsidRDefault="00D96AD0">
      <w:pPr>
        <w:keepNext/>
        <w:widowControl w:val="0"/>
        <w:spacing w:line="480" w:lineRule="auto"/>
        <w:rPr>
          <w:sz w:val="24"/>
          <w:szCs w:val="24"/>
        </w:rPr>
      </w:pPr>
      <w:r>
        <w:rPr>
          <w:sz w:val="24"/>
          <w:szCs w:val="24"/>
        </w:rPr>
        <w:t xml:space="preserve">There are common structural tensions inherent in </w:t>
      </w:r>
      <w:r w:rsidR="00D63CFD">
        <w:rPr>
          <w:sz w:val="24"/>
          <w:szCs w:val="24"/>
        </w:rPr>
        <w:t>literature</w:t>
      </w:r>
      <w:r>
        <w:rPr>
          <w:sz w:val="24"/>
          <w:szCs w:val="24"/>
        </w:rPr>
        <w:t xml:space="preserve"> as balance is sought between different factors. Firstly, autonomy and consistency, Sinnema </w:t>
      </w:r>
      <w:r>
        <w:rPr>
          <w:i/>
          <w:iCs/>
          <w:sz w:val="24"/>
          <w:szCs w:val="24"/>
        </w:rPr>
        <w:t>et al.</w:t>
      </w:r>
      <w:r>
        <w:rPr>
          <w:sz w:val="24"/>
          <w:szCs w:val="24"/>
        </w:rPr>
        <w:t xml:space="preserve"> (2020) notes the advantages of teacher autonomy for practitioners but warns that workload and accountability can lead to discontent. Evans (2023) agrees that there </w:t>
      </w:r>
      <w:proofErr w:type="gramStart"/>
      <w:r>
        <w:rPr>
          <w:sz w:val="24"/>
          <w:szCs w:val="24"/>
        </w:rPr>
        <w:t>is</w:t>
      </w:r>
      <w:proofErr w:type="gramEnd"/>
      <w:r>
        <w:rPr>
          <w:sz w:val="24"/>
          <w:szCs w:val="24"/>
        </w:rPr>
        <w:t xml:space="preserve"> excitement and trepidation as teachers anticipate greater autonomy but foresee the pressures of increased responsibility. </w:t>
      </w:r>
    </w:p>
    <w:p w14:paraId="14262EB9" w14:textId="77777777" w:rsidR="00D03C68" w:rsidRDefault="00D96AD0">
      <w:pPr>
        <w:keepNext/>
        <w:widowControl w:val="0"/>
        <w:spacing w:line="480" w:lineRule="auto"/>
        <w:rPr>
          <w:sz w:val="24"/>
          <w:szCs w:val="24"/>
        </w:rPr>
      </w:pPr>
      <w:r>
        <w:rPr>
          <w:sz w:val="24"/>
          <w:szCs w:val="24"/>
        </w:rPr>
        <w:t xml:space="preserve">Secondly, flexibility and coherence; while Beech and McGill (2020) and Myatt and </w:t>
      </w:r>
      <w:proofErr w:type="spellStart"/>
      <w:r>
        <w:rPr>
          <w:sz w:val="24"/>
          <w:szCs w:val="24"/>
        </w:rPr>
        <w:t>Tomsett</w:t>
      </w:r>
      <w:proofErr w:type="spellEnd"/>
      <w:r>
        <w:rPr>
          <w:sz w:val="24"/>
          <w:szCs w:val="24"/>
        </w:rPr>
        <w:t xml:space="preserve"> (2021) note that coherence is a key principle of curriculum design, increased flexibility leads to divergence between and possibly, within schools (Durden-Myers </w:t>
      </w:r>
      <w:r>
        <w:rPr>
          <w:i/>
          <w:iCs/>
          <w:sz w:val="24"/>
          <w:szCs w:val="24"/>
        </w:rPr>
        <w:t>et al.</w:t>
      </w:r>
      <w:r>
        <w:rPr>
          <w:sz w:val="24"/>
          <w:szCs w:val="24"/>
        </w:rPr>
        <w:t>, 2025).</w:t>
      </w:r>
    </w:p>
    <w:p w14:paraId="14262EBA" w14:textId="33CEB130" w:rsidR="00D03C68" w:rsidRDefault="00D96AD0">
      <w:pPr>
        <w:keepNext/>
        <w:widowControl w:val="0"/>
        <w:spacing w:line="480" w:lineRule="auto"/>
        <w:rPr>
          <w:sz w:val="24"/>
          <w:szCs w:val="24"/>
        </w:rPr>
      </w:pPr>
      <w:r>
        <w:rPr>
          <w:sz w:val="24"/>
          <w:szCs w:val="24"/>
        </w:rPr>
        <w:t xml:space="preserve">Finally, curricular reform debates often cite the role of skills, knowledge, and experience. While Welsh Government (2020a) and OECD (2020) describe the </w:t>
      </w:r>
      <w:proofErr w:type="spellStart"/>
      <w:r>
        <w:rPr>
          <w:sz w:val="24"/>
          <w:szCs w:val="24"/>
        </w:rPr>
        <w:t>CfW</w:t>
      </w:r>
      <w:proofErr w:type="spellEnd"/>
      <w:r>
        <w:rPr>
          <w:sz w:val="24"/>
          <w:szCs w:val="24"/>
        </w:rPr>
        <w:t xml:space="preserve"> as integrating all three in a holistic, interdisciplinary way; Sinnema </w:t>
      </w:r>
      <w:r>
        <w:rPr>
          <w:i/>
          <w:iCs/>
          <w:sz w:val="24"/>
          <w:szCs w:val="24"/>
        </w:rPr>
        <w:t xml:space="preserve">et al., </w:t>
      </w:r>
      <w:r>
        <w:rPr>
          <w:sz w:val="24"/>
          <w:szCs w:val="24"/>
        </w:rPr>
        <w:t xml:space="preserve">(2020), </w:t>
      </w:r>
      <w:proofErr w:type="spellStart"/>
      <w:r>
        <w:rPr>
          <w:sz w:val="24"/>
          <w:szCs w:val="24"/>
        </w:rPr>
        <w:t>Lyakhova</w:t>
      </w:r>
      <w:proofErr w:type="spellEnd"/>
      <w:r>
        <w:rPr>
          <w:sz w:val="24"/>
          <w:szCs w:val="24"/>
        </w:rPr>
        <w:t xml:space="preserve"> </w:t>
      </w:r>
      <w:r>
        <w:rPr>
          <w:i/>
          <w:iCs/>
          <w:sz w:val="24"/>
          <w:szCs w:val="24"/>
        </w:rPr>
        <w:t>et al.</w:t>
      </w:r>
      <w:r>
        <w:rPr>
          <w:sz w:val="24"/>
          <w:szCs w:val="24"/>
        </w:rPr>
        <w:t xml:space="preserve">, (2019) and Wood and Hughson (2025) argue that the </w:t>
      </w:r>
      <w:proofErr w:type="spellStart"/>
      <w:r>
        <w:rPr>
          <w:sz w:val="24"/>
          <w:szCs w:val="24"/>
        </w:rPr>
        <w:t>CfW</w:t>
      </w:r>
      <w:proofErr w:type="spellEnd"/>
      <w:r>
        <w:rPr>
          <w:sz w:val="24"/>
          <w:szCs w:val="24"/>
        </w:rPr>
        <w:t xml:space="preserve"> downgrades knowledge and </w:t>
      </w:r>
      <w:r w:rsidR="00D63CFD">
        <w:rPr>
          <w:sz w:val="24"/>
          <w:szCs w:val="24"/>
        </w:rPr>
        <w:t>content and</w:t>
      </w:r>
      <w:r>
        <w:rPr>
          <w:sz w:val="24"/>
          <w:szCs w:val="24"/>
        </w:rPr>
        <w:t xml:space="preserve"> </w:t>
      </w:r>
      <w:r w:rsidR="00D63CFD">
        <w:rPr>
          <w:sz w:val="24"/>
          <w:szCs w:val="24"/>
        </w:rPr>
        <w:t>emphasizes</w:t>
      </w:r>
      <w:r>
        <w:rPr>
          <w:sz w:val="24"/>
          <w:szCs w:val="24"/>
        </w:rPr>
        <w:t xml:space="preserve"> skills and experience. Further, this causes </w:t>
      </w:r>
      <w:proofErr w:type="gramStart"/>
      <w:r>
        <w:rPr>
          <w:sz w:val="24"/>
          <w:szCs w:val="24"/>
        </w:rPr>
        <w:t>particular tension</w:t>
      </w:r>
      <w:proofErr w:type="gramEnd"/>
      <w:r>
        <w:rPr>
          <w:sz w:val="24"/>
          <w:szCs w:val="24"/>
        </w:rPr>
        <w:t xml:space="preserve"> in a knowledge heavy, hierarchical subject like mathematics (</w:t>
      </w:r>
      <w:proofErr w:type="spellStart"/>
      <w:r>
        <w:rPr>
          <w:sz w:val="24"/>
          <w:szCs w:val="24"/>
        </w:rPr>
        <w:t>Lyakhova</w:t>
      </w:r>
      <w:proofErr w:type="spellEnd"/>
      <w:r>
        <w:rPr>
          <w:sz w:val="24"/>
          <w:szCs w:val="24"/>
        </w:rPr>
        <w:t xml:space="preserve"> </w:t>
      </w:r>
      <w:r>
        <w:rPr>
          <w:i/>
          <w:iCs/>
          <w:sz w:val="24"/>
          <w:szCs w:val="24"/>
        </w:rPr>
        <w:t xml:space="preserve">et al., </w:t>
      </w:r>
      <w:r>
        <w:rPr>
          <w:sz w:val="24"/>
          <w:szCs w:val="24"/>
        </w:rPr>
        <w:t>2019; Robbins, 2021).</w:t>
      </w:r>
    </w:p>
    <w:p w14:paraId="14262EBB" w14:textId="77777777" w:rsidR="00D03C68" w:rsidRDefault="00D96AD0">
      <w:pPr>
        <w:pStyle w:val="Heading2"/>
        <w:widowControl w:val="0"/>
        <w:spacing w:before="240" w:after="240" w:line="480" w:lineRule="auto"/>
        <w:rPr>
          <w:u w:val="single"/>
        </w:rPr>
      </w:pPr>
      <w:bookmarkStart w:id="34" w:name="_uyigwuvve2t4" w:colFirst="0" w:colLast="0"/>
      <w:bookmarkStart w:id="35" w:name="_Toc219753192"/>
      <w:bookmarkEnd w:id="34"/>
      <w:r>
        <w:rPr>
          <w:u w:val="single"/>
        </w:rPr>
        <w:t>4.4 Synthesis</w:t>
      </w:r>
      <w:bookmarkEnd w:id="35"/>
    </w:p>
    <w:p w14:paraId="14262EBC" w14:textId="3B88008D" w:rsidR="00D03C68" w:rsidRDefault="00D96AD0">
      <w:pPr>
        <w:keepNext/>
        <w:widowControl w:val="0"/>
        <w:spacing w:line="480" w:lineRule="auto"/>
        <w:rPr>
          <w:sz w:val="24"/>
          <w:szCs w:val="24"/>
        </w:rPr>
      </w:pPr>
      <w:r>
        <w:rPr>
          <w:sz w:val="24"/>
          <w:szCs w:val="24"/>
        </w:rPr>
        <w:t xml:space="preserve">This section reviewed literature surrounding educational change, with a particular focus on curriculum reform. The </w:t>
      </w:r>
      <w:proofErr w:type="gramStart"/>
      <w:r>
        <w:rPr>
          <w:sz w:val="24"/>
          <w:szCs w:val="24"/>
        </w:rPr>
        <w:t>complexity,</w:t>
      </w:r>
      <w:proofErr w:type="gramEnd"/>
      <w:r>
        <w:rPr>
          <w:sz w:val="24"/>
          <w:szCs w:val="24"/>
        </w:rPr>
        <w:t xml:space="preserve"> and non-linearity of the change process presents a challenge shaped by context, capacity and professional development (Fullan, 2005). Change is enacted through interpretation and leadership, helping to explain how </w:t>
      </w:r>
      <w:r w:rsidR="00D63CFD">
        <w:rPr>
          <w:sz w:val="24"/>
          <w:szCs w:val="24"/>
        </w:rPr>
        <w:t>large-</w:t>
      </w:r>
      <w:r w:rsidR="00D63CFD">
        <w:rPr>
          <w:sz w:val="24"/>
          <w:szCs w:val="24"/>
        </w:rPr>
        <w:lastRenderedPageBreak/>
        <w:t>scale</w:t>
      </w:r>
      <w:r>
        <w:rPr>
          <w:sz w:val="24"/>
          <w:szCs w:val="24"/>
        </w:rPr>
        <w:t xml:space="preserve"> reforms such as the </w:t>
      </w:r>
      <w:proofErr w:type="spellStart"/>
      <w:r>
        <w:rPr>
          <w:sz w:val="24"/>
          <w:szCs w:val="24"/>
        </w:rPr>
        <w:t>CfW</w:t>
      </w:r>
      <w:proofErr w:type="spellEnd"/>
      <w:r>
        <w:rPr>
          <w:sz w:val="24"/>
          <w:szCs w:val="24"/>
        </w:rPr>
        <w:t xml:space="preserve"> can lead to variability across settings. This directly informs research question one, as I will be exploring how mathematics departments have responded and interpreted the </w:t>
      </w:r>
      <w:proofErr w:type="spellStart"/>
      <w:r>
        <w:rPr>
          <w:sz w:val="24"/>
          <w:szCs w:val="24"/>
        </w:rPr>
        <w:t>CfW</w:t>
      </w:r>
      <w:proofErr w:type="spellEnd"/>
      <w:r>
        <w:rPr>
          <w:sz w:val="24"/>
          <w:szCs w:val="24"/>
        </w:rPr>
        <w:t xml:space="preserve">. </w:t>
      </w:r>
    </w:p>
    <w:p w14:paraId="14262EBD" w14:textId="77777777" w:rsidR="00D03C68" w:rsidRDefault="00D96AD0">
      <w:pPr>
        <w:keepNext/>
        <w:widowControl w:val="0"/>
        <w:spacing w:line="480" w:lineRule="auto"/>
        <w:rPr>
          <w:sz w:val="24"/>
          <w:szCs w:val="24"/>
        </w:rPr>
      </w:pPr>
      <w:r>
        <w:rPr>
          <w:sz w:val="24"/>
          <w:szCs w:val="24"/>
        </w:rPr>
        <w:t>The literature relating to curriculum reform indicated how this specific change places distinctive demands on schools and teachers requiring the capacity to engage meaningfully with change alongside current responsibilities. This lays the groundwork for research question three as I will investigate teachers’ perceptions of their role as curriculum designers, which I also explored in the literature in the next section.</w:t>
      </w:r>
    </w:p>
    <w:p w14:paraId="241BACE5" w14:textId="77777777" w:rsidR="00D63CFD" w:rsidRDefault="00D63CFD">
      <w:pPr>
        <w:rPr>
          <w:sz w:val="24"/>
          <w:szCs w:val="24"/>
          <w:u w:val="single"/>
        </w:rPr>
      </w:pPr>
      <w:bookmarkStart w:id="36" w:name="_7ircthmposca" w:colFirst="0" w:colLast="0"/>
      <w:bookmarkEnd w:id="36"/>
      <w:r>
        <w:rPr>
          <w:sz w:val="24"/>
          <w:szCs w:val="24"/>
          <w:u w:val="single"/>
        </w:rPr>
        <w:br w:type="page"/>
      </w:r>
    </w:p>
    <w:p w14:paraId="14262EBE" w14:textId="6B89E4CE" w:rsidR="00D03C68" w:rsidRDefault="00D96AD0">
      <w:pPr>
        <w:pStyle w:val="Heading1"/>
        <w:widowControl w:val="0"/>
        <w:spacing w:after="80" w:line="480" w:lineRule="auto"/>
        <w:rPr>
          <w:sz w:val="24"/>
          <w:szCs w:val="24"/>
          <w:u w:val="single"/>
        </w:rPr>
      </w:pPr>
      <w:bookmarkStart w:id="37" w:name="_Toc219753193"/>
      <w:r>
        <w:rPr>
          <w:sz w:val="24"/>
          <w:szCs w:val="24"/>
          <w:u w:val="single"/>
        </w:rPr>
        <w:lastRenderedPageBreak/>
        <w:t>5. Teachers as Curriculum Designers</w:t>
      </w:r>
      <w:bookmarkEnd w:id="37"/>
      <w:r>
        <w:rPr>
          <w:sz w:val="24"/>
          <w:szCs w:val="24"/>
          <w:u w:val="single"/>
        </w:rPr>
        <w:t xml:space="preserve"> </w:t>
      </w:r>
    </w:p>
    <w:p w14:paraId="14262EBF" w14:textId="77777777" w:rsidR="00D03C68" w:rsidRDefault="00D96AD0">
      <w:pPr>
        <w:pStyle w:val="Heading2"/>
        <w:widowControl w:val="0"/>
        <w:spacing w:before="240" w:after="240" w:line="480" w:lineRule="auto"/>
        <w:rPr>
          <w:u w:val="single"/>
        </w:rPr>
      </w:pPr>
      <w:bookmarkStart w:id="38" w:name="_pb2hd7kcb6ox" w:colFirst="0" w:colLast="0"/>
      <w:bookmarkStart w:id="39" w:name="_Toc219753194"/>
      <w:bookmarkEnd w:id="38"/>
      <w:r>
        <w:rPr>
          <w:u w:val="single"/>
        </w:rPr>
        <w:t>5.1 Theoretical Background</w:t>
      </w:r>
      <w:bookmarkEnd w:id="39"/>
    </w:p>
    <w:p w14:paraId="14262EC0" w14:textId="77777777" w:rsidR="00D03C68" w:rsidRDefault="00D96AD0">
      <w:pPr>
        <w:keepNext/>
        <w:widowControl w:val="0"/>
        <w:spacing w:line="480" w:lineRule="auto"/>
        <w:rPr>
          <w:sz w:val="24"/>
          <w:szCs w:val="24"/>
        </w:rPr>
      </w:pPr>
      <w:r>
        <w:rPr>
          <w:sz w:val="24"/>
          <w:szCs w:val="24"/>
        </w:rPr>
        <w:t xml:space="preserve">There are several theoretical frameworks for curriculum design, and as curricular reform develops these theories are adapted to be interpreted by practitioners and enacted within their own contexts. Traditionally, curriculum was viewed as objectives to be reached and content to be delivered (Aubrey and Riley, 2024) but Stenhouse (1975) challenged this view, debating that curriculum is a collaborative process between pupil and teacher. </w:t>
      </w:r>
    </w:p>
    <w:p w14:paraId="14262EC1" w14:textId="16AD7691" w:rsidR="00D03C68" w:rsidRDefault="00D96AD0">
      <w:pPr>
        <w:keepNext/>
        <w:widowControl w:val="0"/>
        <w:spacing w:line="480" w:lineRule="auto"/>
        <w:rPr>
          <w:sz w:val="24"/>
          <w:szCs w:val="24"/>
        </w:rPr>
      </w:pPr>
      <w:r>
        <w:rPr>
          <w:sz w:val="24"/>
          <w:szCs w:val="24"/>
        </w:rPr>
        <w:t xml:space="preserve">Stenhouse’s (1975) ideas that teachers are active interpreters and developers of curriculum, that teachers take responsibility over sequencing, pedagogy and adapting to the needs of the learners (Aubrey and Riley, 2024; Bates, 2023) are reflected in the guiding principles of </w:t>
      </w:r>
      <w:proofErr w:type="spellStart"/>
      <w:r>
        <w:rPr>
          <w:sz w:val="24"/>
          <w:szCs w:val="24"/>
        </w:rPr>
        <w:t>CfW</w:t>
      </w:r>
      <w:proofErr w:type="spellEnd"/>
      <w:r>
        <w:rPr>
          <w:sz w:val="24"/>
          <w:szCs w:val="24"/>
        </w:rPr>
        <w:t xml:space="preserve">. Stenhouse (1975) also </w:t>
      </w:r>
      <w:r w:rsidR="00D63CFD">
        <w:rPr>
          <w:sz w:val="24"/>
          <w:szCs w:val="24"/>
        </w:rPr>
        <w:t>emphasized</w:t>
      </w:r>
      <w:r>
        <w:rPr>
          <w:sz w:val="24"/>
          <w:szCs w:val="24"/>
        </w:rPr>
        <w:t xml:space="preserve"> that curriculum quality was dependent on teacher understanding, professional judgement and reflective practice, which are key indicators of success in implementing </w:t>
      </w:r>
      <w:proofErr w:type="gramStart"/>
      <w:r>
        <w:rPr>
          <w:sz w:val="24"/>
          <w:szCs w:val="24"/>
        </w:rPr>
        <w:t xml:space="preserve">the </w:t>
      </w:r>
      <w:proofErr w:type="spellStart"/>
      <w:r>
        <w:rPr>
          <w:sz w:val="24"/>
          <w:szCs w:val="24"/>
        </w:rPr>
        <w:t>CfW</w:t>
      </w:r>
      <w:proofErr w:type="spellEnd"/>
      <w:proofErr w:type="gramEnd"/>
      <w:r>
        <w:rPr>
          <w:sz w:val="24"/>
          <w:szCs w:val="24"/>
        </w:rPr>
        <w:t xml:space="preserve"> in early research (Thomas </w:t>
      </w:r>
      <w:r>
        <w:rPr>
          <w:i/>
          <w:iCs/>
          <w:sz w:val="24"/>
          <w:szCs w:val="24"/>
        </w:rPr>
        <w:t>et al.</w:t>
      </w:r>
      <w:r>
        <w:rPr>
          <w:sz w:val="24"/>
          <w:szCs w:val="24"/>
        </w:rPr>
        <w:t xml:space="preserve">, 2023). Bates (2023) also argues that Stenhouse’s approach is a model that centers the learner and the </w:t>
      </w:r>
      <w:proofErr w:type="gramStart"/>
      <w:r>
        <w:rPr>
          <w:sz w:val="24"/>
          <w:szCs w:val="24"/>
        </w:rPr>
        <w:t>learning, and</w:t>
      </w:r>
      <w:proofErr w:type="gramEnd"/>
      <w:r>
        <w:rPr>
          <w:sz w:val="24"/>
          <w:szCs w:val="24"/>
        </w:rPr>
        <w:t xml:space="preserve"> meets the needs of society. </w:t>
      </w:r>
    </w:p>
    <w:p w14:paraId="14262EC2" w14:textId="77777777" w:rsidR="00D03C68" w:rsidRDefault="00D96AD0">
      <w:pPr>
        <w:keepNext/>
        <w:widowControl w:val="0"/>
        <w:spacing w:line="480" w:lineRule="auto"/>
        <w:rPr>
          <w:sz w:val="24"/>
          <w:szCs w:val="24"/>
        </w:rPr>
      </w:pPr>
      <w:r>
        <w:rPr>
          <w:sz w:val="24"/>
          <w:szCs w:val="24"/>
        </w:rPr>
        <w:t xml:space="preserve">Stenhouse’s theoretical model lays a foundation on teacher agency and curriculum enactment, which I will explore in the next section. </w:t>
      </w:r>
    </w:p>
    <w:p w14:paraId="14262EC3" w14:textId="77777777" w:rsidR="00D03C68" w:rsidRDefault="00D96AD0">
      <w:pPr>
        <w:pStyle w:val="Heading2"/>
        <w:widowControl w:val="0"/>
        <w:spacing w:before="240" w:after="240" w:line="480" w:lineRule="auto"/>
        <w:rPr>
          <w:u w:val="single"/>
        </w:rPr>
      </w:pPr>
      <w:bookmarkStart w:id="40" w:name="_846wsukhwyiy" w:colFirst="0" w:colLast="0"/>
      <w:bookmarkStart w:id="41" w:name="_Toc219753195"/>
      <w:bookmarkEnd w:id="40"/>
      <w:r>
        <w:rPr>
          <w:u w:val="single"/>
        </w:rPr>
        <w:t>5.2 Teacher agency and curriculum enactment</w:t>
      </w:r>
      <w:bookmarkEnd w:id="41"/>
    </w:p>
    <w:p w14:paraId="14262EC4" w14:textId="77777777" w:rsidR="00D03C68" w:rsidRDefault="00D96AD0">
      <w:pPr>
        <w:keepNext/>
        <w:widowControl w:val="0"/>
        <w:spacing w:line="480" w:lineRule="auto"/>
        <w:rPr>
          <w:sz w:val="24"/>
          <w:szCs w:val="24"/>
        </w:rPr>
      </w:pPr>
      <w:r>
        <w:rPr>
          <w:sz w:val="24"/>
          <w:szCs w:val="24"/>
        </w:rPr>
        <w:t xml:space="preserve">International curriculum reform, including </w:t>
      </w:r>
      <w:proofErr w:type="spellStart"/>
      <w:r>
        <w:rPr>
          <w:sz w:val="24"/>
          <w:szCs w:val="24"/>
        </w:rPr>
        <w:t>CfW</w:t>
      </w:r>
      <w:proofErr w:type="spellEnd"/>
      <w:r>
        <w:rPr>
          <w:sz w:val="24"/>
          <w:szCs w:val="24"/>
        </w:rPr>
        <w:t xml:space="preserve">, follows the trend of increasing professional autonomy and position teachers as curriculum designers (Sinnema </w:t>
      </w:r>
      <w:r>
        <w:rPr>
          <w:i/>
          <w:iCs/>
          <w:sz w:val="24"/>
          <w:szCs w:val="24"/>
        </w:rPr>
        <w:t>et al.,</w:t>
      </w:r>
      <w:r>
        <w:rPr>
          <w:sz w:val="24"/>
          <w:szCs w:val="24"/>
        </w:rPr>
        <w:t xml:space="preserve"> 2020; Wood and Hughson, 2025). Hughes and Lewis (2020) contend that although this </w:t>
      </w:r>
      <w:r>
        <w:rPr>
          <w:sz w:val="24"/>
          <w:szCs w:val="24"/>
        </w:rPr>
        <w:lastRenderedPageBreak/>
        <w:t xml:space="preserve">reform intends to make teachers agents of change, there are some limitations in achieving this in practice. Meeran and Amin (2021) acknowledges that designing curriculum increases workload and this causes stress, especially in mathematics departments. </w:t>
      </w:r>
    </w:p>
    <w:p w14:paraId="14262EC5" w14:textId="77777777" w:rsidR="00D03C68" w:rsidRDefault="00D96AD0">
      <w:pPr>
        <w:keepNext/>
        <w:widowControl w:val="0"/>
        <w:spacing w:line="480" w:lineRule="auto"/>
        <w:rPr>
          <w:sz w:val="24"/>
          <w:szCs w:val="24"/>
        </w:rPr>
      </w:pPr>
      <w:r>
        <w:rPr>
          <w:sz w:val="24"/>
          <w:szCs w:val="24"/>
        </w:rPr>
        <w:t xml:space="preserve">Autonomy and agency are described distinctly by Hughes and Lewis (2020), as agency is shaped by teachers’ experience, leadership and access to time and resources, which means that although the </w:t>
      </w:r>
      <w:proofErr w:type="spellStart"/>
      <w:r>
        <w:rPr>
          <w:sz w:val="24"/>
          <w:szCs w:val="24"/>
        </w:rPr>
        <w:t>CfW</w:t>
      </w:r>
      <w:proofErr w:type="spellEnd"/>
      <w:r>
        <w:rPr>
          <w:sz w:val="24"/>
          <w:szCs w:val="24"/>
        </w:rPr>
        <w:t xml:space="preserve"> grants greater autonomy, issues surrounding workload and accountability can still hamper teacher agency. </w:t>
      </w:r>
    </w:p>
    <w:p w14:paraId="14262EC6" w14:textId="77777777" w:rsidR="00D03C68" w:rsidRDefault="00D96AD0">
      <w:pPr>
        <w:keepNext/>
        <w:widowControl w:val="0"/>
        <w:spacing w:line="480" w:lineRule="auto"/>
        <w:rPr>
          <w:sz w:val="24"/>
          <w:szCs w:val="24"/>
        </w:rPr>
      </w:pPr>
      <w:r>
        <w:rPr>
          <w:sz w:val="24"/>
          <w:szCs w:val="24"/>
        </w:rPr>
        <w:t xml:space="preserve">Support to enact and implement the </w:t>
      </w:r>
      <w:proofErr w:type="spellStart"/>
      <w:r>
        <w:rPr>
          <w:sz w:val="24"/>
          <w:szCs w:val="24"/>
        </w:rPr>
        <w:t>CfW</w:t>
      </w:r>
      <w:proofErr w:type="spellEnd"/>
      <w:r>
        <w:rPr>
          <w:sz w:val="24"/>
          <w:szCs w:val="24"/>
        </w:rPr>
        <w:t xml:space="preserve"> is essential for practitioners (Aldous </w:t>
      </w:r>
      <w:r>
        <w:rPr>
          <w:i/>
          <w:iCs/>
          <w:sz w:val="24"/>
          <w:szCs w:val="24"/>
        </w:rPr>
        <w:t xml:space="preserve">et al., </w:t>
      </w:r>
      <w:r>
        <w:rPr>
          <w:sz w:val="24"/>
          <w:szCs w:val="24"/>
        </w:rPr>
        <w:t xml:space="preserve">2022) otherwise the change will be seen as a burden rather than an advantage. This requires system level conditions for change (Aldridge and McLure, 2023) and does not imply a lack of competence by teachers or departments. Research question three will focus on teachers’ perception of their role in curriculum enactment as it is a multi-dimensional issue and signifies a change in the role of the teacher </w:t>
      </w:r>
      <w:proofErr w:type="gramStart"/>
      <w:r>
        <w:rPr>
          <w:sz w:val="24"/>
          <w:szCs w:val="24"/>
        </w:rPr>
        <w:t>as a consequence of</w:t>
      </w:r>
      <w:proofErr w:type="gramEnd"/>
      <w:r>
        <w:rPr>
          <w:sz w:val="24"/>
          <w:szCs w:val="24"/>
        </w:rPr>
        <w:t xml:space="preserve"> the </w:t>
      </w:r>
      <w:proofErr w:type="spellStart"/>
      <w:r>
        <w:rPr>
          <w:sz w:val="24"/>
          <w:szCs w:val="24"/>
        </w:rPr>
        <w:t>CfW</w:t>
      </w:r>
      <w:proofErr w:type="spellEnd"/>
      <w:r>
        <w:rPr>
          <w:sz w:val="24"/>
          <w:szCs w:val="24"/>
        </w:rPr>
        <w:t xml:space="preserve">. </w:t>
      </w:r>
    </w:p>
    <w:p w14:paraId="14262EC7" w14:textId="77777777" w:rsidR="00D03C68" w:rsidRDefault="00D96AD0">
      <w:pPr>
        <w:pStyle w:val="Heading2"/>
        <w:widowControl w:val="0"/>
        <w:spacing w:before="240" w:after="240" w:line="480" w:lineRule="auto"/>
        <w:rPr>
          <w:u w:val="single"/>
        </w:rPr>
      </w:pPr>
      <w:bookmarkStart w:id="42" w:name="_wqholucyx0pj" w:colFirst="0" w:colLast="0"/>
      <w:bookmarkStart w:id="43" w:name="_Toc219753196"/>
      <w:bookmarkEnd w:id="42"/>
      <w:r>
        <w:rPr>
          <w:u w:val="single"/>
        </w:rPr>
        <w:t>5.3 Departments as Curriculum Makers</w:t>
      </w:r>
      <w:bookmarkEnd w:id="43"/>
    </w:p>
    <w:p w14:paraId="14262EC8" w14:textId="77777777" w:rsidR="00D03C68" w:rsidRDefault="00D96AD0">
      <w:pPr>
        <w:keepNext/>
        <w:widowControl w:val="0"/>
        <w:spacing w:line="480" w:lineRule="auto"/>
        <w:rPr>
          <w:sz w:val="24"/>
          <w:szCs w:val="24"/>
        </w:rPr>
      </w:pPr>
      <w:r>
        <w:rPr>
          <w:sz w:val="24"/>
          <w:szCs w:val="24"/>
        </w:rPr>
        <w:t xml:space="preserve">Collaboration is a key feature of successfully implementing change, whether that's within school or within local authorities considering the idea of tri level development (Fullan </w:t>
      </w:r>
      <w:r>
        <w:rPr>
          <w:i/>
          <w:iCs/>
          <w:sz w:val="24"/>
          <w:szCs w:val="24"/>
        </w:rPr>
        <w:t xml:space="preserve">et al., </w:t>
      </w:r>
      <w:r>
        <w:rPr>
          <w:sz w:val="24"/>
          <w:szCs w:val="24"/>
        </w:rPr>
        <w:t xml:space="preserve">2009). In secondary schools, curriculum work needs the input of all the stakeholders to succeed (Welsh Government, 2020a) and departments act as a meeting space of interpreting policy and classroom practice. </w:t>
      </w:r>
    </w:p>
    <w:p w14:paraId="14262EC9" w14:textId="77777777" w:rsidR="00D03C68" w:rsidRDefault="00D96AD0">
      <w:pPr>
        <w:keepNext/>
        <w:widowControl w:val="0"/>
        <w:spacing w:line="480" w:lineRule="auto"/>
        <w:rPr>
          <w:sz w:val="24"/>
          <w:szCs w:val="24"/>
        </w:rPr>
      </w:pPr>
      <w:r>
        <w:rPr>
          <w:sz w:val="24"/>
          <w:szCs w:val="24"/>
        </w:rPr>
        <w:t xml:space="preserve">Robbins (2021) defines leading on curriculum as the most impactful role of a middle leader, and states that authentic leaders are impacted by change and this is often true </w:t>
      </w:r>
      <w:r>
        <w:rPr>
          <w:sz w:val="24"/>
          <w:szCs w:val="24"/>
        </w:rPr>
        <w:lastRenderedPageBreak/>
        <w:t xml:space="preserve">in secondary departments, especially in smaller schools, which is the general case in North Wales. Mathematics departments will need to maintain the subject coherence, progression and the pedagogical understanding on how to support pupils’ learning (Myatt and </w:t>
      </w:r>
      <w:proofErr w:type="spellStart"/>
      <w:r>
        <w:rPr>
          <w:sz w:val="24"/>
          <w:szCs w:val="24"/>
        </w:rPr>
        <w:t>Tomsett</w:t>
      </w:r>
      <w:proofErr w:type="spellEnd"/>
      <w:r>
        <w:rPr>
          <w:sz w:val="24"/>
          <w:szCs w:val="24"/>
        </w:rPr>
        <w:t xml:space="preserve">, 2021) and teachers and leaders must be participants in the change (Riley and Khamis, 2005). </w:t>
      </w:r>
    </w:p>
    <w:p w14:paraId="14262ECA" w14:textId="77777777" w:rsidR="00D03C68" w:rsidRDefault="00D96AD0">
      <w:pPr>
        <w:keepNext/>
        <w:widowControl w:val="0"/>
        <w:spacing w:line="480" w:lineRule="auto"/>
        <w:rPr>
          <w:sz w:val="24"/>
          <w:szCs w:val="24"/>
        </w:rPr>
      </w:pPr>
      <w:r>
        <w:rPr>
          <w:sz w:val="24"/>
          <w:szCs w:val="24"/>
        </w:rPr>
        <w:t xml:space="preserve">Time, professional capacity and a shared vision are essential to enact change (Fullan </w:t>
      </w:r>
      <w:r>
        <w:rPr>
          <w:i/>
          <w:iCs/>
          <w:sz w:val="24"/>
          <w:szCs w:val="24"/>
        </w:rPr>
        <w:t xml:space="preserve">et al., </w:t>
      </w:r>
      <w:r>
        <w:rPr>
          <w:sz w:val="24"/>
          <w:szCs w:val="24"/>
        </w:rPr>
        <w:t xml:space="preserve">2009; Oppong-Gyebi </w:t>
      </w:r>
      <w:r>
        <w:rPr>
          <w:i/>
          <w:iCs/>
          <w:sz w:val="24"/>
          <w:szCs w:val="24"/>
        </w:rPr>
        <w:t>et al.</w:t>
      </w:r>
      <w:r>
        <w:rPr>
          <w:sz w:val="24"/>
          <w:szCs w:val="24"/>
        </w:rPr>
        <w:t xml:space="preserve">, 2023). Even if autonomy exists at a policy level, agency will depend on school and departmental conditions (Hughes and Lewis, 2020).  </w:t>
      </w:r>
    </w:p>
    <w:p w14:paraId="14262ECB" w14:textId="77777777" w:rsidR="00D03C68" w:rsidRDefault="00D96AD0">
      <w:pPr>
        <w:keepNext/>
        <w:widowControl w:val="0"/>
        <w:spacing w:line="480" w:lineRule="auto"/>
        <w:rPr>
          <w:sz w:val="24"/>
          <w:szCs w:val="24"/>
        </w:rPr>
      </w:pPr>
      <w:r>
        <w:rPr>
          <w:sz w:val="24"/>
          <w:szCs w:val="24"/>
        </w:rPr>
        <w:t>In research questions one and two, I will explore how departments have changed and understanding the role of the secondary department is important to justify this lens.</w:t>
      </w:r>
    </w:p>
    <w:p w14:paraId="14262ECC" w14:textId="77777777" w:rsidR="00D03C68" w:rsidRDefault="00D96AD0">
      <w:pPr>
        <w:pStyle w:val="Heading2"/>
        <w:widowControl w:val="0"/>
        <w:spacing w:before="240" w:after="240" w:line="480" w:lineRule="auto"/>
        <w:rPr>
          <w:u w:val="single"/>
        </w:rPr>
      </w:pPr>
      <w:bookmarkStart w:id="44" w:name="_w7fff2mj961x" w:colFirst="0" w:colLast="0"/>
      <w:bookmarkStart w:id="45" w:name="_Toc219753197"/>
      <w:bookmarkEnd w:id="44"/>
      <w:r>
        <w:rPr>
          <w:u w:val="single"/>
        </w:rPr>
        <w:t>5.4 Summary</w:t>
      </w:r>
      <w:bookmarkEnd w:id="45"/>
    </w:p>
    <w:p w14:paraId="14262ECD" w14:textId="77777777" w:rsidR="00D03C68" w:rsidRDefault="00D96AD0">
      <w:pPr>
        <w:keepNext/>
        <w:widowControl w:val="0"/>
        <w:spacing w:line="480" w:lineRule="auto"/>
        <w:rPr>
          <w:sz w:val="24"/>
          <w:szCs w:val="24"/>
        </w:rPr>
      </w:pPr>
      <w:r>
        <w:rPr>
          <w:sz w:val="24"/>
          <w:szCs w:val="24"/>
        </w:rPr>
        <w:t xml:space="preserve">This section examined the role of teachers as curricular designers in international curriculum reform trends as opposed to implementers. Drawing on Stenhouse’s (1975) theories of curriculum as a process, </w:t>
      </w:r>
      <w:proofErr w:type="gramStart"/>
      <w:r>
        <w:rPr>
          <w:sz w:val="24"/>
          <w:szCs w:val="24"/>
        </w:rPr>
        <w:t>the literature</w:t>
      </w:r>
      <w:proofErr w:type="gramEnd"/>
      <w:r>
        <w:rPr>
          <w:sz w:val="24"/>
          <w:szCs w:val="24"/>
        </w:rPr>
        <w:t xml:space="preserve"> follows the movement towards giving teachers more responsibility in </w:t>
      </w:r>
      <w:proofErr w:type="spellStart"/>
      <w:r>
        <w:rPr>
          <w:sz w:val="24"/>
          <w:szCs w:val="24"/>
        </w:rPr>
        <w:t>utilising</w:t>
      </w:r>
      <w:proofErr w:type="spellEnd"/>
      <w:r>
        <w:rPr>
          <w:sz w:val="24"/>
          <w:szCs w:val="24"/>
        </w:rPr>
        <w:t xml:space="preserve"> their professional judgement. A key distinction in the literature is that between teacher autonomy and teacher agency (Hughes and Lewis, 2020), and while the </w:t>
      </w:r>
      <w:proofErr w:type="spellStart"/>
      <w:r>
        <w:rPr>
          <w:sz w:val="24"/>
          <w:szCs w:val="24"/>
        </w:rPr>
        <w:t>CfW</w:t>
      </w:r>
      <w:proofErr w:type="spellEnd"/>
      <w:r>
        <w:rPr>
          <w:sz w:val="24"/>
          <w:szCs w:val="24"/>
        </w:rPr>
        <w:t xml:space="preserve"> increases autonomy by reducing prescription, capacity for agency must be built within schools and departments (Fullan </w:t>
      </w:r>
      <w:r>
        <w:rPr>
          <w:i/>
          <w:iCs/>
          <w:sz w:val="24"/>
          <w:szCs w:val="24"/>
        </w:rPr>
        <w:t xml:space="preserve">et al., </w:t>
      </w:r>
      <w:r>
        <w:rPr>
          <w:sz w:val="24"/>
          <w:szCs w:val="24"/>
        </w:rPr>
        <w:t xml:space="preserve">2009). </w:t>
      </w:r>
    </w:p>
    <w:p w14:paraId="14262ECE" w14:textId="77777777" w:rsidR="00D03C68" w:rsidRDefault="00D03C68">
      <w:pPr>
        <w:keepNext/>
        <w:widowControl w:val="0"/>
        <w:spacing w:line="480" w:lineRule="auto"/>
        <w:rPr>
          <w:sz w:val="24"/>
          <w:szCs w:val="24"/>
          <w:highlight w:val="yellow"/>
        </w:rPr>
      </w:pPr>
    </w:p>
    <w:p w14:paraId="7A01D3CE" w14:textId="77777777" w:rsidR="00D63CFD" w:rsidRDefault="00D63CFD">
      <w:pPr>
        <w:rPr>
          <w:sz w:val="24"/>
          <w:szCs w:val="24"/>
          <w:u w:val="single"/>
        </w:rPr>
      </w:pPr>
      <w:bookmarkStart w:id="46" w:name="_p8y7zoy8jn0z" w:colFirst="0" w:colLast="0"/>
      <w:bookmarkEnd w:id="46"/>
      <w:r>
        <w:rPr>
          <w:sz w:val="24"/>
          <w:szCs w:val="24"/>
          <w:u w:val="single"/>
        </w:rPr>
        <w:br w:type="page"/>
      </w:r>
    </w:p>
    <w:p w14:paraId="14262ECF" w14:textId="17AA4410" w:rsidR="00D03C68" w:rsidRDefault="00D96AD0">
      <w:pPr>
        <w:pStyle w:val="Heading1"/>
        <w:widowControl w:val="0"/>
        <w:spacing w:after="80" w:line="480" w:lineRule="auto"/>
        <w:rPr>
          <w:sz w:val="24"/>
          <w:szCs w:val="24"/>
          <w:u w:val="single"/>
        </w:rPr>
      </w:pPr>
      <w:bookmarkStart w:id="47" w:name="_Toc219753198"/>
      <w:r>
        <w:rPr>
          <w:sz w:val="24"/>
          <w:szCs w:val="24"/>
          <w:u w:val="single"/>
        </w:rPr>
        <w:lastRenderedPageBreak/>
        <w:t>6. Reforming Mathematics Curriculum</w:t>
      </w:r>
      <w:bookmarkEnd w:id="47"/>
    </w:p>
    <w:p w14:paraId="14262ED0" w14:textId="77777777" w:rsidR="00D03C68" w:rsidRDefault="00D96AD0">
      <w:pPr>
        <w:keepNext/>
        <w:widowControl w:val="0"/>
        <w:spacing w:line="480" w:lineRule="auto"/>
        <w:rPr>
          <w:u w:val="single"/>
        </w:rPr>
      </w:pPr>
      <w:r>
        <w:rPr>
          <w:sz w:val="24"/>
          <w:szCs w:val="24"/>
        </w:rPr>
        <w:t>Drawing on the previous section’s discussion of teachers as curriculum designers and the role of the department, this section focuses on mathematics as a distinct subject within curriculum reform. Mathematics has a hierarchical structure (Robbins, 2021), and strong links with accountability when comparing schools nationally through exam results (WJEC, 2024) and qualitative data (</w:t>
      </w:r>
      <w:proofErr w:type="spellStart"/>
      <w:r>
        <w:rPr>
          <w:sz w:val="24"/>
          <w:szCs w:val="24"/>
        </w:rPr>
        <w:t>Estyn</w:t>
      </w:r>
      <w:proofErr w:type="spellEnd"/>
      <w:r>
        <w:rPr>
          <w:sz w:val="24"/>
          <w:szCs w:val="24"/>
        </w:rPr>
        <w:t xml:space="preserve">, 2025), and internationally with PISA (OECD, 2024). Although content does not radically change in the </w:t>
      </w:r>
      <w:proofErr w:type="spellStart"/>
      <w:r>
        <w:rPr>
          <w:sz w:val="24"/>
          <w:szCs w:val="24"/>
        </w:rPr>
        <w:t>CfW</w:t>
      </w:r>
      <w:proofErr w:type="spellEnd"/>
      <w:r>
        <w:rPr>
          <w:sz w:val="24"/>
          <w:szCs w:val="24"/>
        </w:rPr>
        <w:t xml:space="preserve">, expectations around pedagogy and progression have shifted. This following section examines mathematics curriculum reform and discusses pedagogical approaches, providing a foundation for </w:t>
      </w:r>
      <w:proofErr w:type="spellStart"/>
      <w:r>
        <w:rPr>
          <w:sz w:val="24"/>
          <w:szCs w:val="24"/>
        </w:rPr>
        <w:t>analysing</w:t>
      </w:r>
      <w:proofErr w:type="spellEnd"/>
      <w:r>
        <w:rPr>
          <w:sz w:val="24"/>
          <w:szCs w:val="24"/>
        </w:rPr>
        <w:t xml:space="preserve"> departmental responses to the </w:t>
      </w:r>
      <w:proofErr w:type="spellStart"/>
      <w:r>
        <w:rPr>
          <w:sz w:val="24"/>
          <w:szCs w:val="24"/>
        </w:rPr>
        <w:t>CfW</w:t>
      </w:r>
      <w:proofErr w:type="spellEnd"/>
      <w:r>
        <w:rPr>
          <w:sz w:val="24"/>
          <w:szCs w:val="24"/>
        </w:rPr>
        <w:t>.</w:t>
      </w:r>
    </w:p>
    <w:p w14:paraId="14262ED1" w14:textId="77777777" w:rsidR="00D03C68" w:rsidRDefault="00D96AD0">
      <w:pPr>
        <w:pStyle w:val="Heading2"/>
        <w:widowControl w:val="0"/>
        <w:spacing w:before="240" w:after="240" w:line="480" w:lineRule="auto"/>
        <w:rPr>
          <w:u w:val="single"/>
        </w:rPr>
      </w:pPr>
      <w:bookmarkStart w:id="48" w:name="_crn5ryli2a8y" w:colFirst="0" w:colLast="0"/>
      <w:bookmarkStart w:id="49" w:name="_Toc219753199"/>
      <w:bookmarkEnd w:id="48"/>
      <w:r>
        <w:rPr>
          <w:u w:val="single"/>
        </w:rPr>
        <w:t>6.1 Mathematics in the curriculum</w:t>
      </w:r>
      <w:bookmarkEnd w:id="49"/>
    </w:p>
    <w:p w14:paraId="14262ED2" w14:textId="77777777" w:rsidR="00D03C68" w:rsidRDefault="00D96AD0">
      <w:pPr>
        <w:keepNext/>
        <w:widowControl w:val="0"/>
        <w:spacing w:line="480" w:lineRule="auto"/>
        <w:rPr>
          <w:sz w:val="24"/>
          <w:szCs w:val="24"/>
        </w:rPr>
      </w:pPr>
      <w:proofErr w:type="gramStart"/>
      <w:r>
        <w:rPr>
          <w:sz w:val="24"/>
          <w:szCs w:val="24"/>
        </w:rPr>
        <w:t>Mathematics curricular</w:t>
      </w:r>
      <w:proofErr w:type="gramEnd"/>
      <w:r>
        <w:rPr>
          <w:sz w:val="24"/>
          <w:szCs w:val="24"/>
        </w:rPr>
        <w:t xml:space="preserve"> reform can be complex to evaluate as although the curriculum design and priorities have shifted, comparing the previous mathematics </w:t>
      </w:r>
      <w:proofErr w:type="spellStart"/>
      <w:r>
        <w:rPr>
          <w:sz w:val="24"/>
          <w:szCs w:val="24"/>
        </w:rPr>
        <w:t>programme</w:t>
      </w:r>
      <w:proofErr w:type="spellEnd"/>
      <w:r>
        <w:rPr>
          <w:sz w:val="24"/>
          <w:szCs w:val="24"/>
        </w:rPr>
        <w:t xml:space="preserve"> of study (Welsh Government, 2016) and the </w:t>
      </w:r>
      <w:proofErr w:type="spellStart"/>
      <w:r>
        <w:rPr>
          <w:sz w:val="24"/>
          <w:szCs w:val="24"/>
        </w:rPr>
        <w:t>CfW</w:t>
      </w:r>
      <w:proofErr w:type="spellEnd"/>
      <w:r>
        <w:rPr>
          <w:sz w:val="24"/>
          <w:szCs w:val="24"/>
        </w:rPr>
        <w:t xml:space="preserve"> (Welsh Government, 2020b) shows little difference in terms of content. This similarity is further supported by comparing the syllabus for the examinations that </w:t>
      </w:r>
      <w:proofErr w:type="gramStart"/>
      <w:r>
        <w:rPr>
          <w:sz w:val="24"/>
          <w:szCs w:val="24"/>
        </w:rPr>
        <w:t>15 and 16 year olds</w:t>
      </w:r>
      <w:proofErr w:type="gramEnd"/>
      <w:r>
        <w:rPr>
          <w:sz w:val="24"/>
          <w:szCs w:val="24"/>
        </w:rPr>
        <w:t xml:space="preserve"> sit at the end of Key Stage Four (WJEC, 2019; WJEC, 2024). Kilpatrick (2023) discusses the idea that mathematics is seen as a constant, stable </w:t>
      </w:r>
      <w:r>
        <w:rPr>
          <w:sz w:val="24"/>
          <w:szCs w:val="24"/>
        </w:rPr>
        <w:t xml:space="preserve">subject compared to others, although notes that there is a </w:t>
      </w:r>
      <w:proofErr w:type="gramStart"/>
      <w:r>
        <w:rPr>
          <w:sz w:val="24"/>
          <w:szCs w:val="24"/>
        </w:rPr>
        <w:t>long term</w:t>
      </w:r>
      <w:proofErr w:type="gramEnd"/>
      <w:r>
        <w:rPr>
          <w:sz w:val="24"/>
          <w:szCs w:val="24"/>
        </w:rPr>
        <w:t xml:space="preserve"> shift from abstraction to problem solving, and contextual mathematics. </w:t>
      </w:r>
    </w:p>
    <w:p w14:paraId="14262ED3" w14:textId="77777777" w:rsidR="00D03C68" w:rsidRDefault="00D96AD0">
      <w:pPr>
        <w:keepNext/>
        <w:widowControl w:val="0"/>
        <w:spacing w:line="480" w:lineRule="auto"/>
        <w:rPr>
          <w:sz w:val="24"/>
          <w:szCs w:val="24"/>
        </w:rPr>
      </w:pPr>
      <w:r>
        <w:rPr>
          <w:sz w:val="24"/>
          <w:szCs w:val="24"/>
        </w:rPr>
        <w:t xml:space="preserve">Mathematics is a classically hierarchical subject, where there is less freedom in sequencing (Robbins, 2021) as correct, effective sequencing is essential for cohesive learning (Barton, 2022). This limits the flexibility in which mathematical ideas can be </w:t>
      </w:r>
      <w:r>
        <w:rPr>
          <w:sz w:val="24"/>
          <w:szCs w:val="24"/>
        </w:rPr>
        <w:lastRenderedPageBreak/>
        <w:t xml:space="preserve">introduced as prior knowledge, and interweaving is key for depth of understanding (Barton, 2018). </w:t>
      </w:r>
    </w:p>
    <w:p w14:paraId="14262ED4" w14:textId="77777777" w:rsidR="00D03C68" w:rsidRDefault="00D96AD0">
      <w:pPr>
        <w:keepNext/>
        <w:widowControl w:val="0"/>
        <w:spacing w:line="480" w:lineRule="auto"/>
        <w:rPr>
          <w:sz w:val="24"/>
          <w:szCs w:val="24"/>
        </w:rPr>
      </w:pPr>
      <w:r>
        <w:rPr>
          <w:sz w:val="24"/>
          <w:szCs w:val="24"/>
        </w:rPr>
        <w:t xml:space="preserve">Traditionally, mathematics has been seen as abstract which </w:t>
      </w:r>
      <w:proofErr w:type="spellStart"/>
      <w:r>
        <w:rPr>
          <w:sz w:val="24"/>
          <w:szCs w:val="24"/>
        </w:rPr>
        <w:t>Lyakhova</w:t>
      </w:r>
      <w:proofErr w:type="spellEnd"/>
      <w:r>
        <w:rPr>
          <w:sz w:val="24"/>
          <w:szCs w:val="24"/>
        </w:rPr>
        <w:t xml:space="preserve"> </w:t>
      </w:r>
      <w:r>
        <w:rPr>
          <w:i/>
          <w:iCs/>
          <w:sz w:val="24"/>
          <w:szCs w:val="24"/>
        </w:rPr>
        <w:t xml:space="preserve">et al. </w:t>
      </w:r>
      <w:r>
        <w:rPr>
          <w:sz w:val="24"/>
          <w:szCs w:val="24"/>
        </w:rPr>
        <w:t xml:space="preserve">(2019) suggests is valued by mathematics experts but that outsiders, such as policy makers value context over abstraction, where Kilpatrick (2023) implies that it's more likely a response to long term reform. Further to this, Drury (2018) and McDonald and Smith (2020) have a view that problem solving in context is an essential component of a mathematics curriculum. </w:t>
      </w:r>
    </w:p>
    <w:p w14:paraId="14262ED5" w14:textId="77777777" w:rsidR="00D03C68" w:rsidRDefault="00D96AD0">
      <w:pPr>
        <w:keepNext/>
        <w:widowControl w:val="0"/>
        <w:spacing w:line="480" w:lineRule="auto"/>
        <w:rPr>
          <w:sz w:val="24"/>
          <w:szCs w:val="24"/>
        </w:rPr>
      </w:pPr>
      <w:r>
        <w:rPr>
          <w:sz w:val="24"/>
          <w:szCs w:val="24"/>
        </w:rPr>
        <w:t xml:space="preserve">Despite mathematics being prominent in curriculum reform, Shimizu and Vithal (2023) assert that there are gaps in subject-specific empirical research examining how mathematics curricula are reformed in practice which highlights the need to examine how changes are implemented in mathematics departments. </w:t>
      </w:r>
    </w:p>
    <w:p w14:paraId="14262ED6" w14:textId="77777777" w:rsidR="00D03C68" w:rsidRDefault="00D96AD0">
      <w:pPr>
        <w:pStyle w:val="Heading2"/>
        <w:widowControl w:val="0"/>
        <w:spacing w:before="240" w:after="240" w:line="480" w:lineRule="auto"/>
        <w:rPr>
          <w:u w:val="single"/>
        </w:rPr>
      </w:pPr>
      <w:bookmarkStart w:id="50" w:name="_qhcvzchxx9h1" w:colFirst="0" w:colLast="0"/>
      <w:bookmarkStart w:id="51" w:name="_Toc219753200"/>
      <w:bookmarkEnd w:id="50"/>
      <w:r>
        <w:rPr>
          <w:u w:val="single"/>
        </w:rPr>
        <w:t xml:space="preserve">6.2 Pedagogy of Mathematics in the </w:t>
      </w:r>
      <w:proofErr w:type="spellStart"/>
      <w:r>
        <w:rPr>
          <w:u w:val="single"/>
        </w:rPr>
        <w:t>CfW</w:t>
      </w:r>
      <w:bookmarkEnd w:id="51"/>
      <w:proofErr w:type="spellEnd"/>
    </w:p>
    <w:p w14:paraId="14262ED7" w14:textId="77777777" w:rsidR="00D03C68" w:rsidRDefault="00D96AD0">
      <w:pPr>
        <w:keepNext/>
        <w:widowControl w:val="0"/>
        <w:spacing w:line="480" w:lineRule="auto"/>
        <w:rPr>
          <w:sz w:val="24"/>
          <w:szCs w:val="24"/>
        </w:rPr>
      </w:pPr>
      <w:r>
        <w:rPr>
          <w:sz w:val="24"/>
          <w:szCs w:val="24"/>
        </w:rPr>
        <w:t xml:space="preserve">The similarity in content between the </w:t>
      </w:r>
      <w:proofErr w:type="spellStart"/>
      <w:r>
        <w:rPr>
          <w:sz w:val="24"/>
          <w:szCs w:val="24"/>
        </w:rPr>
        <w:t>CfW</w:t>
      </w:r>
      <w:proofErr w:type="spellEnd"/>
      <w:r>
        <w:rPr>
          <w:sz w:val="24"/>
          <w:szCs w:val="24"/>
        </w:rPr>
        <w:t xml:space="preserve"> and the previous </w:t>
      </w:r>
      <w:proofErr w:type="spellStart"/>
      <w:r>
        <w:rPr>
          <w:sz w:val="24"/>
          <w:szCs w:val="24"/>
        </w:rPr>
        <w:t>programme</w:t>
      </w:r>
      <w:proofErr w:type="spellEnd"/>
      <w:r>
        <w:rPr>
          <w:sz w:val="24"/>
          <w:szCs w:val="24"/>
        </w:rPr>
        <w:t xml:space="preserve"> of study in mathematics establishes that the main changes for mathematics departments </w:t>
      </w:r>
      <w:proofErr w:type="gramStart"/>
      <w:r>
        <w:rPr>
          <w:sz w:val="24"/>
          <w:szCs w:val="24"/>
        </w:rPr>
        <w:t>is</w:t>
      </w:r>
      <w:proofErr w:type="gramEnd"/>
      <w:r>
        <w:rPr>
          <w:sz w:val="24"/>
          <w:szCs w:val="24"/>
        </w:rPr>
        <w:t xml:space="preserve"> in pedagogy, progression and experience within the </w:t>
      </w:r>
      <w:proofErr w:type="spellStart"/>
      <w:r>
        <w:rPr>
          <w:sz w:val="24"/>
          <w:szCs w:val="24"/>
        </w:rPr>
        <w:t>CfW</w:t>
      </w:r>
      <w:proofErr w:type="spellEnd"/>
      <w:r>
        <w:rPr>
          <w:sz w:val="24"/>
          <w:szCs w:val="24"/>
        </w:rPr>
        <w:t xml:space="preserve"> framework (Welsh Government, 2016; Welsh Government, 2020b). Therefore, in this section, I will look at commonly discussed pedagogical approaches to mathematics and relate them to </w:t>
      </w:r>
      <w:proofErr w:type="gramStart"/>
      <w:r>
        <w:rPr>
          <w:sz w:val="24"/>
          <w:szCs w:val="24"/>
        </w:rPr>
        <w:t xml:space="preserve">the </w:t>
      </w:r>
      <w:proofErr w:type="spellStart"/>
      <w:r>
        <w:rPr>
          <w:sz w:val="24"/>
          <w:szCs w:val="24"/>
        </w:rPr>
        <w:t>CfW</w:t>
      </w:r>
      <w:proofErr w:type="spellEnd"/>
      <w:proofErr w:type="gramEnd"/>
      <w:r>
        <w:rPr>
          <w:sz w:val="24"/>
          <w:szCs w:val="24"/>
        </w:rPr>
        <w:t xml:space="preserve">, before looking at the expectation that the </w:t>
      </w:r>
      <w:proofErr w:type="spellStart"/>
      <w:r>
        <w:rPr>
          <w:sz w:val="24"/>
          <w:szCs w:val="24"/>
        </w:rPr>
        <w:t>CfW</w:t>
      </w:r>
      <w:proofErr w:type="spellEnd"/>
      <w:r>
        <w:rPr>
          <w:sz w:val="24"/>
          <w:szCs w:val="24"/>
        </w:rPr>
        <w:t xml:space="preserve"> sets out. </w:t>
      </w:r>
    </w:p>
    <w:p w14:paraId="14262ED8" w14:textId="77777777" w:rsidR="00D03C68" w:rsidRDefault="00D96AD0">
      <w:pPr>
        <w:keepNext/>
        <w:widowControl w:val="0"/>
        <w:spacing w:line="480" w:lineRule="auto"/>
        <w:rPr>
          <w:sz w:val="24"/>
          <w:szCs w:val="24"/>
        </w:rPr>
      </w:pPr>
      <w:r>
        <w:rPr>
          <w:sz w:val="24"/>
          <w:szCs w:val="24"/>
        </w:rPr>
        <w:t xml:space="preserve">Highlighting connections is a key driver in enabling pupils to communicate and perceive mathematical ideas (Drury, 2018; McCourt, 2019). One approach to make these connections is the concrete, pictorial, abstract (CPA) model of conceptual progression in which pupils use manipulatives such as Dienes blocks, Cuisenaire rods or counters </w:t>
      </w:r>
      <w:r>
        <w:rPr>
          <w:sz w:val="24"/>
          <w:szCs w:val="24"/>
        </w:rPr>
        <w:lastRenderedPageBreak/>
        <w:t xml:space="preserve">while developing their understanding of a concept, before using visual representations and finally using correct mathematical form, or communicating symbolically (McCourt, 2019; Mattock, 2019; Welsh Government, 2020b). Multiple methods and representations, particularly visually, are cornerstones of work by Mattock (2019) and Morgan (2019). This aligns with the </w:t>
      </w:r>
      <w:proofErr w:type="spellStart"/>
      <w:r>
        <w:rPr>
          <w:sz w:val="24"/>
          <w:szCs w:val="24"/>
        </w:rPr>
        <w:t>CfW’s</w:t>
      </w:r>
      <w:proofErr w:type="spellEnd"/>
      <w:r>
        <w:rPr>
          <w:sz w:val="24"/>
          <w:szCs w:val="24"/>
        </w:rPr>
        <w:t xml:space="preserve"> emphasis on progression steps and that pupils progress at their own pace, giving a way to introduce depth of understanding within the same topi</w:t>
      </w:r>
      <w:r>
        <w:rPr>
          <w:sz w:val="24"/>
          <w:szCs w:val="24"/>
        </w:rPr>
        <w:t xml:space="preserve">c (Welsh Government, 2022). </w:t>
      </w:r>
    </w:p>
    <w:p w14:paraId="14262ED9" w14:textId="0BF25A8B" w:rsidR="00D03C68" w:rsidRDefault="00D96AD0">
      <w:pPr>
        <w:keepNext/>
        <w:widowControl w:val="0"/>
        <w:spacing w:line="480" w:lineRule="auto"/>
        <w:rPr>
          <w:sz w:val="24"/>
          <w:szCs w:val="24"/>
        </w:rPr>
      </w:pPr>
      <w:r>
        <w:rPr>
          <w:sz w:val="24"/>
          <w:szCs w:val="24"/>
        </w:rPr>
        <w:t xml:space="preserve">The mastery approach is a pedagogical approach that is often discussed in literature. Drury (2019) defined mastery as </w:t>
      </w:r>
      <w:r w:rsidR="00D63CFD">
        <w:rPr>
          <w:sz w:val="24"/>
          <w:szCs w:val="24"/>
        </w:rPr>
        <w:t>aiming to</w:t>
      </w:r>
      <w:r>
        <w:rPr>
          <w:sz w:val="24"/>
          <w:szCs w:val="24"/>
        </w:rPr>
        <w:t xml:space="preserve"> solve problems in unfamiliar contexts, teaching with high expectations for all learners, to deepen understanding. Myatt and </w:t>
      </w:r>
      <w:proofErr w:type="spellStart"/>
      <w:r>
        <w:rPr>
          <w:sz w:val="24"/>
          <w:szCs w:val="24"/>
        </w:rPr>
        <w:t>Tomsett</w:t>
      </w:r>
      <w:proofErr w:type="spellEnd"/>
      <w:r>
        <w:rPr>
          <w:sz w:val="24"/>
          <w:szCs w:val="24"/>
        </w:rPr>
        <w:t xml:space="preserve"> (2021) add that to build on knowledge, pupils must understand what has come before and the mastery approach responds to pupil needs. Additionally, McCourt (2019) added that this approach is an improvement on a conveyor belt method to cover all the content required and Barton (2022) highlighted the need to do less, but better, </w:t>
      </w:r>
      <w:proofErr w:type="spellStart"/>
      <w:r>
        <w:rPr>
          <w:sz w:val="24"/>
          <w:szCs w:val="24"/>
        </w:rPr>
        <w:t>emphasising</w:t>
      </w:r>
      <w:proofErr w:type="spellEnd"/>
      <w:r>
        <w:rPr>
          <w:sz w:val="24"/>
          <w:szCs w:val="24"/>
        </w:rPr>
        <w:t xml:space="preserve"> depth over pace. This approach does req</w:t>
      </w:r>
      <w:r>
        <w:rPr>
          <w:sz w:val="24"/>
          <w:szCs w:val="24"/>
        </w:rPr>
        <w:t xml:space="preserve">uire significant buy-in from teachers, who McDonald (2016) cite as needing to cover content rapidly as they feel pressure towards teaching for examination purposes. This dichotomy in the </w:t>
      </w:r>
      <w:proofErr w:type="spellStart"/>
      <w:r>
        <w:rPr>
          <w:sz w:val="24"/>
          <w:szCs w:val="24"/>
        </w:rPr>
        <w:t>CfW</w:t>
      </w:r>
      <w:proofErr w:type="spellEnd"/>
      <w:r>
        <w:rPr>
          <w:sz w:val="24"/>
          <w:szCs w:val="24"/>
        </w:rPr>
        <w:t xml:space="preserve"> between aspiring towards the four purposes (Welsh Government, 2020a) and ensuring pupils compare </w:t>
      </w:r>
      <w:proofErr w:type="spellStart"/>
      <w:r>
        <w:rPr>
          <w:sz w:val="24"/>
          <w:szCs w:val="24"/>
        </w:rPr>
        <w:t>favourably</w:t>
      </w:r>
      <w:proofErr w:type="spellEnd"/>
      <w:r>
        <w:rPr>
          <w:sz w:val="24"/>
          <w:szCs w:val="24"/>
        </w:rPr>
        <w:t xml:space="preserve"> globally (OECD, 2020) could cause significant pressure on teachers and departments. </w:t>
      </w:r>
    </w:p>
    <w:p w14:paraId="14262EDA" w14:textId="6295491A" w:rsidR="00D03C68" w:rsidRDefault="00D96AD0">
      <w:pPr>
        <w:keepNext/>
        <w:widowControl w:val="0"/>
        <w:spacing w:line="480" w:lineRule="auto"/>
        <w:rPr>
          <w:sz w:val="24"/>
          <w:szCs w:val="24"/>
        </w:rPr>
      </w:pPr>
      <w:r>
        <w:rPr>
          <w:sz w:val="24"/>
          <w:szCs w:val="24"/>
        </w:rPr>
        <w:t xml:space="preserve">While discussing the authors in this section (Barton, Drury, McCourt, Morgan and Mattock) it is worth noting that they are mathematics teachers with classroom experience, who although they reference academic material in their books, mostly </w:t>
      </w:r>
      <w:r>
        <w:rPr>
          <w:sz w:val="24"/>
          <w:szCs w:val="24"/>
        </w:rPr>
        <w:lastRenderedPageBreak/>
        <w:t xml:space="preserve">develop their arguments from anecdotal and lived experience, rather than primary, empirical research. While discussing using books in a literature review, Thomas (2013) advises that books tend to have integrity as they are written as an extended academic </w:t>
      </w:r>
      <w:r w:rsidR="00D63CFD">
        <w:rPr>
          <w:sz w:val="24"/>
          <w:szCs w:val="24"/>
        </w:rPr>
        <w:t>treatment but</w:t>
      </w:r>
      <w:r>
        <w:rPr>
          <w:sz w:val="24"/>
          <w:szCs w:val="24"/>
        </w:rPr>
        <w:t xml:space="preserve"> can be a particular view of the topic as viewed by that author. </w:t>
      </w:r>
    </w:p>
    <w:p w14:paraId="14262EDB" w14:textId="77777777" w:rsidR="00D03C68" w:rsidRDefault="00D96AD0">
      <w:pPr>
        <w:spacing w:line="480" w:lineRule="auto"/>
        <w:rPr>
          <w:sz w:val="24"/>
          <w:szCs w:val="24"/>
        </w:rPr>
      </w:pPr>
      <w:r>
        <w:rPr>
          <w:sz w:val="24"/>
          <w:szCs w:val="24"/>
        </w:rPr>
        <w:t xml:space="preserve">In the </w:t>
      </w:r>
      <w:proofErr w:type="spellStart"/>
      <w:r>
        <w:rPr>
          <w:sz w:val="24"/>
          <w:szCs w:val="24"/>
        </w:rPr>
        <w:t>CfW</w:t>
      </w:r>
      <w:proofErr w:type="spellEnd"/>
      <w:r>
        <w:rPr>
          <w:sz w:val="24"/>
          <w:szCs w:val="24"/>
        </w:rPr>
        <w:t xml:space="preserve">, progress in mathematics is measured against five proficiencies: fluency, logical reasoning, communication with symbols, strategic competency, and conceptual understanding (Welsh Government, 2020b). Problem solving is also highlighted as a key pedagogical consideration in the guidance (Welsh Government, 2020a). These proficiencies mostly map to strands of the previous </w:t>
      </w:r>
      <w:proofErr w:type="spellStart"/>
      <w:r>
        <w:rPr>
          <w:sz w:val="24"/>
          <w:szCs w:val="24"/>
        </w:rPr>
        <w:t>programme</w:t>
      </w:r>
      <w:proofErr w:type="spellEnd"/>
      <w:r>
        <w:rPr>
          <w:sz w:val="24"/>
          <w:szCs w:val="24"/>
        </w:rPr>
        <w:t xml:space="preserve"> of study (Welsh Government, 2016) so they are not unfamiliar to teachers, but the increased focus necessitates changes to plann</w:t>
      </w:r>
      <w:r>
        <w:rPr>
          <w:sz w:val="24"/>
          <w:szCs w:val="24"/>
        </w:rPr>
        <w:t xml:space="preserve">ing, assessment and teaching. Gatley (2020) argues that there is a difficulty in balancing four purposes and the six </w:t>
      </w:r>
      <w:proofErr w:type="spellStart"/>
      <w:r>
        <w:rPr>
          <w:sz w:val="24"/>
          <w:szCs w:val="24"/>
        </w:rPr>
        <w:t>AoLE</w:t>
      </w:r>
      <w:proofErr w:type="spellEnd"/>
      <w:r>
        <w:rPr>
          <w:sz w:val="24"/>
          <w:szCs w:val="24"/>
        </w:rPr>
        <w:t xml:space="preserve">, so adding the extra dimension of the five proficiencies increases the challenge for teachers. </w:t>
      </w:r>
    </w:p>
    <w:p w14:paraId="14262EDC" w14:textId="06EF3927" w:rsidR="00D03C68" w:rsidRDefault="00D96AD0">
      <w:pPr>
        <w:spacing w:line="480" w:lineRule="auto"/>
        <w:rPr>
          <w:sz w:val="24"/>
          <w:szCs w:val="24"/>
        </w:rPr>
      </w:pPr>
      <w:r>
        <w:rPr>
          <w:sz w:val="24"/>
          <w:szCs w:val="24"/>
        </w:rPr>
        <w:t xml:space="preserve">Together, these pedagogical frameworks illustrate the move towards depth and progression in the </w:t>
      </w:r>
      <w:proofErr w:type="spellStart"/>
      <w:r w:rsidR="00D63CFD">
        <w:rPr>
          <w:sz w:val="24"/>
          <w:szCs w:val="24"/>
        </w:rPr>
        <w:t>CfW</w:t>
      </w:r>
      <w:proofErr w:type="spellEnd"/>
      <w:r w:rsidR="00D63CFD">
        <w:rPr>
          <w:sz w:val="24"/>
          <w:szCs w:val="24"/>
        </w:rPr>
        <w:t xml:space="preserve"> but</w:t>
      </w:r>
      <w:r>
        <w:rPr>
          <w:sz w:val="24"/>
          <w:szCs w:val="24"/>
        </w:rPr>
        <w:t xml:space="preserve"> signifies an increased demand on departments to choose and </w:t>
      </w:r>
      <w:proofErr w:type="spellStart"/>
      <w:r>
        <w:rPr>
          <w:sz w:val="24"/>
          <w:szCs w:val="24"/>
        </w:rPr>
        <w:t>utilise</w:t>
      </w:r>
      <w:proofErr w:type="spellEnd"/>
      <w:r>
        <w:rPr>
          <w:sz w:val="24"/>
          <w:szCs w:val="24"/>
        </w:rPr>
        <w:t xml:space="preserve"> methods that achieve the five proficiencies and design coherent curricula. </w:t>
      </w:r>
    </w:p>
    <w:p w14:paraId="14262EDD" w14:textId="77777777" w:rsidR="00D03C68" w:rsidRDefault="00D96AD0">
      <w:pPr>
        <w:pStyle w:val="Heading2"/>
        <w:spacing w:line="480" w:lineRule="auto"/>
        <w:rPr>
          <w:u w:val="single"/>
        </w:rPr>
      </w:pPr>
      <w:bookmarkStart w:id="52" w:name="_yf6s9getyxl8" w:colFirst="0" w:colLast="0"/>
      <w:bookmarkStart w:id="53" w:name="_Toc219753201"/>
      <w:bookmarkEnd w:id="52"/>
      <w:r>
        <w:rPr>
          <w:u w:val="single"/>
        </w:rPr>
        <w:t>6.3 Implication for Mathematics Departments</w:t>
      </w:r>
      <w:bookmarkEnd w:id="53"/>
      <w:r>
        <w:rPr>
          <w:u w:val="single"/>
        </w:rPr>
        <w:t xml:space="preserve"> </w:t>
      </w:r>
    </w:p>
    <w:p w14:paraId="14262EDE" w14:textId="4E392219" w:rsidR="00D03C68" w:rsidRDefault="00D96AD0">
      <w:pPr>
        <w:keepNext/>
        <w:widowControl w:val="0"/>
        <w:spacing w:line="480" w:lineRule="auto"/>
        <w:rPr>
          <w:sz w:val="24"/>
          <w:szCs w:val="24"/>
        </w:rPr>
      </w:pPr>
      <w:r>
        <w:rPr>
          <w:sz w:val="24"/>
          <w:szCs w:val="24"/>
        </w:rPr>
        <w:t xml:space="preserve">In Section Five, departments were established as key sites of curriculum making and the literature in this section </w:t>
      </w:r>
      <w:r w:rsidR="00D63CFD">
        <w:rPr>
          <w:sz w:val="24"/>
          <w:szCs w:val="24"/>
        </w:rPr>
        <w:t>focused</w:t>
      </w:r>
      <w:r>
        <w:rPr>
          <w:sz w:val="24"/>
          <w:szCs w:val="24"/>
        </w:rPr>
        <w:t xml:space="preserve"> on </w:t>
      </w:r>
      <w:r w:rsidR="00D63CFD">
        <w:rPr>
          <w:sz w:val="24"/>
          <w:szCs w:val="24"/>
        </w:rPr>
        <w:t>several</w:t>
      </w:r>
      <w:r>
        <w:rPr>
          <w:sz w:val="24"/>
          <w:szCs w:val="24"/>
        </w:rPr>
        <w:t xml:space="preserve"> subject-specific implications for how </w:t>
      </w:r>
      <w:proofErr w:type="gramStart"/>
      <w:r>
        <w:rPr>
          <w:sz w:val="24"/>
          <w:szCs w:val="24"/>
        </w:rPr>
        <w:t xml:space="preserve">the </w:t>
      </w:r>
      <w:proofErr w:type="spellStart"/>
      <w:r>
        <w:rPr>
          <w:sz w:val="24"/>
          <w:szCs w:val="24"/>
        </w:rPr>
        <w:t>CfW</w:t>
      </w:r>
      <w:proofErr w:type="spellEnd"/>
      <w:proofErr w:type="gramEnd"/>
      <w:r>
        <w:rPr>
          <w:sz w:val="24"/>
          <w:szCs w:val="24"/>
        </w:rPr>
        <w:t xml:space="preserve"> is enacted in mathematics departments. Departments and teachers are required to interpret policy and translate this into a coherent </w:t>
      </w:r>
      <w:r w:rsidR="00D63CFD">
        <w:rPr>
          <w:sz w:val="24"/>
          <w:szCs w:val="24"/>
        </w:rPr>
        <w:t>program</w:t>
      </w:r>
      <w:r>
        <w:rPr>
          <w:sz w:val="24"/>
          <w:szCs w:val="24"/>
        </w:rPr>
        <w:t xml:space="preserve"> of study, while keeping progression, pedagogy and coherence in mind. </w:t>
      </w:r>
    </w:p>
    <w:p w14:paraId="14262EDF" w14:textId="77777777" w:rsidR="00D03C68" w:rsidRDefault="00D96AD0">
      <w:pPr>
        <w:keepNext/>
        <w:widowControl w:val="0"/>
        <w:spacing w:line="480" w:lineRule="auto"/>
        <w:rPr>
          <w:sz w:val="24"/>
          <w:szCs w:val="24"/>
        </w:rPr>
      </w:pPr>
      <w:r>
        <w:rPr>
          <w:sz w:val="24"/>
          <w:szCs w:val="24"/>
        </w:rPr>
        <w:t xml:space="preserve">The pedagogical expectation embedded in </w:t>
      </w:r>
      <w:proofErr w:type="spellStart"/>
      <w:r>
        <w:rPr>
          <w:sz w:val="24"/>
          <w:szCs w:val="24"/>
        </w:rPr>
        <w:t>CfW</w:t>
      </w:r>
      <w:proofErr w:type="spellEnd"/>
      <w:r>
        <w:rPr>
          <w:sz w:val="24"/>
          <w:szCs w:val="24"/>
        </w:rPr>
        <w:t xml:space="preserve"> including an emphasis on five key </w:t>
      </w:r>
      <w:r>
        <w:rPr>
          <w:sz w:val="24"/>
          <w:szCs w:val="24"/>
        </w:rPr>
        <w:lastRenderedPageBreak/>
        <w:t xml:space="preserve">proficiencies require departments to engage in substantive design to embed them effectively. Mastery and CPA are two possible approaches that could be aligned to the </w:t>
      </w:r>
      <w:proofErr w:type="spellStart"/>
      <w:r>
        <w:rPr>
          <w:sz w:val="24"/>
          <w:szCs w:val="24"/>
        </w:rPr>
        <w:t>CfW</w:t>
      </w:r>
      <w:proofErr w:type="spellEnd"/>
      <w:r>
        <w:rPr>
          <w:sz w:val="24"/>
          <w:szCs w:val="24"/>
        </w:rPr>
        <w:t xml:space="preserve"> to support understanding and sequencing.</w:t>
      </w:r>
    </w:p>
    <w:p w14:paraId="14262EE0" w14:textId="77777777" w:rsidR="00D03C68" w:rsidRDefault="00D96AD0">
      <w:pPr>
        <w:keepNext/>
        <w:widowControl w:val="0"/>
        <w:spacing w:line="480" w:lineRule="auto"/>
        <w:rPr>
          <w:sz w:val="24"/>
          <w:szCs w:val="24"/>
        </w:rPr>
      </w:pPr>
      <w:r>
        <w:rPr>
          <w:sz w:val="24"/>
          <w:szCs w:val="24"/>
        </w:rPr>
        <w:t xml:space="preserve">These subject specific demands help explain why mathematics curriculum reform may differ to other </w:t>
      </w:r>
      <w:proofErr w:type="spellStart"/>
      <w:r>
        <w:rPr>
          <w:sz w:val="24"/>
          <w:szCs w:val="24"/>
        </w:rPr>
        <w:t>AoLE</w:t>
      </w:r>
      <w:proofErr w:type="spellEnd"/>
      <w:r>
        <w:rPr>
          <w:sz w:val="24"/>
          <w:szCs w:val="24"/>
        </w:rPr>
        <w:t xml:space="preserve"> and exploring these challenges will directly inform research questions one and two. </w:t>
      </w:r>
    </w:p>
    <w:p w14:paraId="14262EE1" w14:textId="2686B2AE" w:rsidR="00D03C68" w:rsidRDefault="00D96AD0">
      <w:pPr>
        <w:keepNext/>
        <w:widowControl w:val="0"/>
        <w:spacing w:line="480" w:lineRule="auto"/>
        <w:rPr>
          <w:sz w:val="24"/>
          <w:szCs w:val="24"/>
        </w:rPr>
      </w:pPr>
      <w:r>
        <w:rPr>
          <w:sz w:val="24"/>
          <w:szCs w:val="24"/>
        </w:rPr>
        <w:t xml:space="preserve">The literature reviewed in Sections Three to Six </w:t>
      </w:r>
      <w:r w:rsidR="00D63CFD">
        <w:rPr>
          <w:sz w:val="24"/>
          <w:szCs w:val="24"/>
        </w:rPr>
        <w:t>highlights</w:t>
      </w:r>
      <w:r>
        <w:rPr>
          <w:sz w:val="24"/>
          <w:szCs w:val="24"/>
        </w:rPr>
        <w:t xml:space="preserve"> how curriculum reform under the </w:t>
      </w:r>
      <w:proofErr w:type="spellStart"/>
      <w:r>
        <w:rPr>
          <w:sz w:val="24"/>
          <w:szCs w:val="24"/>
        </w:rPr>
        <w:t>CfW</w:t>
      </w:r>
      <w:proofErr w:type="spellEnd"/>
      <w:r>
        <w:rPr>
          <w:sz w:val="24"/>
          <w:szCs w:val="24"/>
        </w:rPr>
        <w:t xml:space="preserve"> is enacted within the secondary mathematics department, shaping the changes undertaken, perceived strengths and challenges and exploring the teachers’ role as a curriculum designer. </w:t>
      </w:r>
    </w:p>
    <w:p w14:paraId="410F8907" w14:textId="77777777" w:rsidR="00D63CFD" w:rsidRDefault="00D63CFD">
      <w:pPr>
        <w:rPr>
          <w:sz w:val="24"/>
          <w:szCs w:val="24"/>
          <w:u w:val="single"/>
        </w:rPr>
      </w:pPr>
      <w:bookmarkStart w:id="54" w:name="_dnd24ts6j9jv" w:colFirst="0" w:colLast="0"/>
      <w:bookmarkEnd w:id="54"/>
      <w:r>
        <w:rPr>
          <w:sz w:val="24"/>
          <w:szCs w:val="24"/>
          <w:u w:val="single"/>
        </w:rPr>
        <w:br w:type="page"/>
      </w:r>
    </w:p>
    <w:p w14:paraId="14262EE2" w14:textId="59A243CA" w:rsidR="00D03C68" w:rsidRDefault="00D96AD0">
      <w:pPr>
        <w:pStyle w:val="Heading1"/>
        <w:widowControl w:val="0"/>
        <w:spacing w:after="80" w:line="480" w:lineRule="auto"/>
        <w:rPr>
          <w:sz w:val="24"/>
          <w:szCs w:val="24"/>
          <w:u w:val="single"/>
        </w:rPr>
      </w:pPr>
      <w:bookmarkStart w:id="55" w:name="_Toc219753202"/>
      <w:r>
        <w:rPr>
          <w:sz w:val="24"/>
          <w:szCs w:val="24"/>
          <w:u w:val="single"/>
        </w:rPr>
        <w:lastRenderedPageBreak/>
        <w:t>7. Synthesis of Themes and Debates</w:t>
      </w:r>
      <w:bookmarkEnd w:id="55"/>
    </w:p>
    <w:p w14:paraId="14262EE3" w14:textId="3C02FC9F" w:rsidR="00D03C68" w:rsidRDefault="00D96AD0">
      <w:pPr>
        <w:keepNext/>
        <w:widowControl w:val="0"/>
        <w:spacing w:line="480" w:lineRule="auto"/>
        <w:rPr>
          <w:sz w:val="24"/>
          <w:szCs w:val="24"/>
        </w:rPr>
      </w:pPr>
      <w:r>
        <w:rPr>
          <w:sz w:val="24"/>
          <w:szCs w:val="24"/>
        </w:rPr>
        <w:t xml:space="preserve">This section </w:t>
      </w:r>
      <w:r w:rsidR="00D63CFD">
        <w:rPr>
          <w:sz w:val="24"/>
          <w:szCs w:val="24"/>
        </w:rPr>
        <w:t>synthesizes</w:t>
      </w:r>
      <w:r>
        <w:rPr>
          <w:sz w:val="24"/>
          <w:szCs w:val="24"/>
        </w:rPr>
        <w:t xml:space="preserve"> the discussions from the previous four sections and explicitly frames them through the lens of my proposed research questions. </w:t>
      </w:r>
    </w:p>
    <w:p w14:paraId="14262EE4" w14:textId="45D1472F" w:rsidR="00D03C68" w:rsidRDefault="00D96AD0">
      <w:pPr>
        <w:keepNext/>
        <w:widowControl w:val="0"/>
        <w:spacing w:line="480" w:lineRule="auto"/>
        <w:rPr>
          <w:sz w:val="24"/>
          <w:szCs w:val="24"/>
        </w:rPr>
      </w:pPr>
      <w:r>
        <w:rPr>
          <w:sz w:val="24"/>
          <w:szCs w:val="24"/>
        </w:rPr>
        <w:t xml:space="preserve">The </w:t>
      </w:r>
      <w:proofErr w:type="spellStart"/>
      <w:r>
        <w:rPr>
          <w:sz w:val="24"/>
          <w:szCs w:val="24"/>
        </w:rPr>
        <w:t>CfW</w:t>
      </w:r>
      <w:proofErr w:type="spellEnd"/>
      <w:r>
        <w:rPr>
          <w:sz w:val="24"/>
          <w:szCs w:val="24"/>
        </w:rPr>
        <w:t xml:space="preserve"> is a large-scale, </w:t>
      </w:r>
      <w:r w:rsidR="00D63CFD">
        <w:rPr>
          <w:sz w:val="24"/>
          <w:szCs w:val="24"/>
        </w:rPr>
        <w:t>long-term</w:t>
      </w:r>
      <w:r>
        <w:rPr>
          <w:sz w:val="24"/>
          <w:szCs w:val="24"/>
        </w:rPr>
        <w:t xml:space="preserve"> reform (OECD, 2022) and departments across North Wales are working towards enacting the curriculum from policy. Variation is an expected feature in reform of this degree so by exploring perspectives from multiple settings in North Wales, we can build on our empirical evidence of perceptions, experiences and practice. </w:t>
      </w:r>
    </w:p>
    <w:p w14:paraId="14262EE5" w14:textId="1B594A95" w:rsidR="00D03C68" w:rsidRDefault="00D96AD0">
      <w:pPr>
        <w:keepNext/>
        <w:widowControl w:val="0"/>
        <w:spacing w:line="480" w:lineRule="auto"/>
        <w:rPr>
          <w:sz w:val="24"/>
          <w:szCs w:val="24"/>
        </w:rPr>
      </w:pPr>
      <w:r>
        <w:rPr>
          <w:sz w:val="24"/>
          <w:szCs w:val="24"/>
        </w:rPr>
        <w:t xml:space="preserve">In Section Five, we discussed Stenhouse’s (1975) theories of curriculum enactment and described the difference between autonomy and agency (Hughes and Lewis, 2020). With the </w:t>
      </w:r>
      <w:proofErr w:type="spellStart"/>
      <w:r>
        <w:rPr>
          <w:sz w:val="24"/>
          <w:szCs w:val="24"/>
        </w:rPr>
        <w:t>CfW’s</w:t>
      </w:r>
      <w:proofErr w:type="spellEnd"/>
      <w:r>
        <w:rPr>
          <w:sz w:val="24"/>
          <w:szCs w:val="24"/>
        </w:rPr>
        <w:t xml:space="preserve"> shift into making teachers curriculum developers (Humes, 2023), research into teachers’ perception of this role is essential </w:t>
      </w:r>
      <w:r w:rsidR="00D63CFD">
        <w:rPr>
          <w:sz w:val="24"/>
          <w:szCs w:val="24"/>
        </w:rPr>
        <w:t>to</w:t>
      </w:r>
      <w:r>
        <w:rPr>
          <w:sz w:val="24"/>
          <w:szCs w:val="24"/>
        </w:rPr>
        <w:t xml:space="preserve"> understand whether they see themselves as designers or implementers (Aubrey and Riley, 2024). The literature suggests that teachers’ perception of their role </w:t>
      </w:r>
      <w:r w:rsidR="00D63CFD">
        <w:rPr>
          <w:sz w:val="24"/>
          <w:szCs w:val="24"/>
        </w:rPr>
        <w:t>is</w:t>
      </w:r>
      <w:r>
        <w:rPr>
          <w:sz w:val="24"/>
          <w:szCs w:val="24"/>
        </w:rPr>
        <w:t xml:space="preserve"> shaped by time, leadership, and professional confidence and research question three will probe these ideas and what it means for the implementation of the </w:t>
      </w:r>
      <w:proofErr w:type="spellStart"/>
      <w:r>
        <w:rPr>
          <w:sz w:val="24"/>
          <w:szCs w:val="24"/>
        </w:rPr>
        <w:t>CfW</w:t>
      </w:r>
      <w:proofErr w:type="spellEnd"/>
      <w:r>
        <w:rPr>
          <w:sz w:val="24"/>
          <w:szCs w:val="24"/>
        </w:rPr>
        <w:t xml:space="preserve">. </w:t>
      </w:r>
    </w:p>
    <w:p w14:paraId="14262EE6" w14:textId="77777777" w:rsidR="00D03C68" w:rsidRDefault="00D96AD0">
      <w:pPr>
        <w:keepNext/>
        <w:widowControl w:val="0"/>
        <w:spacing w:line="480" w:lineRule="auto"/>
        <w:rPr>
          <w:sz w:val="24"/>
          <w:szCs w:val="24"/>
          <w:highlight w:val="yellow"/>
        </w:rPr>
      </w:pPr>
      <w:r>
        <w:rPr>
          <w:sz w:val="24"/>
          <w:szCs w:val="24"/>
        </w:rPr>
        <w:t xml:space="preserve">Investigating how secondary mathematics departments have changed and their perception of this change is central in responding to research questions one and two. Literature alludes to departments as central in designing curricula and that mathematics </w:t>
      </w:r>
      <w:proofErr w:type="gramStart"/>
      <w:r>
        <w:rPr>
          <w:sz w:val="24"/>
          <w:szCs w:val="24"/>
        </w:rPr>
        <w:t>have</w:t>
      </w:r>
      <w:proofErr w:type="gramEnd"/>
      <w:r>
        <w:rPr>
          <w:sz w:val="24"/>
          <w:szCs w:val="24"/>
        </w:rPr>
        <w:t xml:space="preserve"> subject-specific pressures that may not be present in other </w:t>
      </w:r>
      <w:proofErr w:type="spellStart"/>
      <w:r>
        <w:rPr>
          <w:sz w:val="24"/>
          <w:szCs w:val="24"/>
        </w:rPr>
        <w:t>AoLE</w:t>
      </w:r>
      <w:proofErr w:type="spellEnd"/>
      <w:r>
        <w:rPr>
          <w:sz w:val="24"/>
          <w:szCs w:val="24"/>
        </w:rPr>
        <w:t xml:space="preserve"> making research </w:t>
      </w:r>
      <w:proofErr w:type="spellStart"/>
      <w:r>
        <w:rPr>
          <w:sz w:val="24"/>
          <w:szCs w:val="24"/>
        </w:rPr>
        <w:t>focussing</w:t>
      </w:r>
      <w:proofErr w:type="spellEnd"/>
      <w:r>
        <w:rPr>
          <w:sz w:val="24"/>
          <w:szCs w:val="24"/>
        </w:rPr>
        <w:t xml:space="preserve"> on mathematics required to address gaps in the current literature available. </w:t>
      </w:r>
    </w:p>
    <w:p w14:paraId="486A8587" w14:textId="77777777" w:rsidR="00D63CFD" w:rsidRDefault="00D63CFD">
      <w:pPr>
        <w:rPr>
          <w:sz w:val="24"/>
          <w:szCs w:val="24"/>
          <w:u w:val="single"/>
        </w:rPr>
      </w:pPr>
      <w:bookmarkStart w:id="56" w:name="_u11ysns7f2i3" w:colFirst="0" w:colLast="0"/>
      <w:bookmarkEnd w:id="56"/>
      <w:r>
        <w:rPr>
          <w:sz w:val="24"/>
          <w:szCs w:val="24"/>
          <w:u w:val="single"/>
        </w:rPr>
        <w:br w:type="page"/>
      </w:r>
    </w:p>
    <w:p w14:paraId="14262EE7" w14:textId="4B8F02C8" w:rsidR="00D03C68" w:rsidRDefault="00D96AD0">
      <w:pPr>
        <w:pStyle w:val="Heading1"/>
        <w:widowControl w:val="0"/>
        <w:spacing w:after="80" w:line="480" w:lineRule="auto"/>
        <w:rPr>
          <w:sz w:val="24"/>
          <w:szCs w:val="24"/>
          <w:u w:val="single"/>
        </w:rPr>
      </w:pPr>
      <w:bookmarkStart w:id="57" w:name="_Toc219753203"/>
      <w:r>
        <w:rPr>
          <w:sz w:val="24"/>
          <w:szCs w:val="24"/>
          <w:u w:val="single"/>
        </w:rPr>
        <w:lastRenderedPageBreak/>
        <w:t>8. Conclusion</w:t>
      </w:r>
      <w:bookmarkEnd w:id="57"/>
    </w:p>
    <w:p w14:paraId="14262EE8" w14:textId="77777777" w:rsidR="00D03C68" w:rsidRDefault="00D96AD0">
      <w:pPr>
        <w:keepNext/>
        <w:widowControl w:val="0"/>
        <w:spacing w:line="480" w:lineRule="auto"/>
        <w:rPr>
          <w:sz w:val="24"/>
          <w:szCs w:val="24"/>
          <w:highlight w:val="white"/>
        </w:rPr>
      </w:pPr>
      <w:r>
        <w:rPr>
          <w:sz w:val="24"/>
          <w:szCs w:val="24"/>
          <w:highlight w:val="white"/>
        </w:rPr>
        <w:t xml:space="preserve">This literature review aimed to critically </w:t>
      </w:r>
      <w:proofErr w:type="spellStart"/>
      <w:r>
        <w:rPr>
          <w:sz w:val="24"/>
          <w:szCs w:val="24"/>
          <w:highlight w:val="white"/>
        </w:rPr>
        <w:t>analyse</w:t>
      </w:r>
      <w:proofErr w:type="spellEnd"/>
      <w:r>
        <w:rPr>
          <w:sz w:val="24"/>
          <w:szCs w:val="24"/>
          <w:highlight w:val="white"/>
        </w:rPr>
        <w:t xml:space="preserve"> and </w:t>
      </w:r>
      <w:proofErr w:type="spellStart"/>
      <w:r>
        <w:rPr>
          <w:sz w:val="24"/>
          <w:szCs w:val="24"/>
          <w:highlight w:val="white"/>
        </w:rPr>
        <w:t>synthesise</w:t>
      </w:r>
      <w:proofErr w:type="spellEnd"/>
      <w:r>
        <w:rPr>
          <w:sz w:val="24"/>
          <w:szCs w:val="24"/>
          <w:highlight w:val="white"/>
        </w:rPr>
        <w:t xml:space="preserve"> the existing literature in four areas, significant in my research and justify the three research questions I had initially created. </w:t>
      </w:r>
    </w:p>
    <w:p w14:paraId="14262EE9" w14:textId="77777777" w:rsidR="00D03C68" w:rsidRDefault="00D96AD0">
      <w:pPr>
        <w:keepNext/>
        <w:widowControl w:val="0"/>
        <w:spacing w:line="480" w:lineRule="auto"/>
        <w:rPr>
          <w:sz w:val="24"/>
          <w:szCs w:val="24"/>
        </w:rPr>
      </w:pPr>
      <w:r>
        <w:rPr>
          <w:sz w:val="24"/>
          <w:szCs w:val="24"/>
        </w:rPr>
        <w:t xml:space="preserve">The literature review examined the current implementation of the </w:t>
      </w:r>
      <w:proofErr w:type="spellStart"/>
      <w:r>
        <w:rPr>
          <w:sz w:val="24"/>
          <w:szCs w:val="24"/>
        </w:rPr>
        <w:t>CfW</w:t>
      </w:r>
      <w:proofErr w:type="spellEnd"/>
      <w:r>
        <w:rPr>
          <w:sz w:val="24"/>
          <w:szCs w:val="24"/>
        </w:rPr>
        <w:t xml:space="preserve"> through discussions of curriculum reform, educational change, teacher agency and autonomy, and mathematical pedagogy. The review has identified and evaluated the complexity and multi-faceted process of curriculum reform, shaped by the relationships and collaboration of the three levels of government, local authorities and schools (Fullan </w:t>
      </w:r>
      <w:r>
        <w:rPr>
          <w:i/>
          <w:iCs/>
          <w:sz w:val="24"/>
          <w:szCs w:val="24"/>
        </w:rPr>
        <w:t>et al.</w:t>
      </w:r>
      <w:r>
        <w:rPr>
          <w:sz w:val="24"/>
          <w:szCs w:val="24"/>
        </w:rPr>
        <w:t xml:space="preserve">, 2009). </w:t>
      </w:r>
    </w:p>
    <w:p w14:paraId="14262EEA" w14:textId="77777777" w:rsidR="00D03C68" w:rsidRDefault="00D96AD0">
      <w:pPr>
        <w:keepNext/>
        <w:widowControl w:val="0"/>
        <w:spacing w:line="480" w:lineRule="auto"/>
        <w:rPr>
          <w:sz w:val="24"/>
          <w:szCs w:val="24"/>
        </w:rPr>
      </w:pPr>
      <w:r>
        <w:rPr>
          <w:sz w:val="24"/>
          <w:szCs w:val="24"/>
        </w:rPr>
        <w:t xml:space="preserve">Providing a theoretical spine to this essay is the concept of curriculum as process rather than outcome, drawing on Stenhouse’s (1975) works and highlighting the connection between his theories and </w:t>
      </w:r>
      <w:proofErr w:type="spellStart"/>
      <w:r>
        <w:rPr>
          <w:sz w:val="24"/>
          <w:szCs w:val="24"/>
        </w:rPr>
        <w:t>CfW</w:t>
      </w:r>
      <w:proofErr w:type="spellEnd"/>
      <w:r>
        <w:rPr>
          <w:sz w:val="24"/>
          <w:szCs w:val="24"/>
        </w:rPr>
        <w:t xml:space="preserve">, as well as other international curricula reform, such as Scotland and New Zealand (Sinnema </w:t>
      </w:r>
      <w:r>
        <w:rPr>
          <w:i/>
          <w:iCs/>
          <w:sz w:val="24"/>
          <w:szCs w:val="24"/>
        </w:rPr>
        <w:t>et al.</w:t>
      </w:r>
      <w:r>
        <w:rPr>
          <w:sz w:val="24"/>
          <w:szCs w:val="24"/>
        </w:rPr>
        <w:t xml:space="preserve">, 2020; Wood and Hughson, 2025). A critical distinction between teacher autonomy and teacher agency was made by Hughes and Lewis (2020) that will inform the third research question, exploring how teachers understand their role as curriculum designers. </w:t>
      </w:r>
    </w:p>
    <w:p w14:paraId="14262EEB" w14:textId="196327C2" w:rsidR="00D03C68" w:rsidRDefault="00D96AD0">
      <w:pPr>
        <w:keepNext/>
        <w:widowControl w:val="0"/>
        <w:spacing w:line="480" w:lineRule="auto"/>
        <w:rPr>
          <w:sz w:val="24"/>
          <w:szCs w:val="24"/>
        </w:rPr>
      </w:pPr>
      <w:r>
        <w:rPr>
          <w:sz w:val="24"/>
          <w:szCs w:val="24"/>
        </w:rPr>
        <w:t xml:space="preserve">The review highlighted differences between different </w:t>
      </w:r>
      <w:proofErr w:type="spellStart"/>
      <w:r>
        <w:rPr>
          <w:sz w:val="24"/>
          <w:szCs w:val="24"/>
        </w:rPr>
        <w:t>AoLE</w:t>
      </w:r>
      <w:proofErr w:type="spellEnd"/>
      <w:r>
        <w:rPr>
          <w:sz w:val="24"/>
          <w:szCs w:val="24"/>
        </w:rPr>
        <w:t xml:space="preserve"> in implementing and experiencing curriculum reform, with mathematics being distinct for the purposes of my </w:t>
      </w:r>
      <w:r w:rsidR="00D63CFD">
        <w:rPr>
          <w:sz w:val="24"/>
          <w:szCs w:val="24"/>
        </w:rPr>
        <w:t>research and</w:t>
      </w:r>
      <w:r>
        <w:rPr>
          <w:sz w:val="24"/>
          <w:szCs w:val="24"/>
        </w:rPr>
        <w:t xml:space="preserve"> identifying a lack of current departmental level research into mathematics. I will aim to address this gap in research questions one and two, investigating how departments have changed and how they have perceived strengths and challenges </w:t>
      </w:r>
      <w:r>
        <w:rPr>
          <w:sz w:val="24"/>
          <w:szCs w:val="24"/>
        </w:rPr>
        <w:lastRenderedPageBreak/>
        <w:t xml:space="preserve">associated with these changes. </w:t>
      </w:r>
    </w:p>
    <w:p w14:paraId="14262EEC" w14:textId="77777777" w:rsidR="00D03C68" w:rsidRDefault="00D03C68">
      <w:pPr>
        <w:keepNext/>
        <w:spacing w:line="480" w:lineRule="auto"/>
        <w:rPr>
          <w:sz w:val="24"/>
          <w:szCs w:val="24"/>
        </w:rPr>
      </w:pPr>
    </w:p>
    <w:p w14:paraId="6CC9DE10" w14:textId="77777777" w:rsidR="00D63CFD" w:rsidRDefault="00D63CFD">
      <w:pPr>
        <w:rPr>
          <w:sz w:val="24"/>
          <w:szCs w:val="24"/>
          <w:u w:val="single"/>
        </w:rPr>
      </w:pPr>
      <w:bookmarkStart w:id="58" w:name="_uku91jpu53qq" w:colFirst="0" w:colLast="0"/>
      <w:bookmarkEnd w:id="58"/>
      <w:r>
        <w:rPr>
          <w:u w:val="single"/>
        </w:rPr>
        <w:br w:type="page"/>
      </w:r>
    </w:p>
    <w:p w14:paraId="14262EED" w14:textId="0BF90F3A" w:rsidR="00D03C68" w:rsidRDefault="00D96AD0">
      <w:pPr>
        <w:pStyle w:val="Heading2"/>
        <w:widowControl w:val="0"/>
        <w:spacing w:line="480" w:lineRule="auto"/>
        <w:rPr>
          <w:u w:val="single"/>
        </w:rPr>
      </w:pPr>
      <w:bookmarkStart w:id="59" w:name="_Toc219753204"/>
      <w:r>
        <w:rPr>
          <w:u w:val="single"/>
        </w:rPr>
        <w:lastRenderedPageBreak/>
        <w:t>References</w:t>
      </w:r>
      <w:bookmarkEnd w:id="59"/>
    </w:p>
    <w:p w14:paraId="14262EEE" w14:textId="77777777" w:rsidR="00D03C68" w:rsidRDefault="00D96AD0">
      <w:pPr>
        <w:spacing w:line="480" w:lineRule="auto"/>
        <w:rPr>
          <w:sz w:val="24"/>
          <w:szCs w:val="24"/>
        </w:rPr>
      </w:pPr>
      <w:r>
        <w:rPr>
          <w:sz w:val="24"/>
          <w:szCs w:val="24"/>
        </w:rPr>
        <w:t>Aldous, D., Evans, V., Lloyd, R., Heath-Diffey, F. and Chambers, F. (2022) ‘</w:t>
      </w:r>
      <w:proofErr w:type="spellStart"/>
      <w:r>
        <w:rPr>
          <w:sz w:val="24"/>
          <w:szCs w:val="24"/>
        </w:rPr>
        <w:t>Realising</w:t>
      </w:r>
      <w:proofErr w:type="spellEnd"/>
      <w:r>
        <w:rPr>
          <w:sz w:val="24"/>
          <w:szCs w:val="24"/>
        </w:rPr>
        <w:t xml:space="preserve"> curriculum possibilities in Wales: teachers' initial experiences of re-imagining secondary physical education’,</w:t>
      </w:r>
      <w:r>
        <w:rPr>
          <w:i/>
          <w:iCs/>
          <w:sz w:val="24"/>
          <w:szCs w:val="24"/>
        </w:rPr>
        <w:t xml:space="preserve"> Curriculum studies in health and physical education</w:t>
      </w:r>
      <w:r>
        <w:rPr>
          <w:sz w:val="24"/>
          <w:szCs w:val="24"/>
        </w:rPr>
        <w:t xml:space="preserve">, 13(3), pp. 253–269. Available at: </w:t>
      </w:r>
      <w:hyperlink r:id="rId10">
        <w:r>
          <w:rPr>
            <w:color w:val="1155CC"/>
            <w:sz w:val="24"/>
            <w:szCs w:val="24"/>
            <w:u w:val="single"/>
          </w:rPr>
          <w:t>https://www.tandfonline.com/doi/full/10.1080/25742981.2022.2125816</w:t>
        </w:r>
      </w:hyperlink>
      <w:r>
        <w:rPr>
          <w:sz w:val="24"/>
          <w:szCs w:val="24"/>
        </w:rPr>
        <w:t xml:space="preserve"> </w:t>
      </w:r>
    </w:p>
    <w:p w14:paraId="14262EEF" w14:textId="77777777" w:rsidR="00D03C68" w:rsidRDefault="00D96AD0">
      <w:pPr>
        <w:tabs>
          <w:tab w:val="right" w:pos="9016"/>
        </w:tabs>
        <w:spacing w:line="480" w:lineRule="auto"/>
        <w:rPr>
          <w:sz w:val="24"/>
          <w:szCs w:val="24"/>
        </w:rPr>
      </w:pPr>
      <w:r>
        <w:rPr>
          <w:sz w:val="24"/>
          <w:szCs w:val="24"/>
        </w:rPr>
        <w:t xml:space="preserve">Aldridge, J. M., &amp; McLure, F. I. (2024). Preparing Schools for Educational Change: Barriers and Supports – A Systematic Literature Review. Leadership and Policy in Schools, 23(3), pp. 486–511. Available at: </w:t>
      </w:r>
      <w:hyperlink r:id="rId11">
        <w:r>
          <w:rPr>
            <w:color w:val="1155CC"/>
            <w:sz w:val="24"/>
            <w:szCs w:val="24"/>
            <w:u w:val="single"/>
          </w:rPr>
          <w:t>https://doi.org/10.1080/15700763.2023.2171439</w:t>
        </w:r>
      </w:hyperlink>
      <w:r>
        <w:rPr>
          <w:sz w:val="24"/>
          <w:szCs w:val="24"/>
        </w:rPr>
        <w:t xml:space="preserve"> </w:t>
      </w:r>
    </w:p>
    <w:p w14:paraId="14262EF0" w14:textId="77777777" w:rsidR="00D03C68" w:rsidRDefault="00D96AD0">
      <w:pPr>
        <w:spacing w:line="480" w:lineRule="auto"/>
        <w:rPr>
          <w:sz w:val="24"/>
          <w:szCs w:val="24"/>
        </w:rPr>
      </w:pPr>
      <w:r>
        <w:rPr>
          <w:sz w:val="24"/>
          <w:szCs w:val="24"/>
        </w:rPr>
        <w:t xml:space="preserve">Aubrey, K., and Riley, A. (2024) </w:t>
      </w:r>
      <w:r>
        <w:rPr>
          <w:i/>
          <w:iCs/>
          <w:sz w:val="24"/>
          <w:szCs w:val="24"/>
        </w:rPr>
        <w:t xml:space="preserve">Understanding and Using Challenging Educational Theories. </w:t>
      </w:r>
      <w:r>
        <w:rPr>
          <w:sz w:val="24"/>
          <w:szCs w:val="24"/>
        </w:rPr>
        <w:t xml:space="preserve">3rd </w:t>
      </w:r>
      <w:proofErr w:type="spellStart"/>
      <w:proofErr w:type="gramStart"/>
      <w:r>
        <w:rPr>
          <w:sz w:val="24"/>
          <w:szCs w:val="24"/>
        </w:rPr>
        <w:t>edn</w:t>
      </w:r>
      <w:proofErr w:type="spellEnd"/>
      <w:proofErr w:type="gramEnd"/>
      <w:r>
        <w:rPr>
          <w:sz w:val="24"/>
          <w:szCs w:val="24"/>
        </w:rPr>
        <w:t>. London, England: SAGE Publications</w:t>
      </w:r>
    </w:p>
    <w:p w14:paraId="14262EF1" w14:textId="77777777" w:rsidR="00D03C68" w:rsidRDefault="00D96AD0">
      <w:pPr>
        <w:spacing w:line="480" w:lineRule="auto"/>
        <w:rPr>
          <w:sz w:val="24"/>
          <w:szCs w:val="24"/>
        </w:rPr>
      </w:pPr>
      <w:r>
        <w:rPr>
          <w:sz w:val="24"/>
          <w:szCs w:val="24"/>
        </w:rPr>
        <w:t xml:space="preserve">Barton, C. (2018) </w:t>
      </w:r>
      <w:r>
        <w:rPr>
          <w:i/>
          <w:iCs/>
          <w:sz w:val="24"/>
          <w:szCs w:val="24"/>
        </w:rPr>
        <w:t xml:space="preserve">How I wish I'd taught </w:t>
      </w:r>
      <w:proofErr w:type="spellStart"/>
      <w:r>
        <w:rPr>
          <w:i/>
          <w:iCs/>
          <w:sz w:val="24"/>
          <w:szCs w:val="24"/>
        </w:rPr>
        <w:t>maths</w:t>
      </w:r>
      <w:proofErr w:type="spellEnd"/>
      <w:r>
        <w:rPr>
          <w:i/>
          <w:iCs/>
          <w:sz w:val="24"/>
          <w:szCs w:val="24"/>
        </w:rPr>
        <w:t xml:space="preserve">. </w:t>
      </w:r>
      <w:r>
        <w:rPr>
          <w:sz w:val="24"/>
          <w:szCs w:val="24"/>
        </w:rPr>
        <w:t>Melton, Woodbridge: John Catt Educational Ltd.</w:t>
      </w:r>
    </w:p>
    <w:p w14:paraId="14262EF2" w14:textId="77777777" w:rsidR="00D03C68" w:rsidRDefault="00D96AD0">
      <w:pPr>
        <w:spacing w:line="480" w:lineRule="auto"/>
        <w:rPr>
          <w:sz w:val="24"/>
          <w:szCs w:val="24"/>
        </w:rPr>
      </w:pPr>
      <w:r>
        <w:rPr>
          <w:sz w:val="24"/>
          <w:szCs w:val="24"/>
        </w:rPr>
        <w:t>Barton, C. (2022) T</w:t>
      </w:r>
      <w:r>
        <w:rPr>
          <w:i/>
          <w:iCs/>
          <w:sz w:val="24"/>
          <w:szCs w:val="24"/>
        </w:rPr>
        <w:t>ips for Teachers: 400+ Ideas to Improve Your Teaching</w:t>
      </w:r>
      <w:r>
        <w:rPr>
          <w:sz w:val="24"/>
          <w:szCs w:val="24"/>
        </w:rPr>
        <w:t>. Melton, Woodbridge: John Catt Educational Ltd.</w:t>
      </w:r>
    </w:p>
    <w:p w14:paraId="14262EF3" w14:textId="77777777" w:rsidR="00D03C68" w:rsidRDefault="00D96AD0">
      <w:pPr>
        <w:spacing w:line="480" w:lineRule="auto"/>
        <w:rPr>
          <w:sz w:val="24"/>
          <w:szCs w:val="24"/>
        </w:rPr>
      </w:pPr>
      <w:r>
        <w:rPr>
          <w:sz w:val="24"/>
          <w:szCs w:val="24"/>
        </w:rPr>
        <w:t xml:space="preserve">Bates, B. (2023) </w:t>
      </w:r>
      <w:r>
        <w:rPr>
          <w:i/>
          <w:iCs/>
          <w:sz w:val="24"/>
          <w:szCs w:val="24"/>
        </w:rPr>
        <w:t>Learning Theories Simplified.</w:t>
      </w:r>
      <w:r>
        <w:rPr>
          <w:sz w:val="24"/>
          <w:szCs w:val="24"/>
        </w:rPr>
        <w:t xml:space="preserve"> 3rd </w:t>
      </w:r>
      <w:proofErr w:type="spellStart"/>
      <w:proofErr w:type="gramStart"/>
      <w:r>
        <w:rPr>
          <w:sz w:val="24"/>
          <w:szCs w:val="24"/>
        </w:rPr>
        <w:t>edn</w:t>
      </w:r>
      <w:proofErr w:type="spellEnd"/>
      <w:proofErr w:type="gramEnd"/>
      <w:r>
        <w:rPr>
          <w:sz w:val="24"/>
          <w:szCs w:val="24"/>
        </w:rPr>
        <w:t>. London, England: SAGE Publications</w:t>
      </w:r>
    </w:p>
    <w:p w14:paraId="14262EF4" w14:textId="77777777" w:rsidR="00D03C68" w:rsidRDefault="00D96AD0">
      <w:pPr>
        <w:tabs>
          <w:tab w:val="right" w:pos="9016"/>
        </w:tabs>
        <w:spacing w:after="100" w:line="360" w:lineRule="auto"/>
        <w:rPr>
          <w:sz w:val="24"/>
          <w:szCs w:val="24"/>
        </w:rPr>
      </w:pPr>
      <w:r>
        <w:rPr>
          <w:sz w:val="24"/>
          <w:szCs w:val="24"/>
        </w:rPr>
        <w:t xml:space="preserve">Beech, H. and McGill, R. M. (2020), </w:t>
      </w:r>
      <w:r>
        <w:rPr>
          <w:i/>
          <w:iCs/>
          <w:sz w:val="24"/>
          <w:szCs w:val="24"/>
        </w:rPr>
        <w:t xml:space="preserve">60-Second CPD: 239 Ideas for Busy Teachers. </w:t>
      </w:r>
      <w:r>
        <w:rPr>
          <w:sz w:val="24"/>
          <w:szCs w:val="24"/>
        </w:rPr>
        <w:t>Melton, Woodbridge: John Catt Educational Ltd.</w:t>
      </w:r>
    </w:p>
    <w:p w14:paraId="14262EF5" w14:textId="77777777" w:rsidR="00D03C68" w:rsidRDefault="00D96AD0">
      <w:pPr>
        <w:spacing w:line="480" w:lineRule="auto"/>
        <w:rPr>
          <w:sz w:val="24"/>
          <w:szCs w:val="24"/>
        </w:rPr>
      </w:pPr>
      <w:proofErr w:type="spellStart"/>
      <w:r>
        <w:rPr>
          <w:sz w:val="24"/>
          <w:szCs w:val="24"/>
        </w:rPr>
        <w:t>Biggam</w:t>
      </w:r>
      <w:proofErr w:type="spellEnd"/>
      <w:r>
        <w:rPr>
          <w:sz w:val="24"/>
          <w:szCs w:val="24"/>
        </w:rPr>
        <w:t xml:space="preserve">, J. (2008) </w:t>
      </w:r>
      <w:r>
        <w:rPr>
          <w:i/>
          <w:iCs/>
          <w:sz w:val="24"/>
          <w:szCs w:val="24"/>
        </w:rPr>
        <w:t xml:space="preserve">Succeeding with your </w:t>
      </w:r>
      <w:proofErr w:type="gramStart"/>
      <w:r>
        <w:rPr>
          <w:i/>
          <w:iCs/>
          <w:sz w:val="24"/>
          <w:szCs w:val="24"/>
        </w:rPr>
        <w:t>Masters</w:t>
      </w:r>
      <w:proofErr w:type="gramEnd"/>
      <w:r>
        <w:rPr>
          <w:i/>
          <w:iCs/>
          <w:sz w:val="24"/>
          <w:szCs w:val="24"/>
        </w:rPr>
        <w:t xml:space="preserve"> Dissertation: A Practical Step by Step Handbook. </w:t>
      </w:r>
      <w:r>
        <w:rPr>
          <w:sz w:val="24"/>
          <w:szCs w:val="24"/>
        </w:rPr>
        <w:t>Buckingham, England: McGraw-Hill Education.</w:t>
      </w:r>
    </w:p>
    <w:p w14:paraId="14262EF6" w14:textId="77777777" w:rsidR="00D03C68" w:rsidRDefault="00D96AD0">
      <w:pPr>
        <w:spacing w:line="480" w:lineRule="auto"/>
        <w:rPr>
          <w:sz w:val="24"/>
          <w:szCs w:val="24"/>
        </w:rPr>
      </w:pPr>
      <w:r>
        <w:rPr>
          <w:sz w:val="24"/>
          <w:szCs w:val="24"/>
        </w:rPr>
        <w:lastRenderedPageBreak/>
        <w:t xml:space="preserve"> Brown, D., and Fallin, L. (</w:t>
      </w:r>
      <w:proofErr w:type="gramStart"/>
      <w:r>
        <w:rPr>
          <w:sz w:val="24"/>
          <w:szCs w:val="24"/>
        </w:rPr>
        <w:t>2019) ‘</w:t>
      </w:r>
      <w:proofErr w:type="gramEnd"/>
      <w:r>
        <w:rPr>
          <w:sz w:val="24"/>
          <w:szCs w:val="24"/>
        </w:rPr>
        <w:t>Literature Review</w:t>
      </w:r>
      <w:proofErr w:type="gramStart"/>
      <w:r>
        <w:rPr>
          <w:sz w:val="24"/>
          <w:szCs w:val="24"/>
        </w:rPr>
        <w:t>’,  in</w:t>
      </w:r>
      <w:proofErr w:type="gramEnd"/>
      <w:r>
        <w:rPr>
          <w:sz w:val="24"/>
          <w:szCs w:val="24"/>
        </w:rPr>
        <w:t xml:space="preserve"> Opie, C. and Brown. D. (eds) </w:t>
      </w:r>
      <w:r>
        <w:rPr>
          <w:i/>
          <w:iCs/>
          <w:sz w:val="24"/>
          <w:szCs w:val="24"/>
        </w:rPr>
        <w:t>Getting Started in Your Educational Research</w:t>
      </w:r>
      <w:r>
        <w:rPr>
          <w:sz w:val="24"/>
          <w:szCs w:val="24"/>
        </w:rPr>
        <w:t>. London, England: SAGE Publications, pp. 55-76.</w:t>
      </w:r>
    </w:p>
    <w:p w14:paraId="14262EF7" w14:textId="77777777" w:rsidR="00D03C68" w:rsidRDefault="00D96AD0">
      <w:pPr>
        <w:spacing w:line="480" w:lineRule="auto"/>
        <w:rPr>
          <w:sz w:val="24"/>
          <w:szCs w:val="24"/>
        </w:rPr>
      </w:pPr>
      <w:r>
        <w:rPr>
          <w:sz w:val="24"/>
          <w:szCs w:val="24"/>
        </w:rPr>
        <w:t xml:space="preserve">Bryman, A. (2016) </w:t>
      </w:r>
      <w:r>
        <w:rPr>
          <w:i/>
          <w:iCs/>
          <w:sz w:val="24"/>
          <w:szCs w:val="24"/>
        </w:rPr>
        <w:t>Social Research Methods</w:t>
      </w:r>
      <w:r>
        <w:rPr>
          <w:sz w:val="24"/>
          <w:szCs w:val="24"/>
        </w:rPr>
        <w:t xml:space="preserve">. 5th </w:t>
      </w:r>
      <w:proofErr w:type="spellStart"/>
      <w:proofErr w:type="gramStart"/>
      <w:r>
        <w:rPr>
          <w:sz w:val="24"/>
          <w:szCs w:val="24"/>
        </w:rPr>
        <w:t>edn</w:t>
      </w:r>
      <w:proofErr w:type="spellEnd"/>
      <w:proofErr w:type="gramEnd"/>
      <w:r>
        <w:rPr>
          <w:sz w:val="24"/>
          <w:szCs w:val="24"/>
        </w:rPr>
        <w:t>. Oxford, United Kingdom: Oxford University Press.</w:t>
      </w:r>
    </w:p>
    <w:p w14:paraId="14262EF8" w14:textId="77777777" w:rsidR="00D03C68" w:rsidRDefault="00D96AD0">
      <w:pPr>
        <w:tabs>
          <w:tab w:val="right" w:pos="9016"/>
        </w:tabs>
        <w:spacing w:line="480" w:lineRule="auto"/>
        <w:rPr>
          <w:sz w:val="24"/>
          <w:szCs w:val="24"/>
        </w:rPr>
      </w:pPr>
      <w:r>
        <w:rPr>
          <w:sz w:val="24"/>
          <w:szCs w:val="24"/>
        </w:rPr>
        <w:t>Buck, A. (2018), Leadership Matters 3.0. Melton, Woodbridge: John Catt Educational Ltd.</w:t>
      </w:r>
    </w:p>
    <w:p w14:paraId="14262EF9" w14:textId="77777777" w:rsidR="00D03C68" w:rsidRDefault="00D96AD0">
      <w:pPr>
        <w:spacing w:line="480" w:lineRule="auto"/>
        <w:rPr>
          <w:sz w:val="24"/>
          <w:szCs w:val="24"/>
        </w:rPr>
      </w:pPr>
      <w:r>
        <w:rPr>
          <w:sz w:val="24"/>
          <w:szCs w:val="24"/>
        </w:rPr>
        <w:t xml:space="preserve">Chapman, S., Beauchamp, G. and Griffiths, M. (2025) ‘Secondary school teachers' perceptions of the shared creative processes and the potential role of technology in the expressive arts’, </w:t>
      </w:r>
      <w:r>
        <w:rPr>
          <w:i/>
          <w:iCs/>
          <w:sz w:val="24"/>
          <w:szCs w:val="24"/>
        </w:rPr>
        <w:t>The Curriculum Journal</w:t>
      </w:r>
      <w:r>
        <w:rPr>
          <w:sz w:val="24"/>
          <w:szCs w:val="24"/>
        </w:rPr>
        <w:t xml:space="preserve">, 36(1), pp. 52–65. Available at: </w:t>
      </w:r>
      <w:hyperlink r:id="rId12">
        <w:r>
          <w:rPr>
            <w:color w:val="1155CC"/>
            <w:sz w:val="24"/>
            <w:szCs w:val="24"/>
            <w:u w:val="single"/>
          </w:rPr>
          <w:t>https://bera-journals.onlinelibrary.wiley.com/doi/full/10.1002/curj.259</w:t>
        </w:r>
      </w:hyperlink>
      <w:r>
        <w:rPr>
          <w:sz w:val="24"/>
          <w:szCs w:val="24"/>
        </w:rPr>
        <w:t xml:space="preserve"> </w:t>
      </w:r>
    </w:p>
    <w:p w14:paraId="14262EFA" w14:textId="77777777" w:rsidR="00D03C68" w:rsidRDefault="00D96AD0">
      <w:pPr>
        <w:tabs>
          <w:tab w:val="right" w:pos="9016"/>
        </w:tabs>
        <w:spacing w:after="100" w:line="480" w:lineRule="auto"/>
        <w:rPr>
          <w:sz w:val="24"/>
          <w:szCs w:val="24"/>
        </w:rPr>
      </w:pPr>
      <w:r>
        <w:rPr>
          <w:sz w:val="24"/>
          <w:szCs w:val="24"/>
        </w:rPr>
        <w:t xml:space="preserve">Donaldson, G. (2015) </w:t>
      </w:r>
      <w:r>
        <w:rPr>
          <w:i/>
          <w:iCs/>
          <w:sz w:val="24"/>
          <w:szCs w:val="24"/>
        </w:rPr>
        <w:t>Successful futures: Independent review of curriculum and assessment arrangements in Wales</w:t>
      </w:r>
      <w:r>
        <w:rPr>
          <w:sz w:val="24"/>
          <w:szCs w:val="24"/>
        </w:rPr>
        <w:t xml:space="preserve">. Available at: </w:t>
      </w:r>
      <w:hyperlink r:id="rId13">
        <w:r>
          <w:rPr>
            <w:color w:val="1155CC"/>
            <w:sz w:val="24"/>
            <w:szCs w:val="24"/>
            <w:u w:val="single"/>
          </w:rPr>
          <w:t>https://www.gov.wales/sites/default/files/publications/2018-03/successful-futures.pdf</w:t>
        </w:r>
      </w:hyperlink>
      <w:r>
        <w:rPr>
          <w:sz w:val="24"/>
          <w:szCs w:val="24"/>
        </w:rPr>
        <w:t xml:space="preserve"> (Accessed: 18 January 2026)</w:t>
      </w:r>
    </w:p>
    <w:p w14:paraId="14262EFB" w14:textId="77777777" w:rsidR="00D03C68" w:rsidRDefault="00D96AD0">
      <w:pPr>
        <w:tabs>
          <w:tab w:val="right" w:pos="9016"/>
        </w:tabs>
        <w:spacing w:after="100" w:line="480" w:lineRule="auto"/>
        <w:rPr>
          <w:sz w:val="24"/>
          <w:szCs w:val="24"/>
        </w:rPr>
      </w:pPr>
      <w:r>
        <w:rPr>
          <w:sz w:val="24"/>
          <w:szCs w:val="24"/>
        </w:rPr>
        <w:t xml:space="preserve">Donaldson, G (2010) </w:t>
      </w:r>
      <w:r>
        <w:rPr>
          <w:i/>
          <w:iCs/>
          <w:sz w:val="24"/>
          <w:szCs w:val="24"/>
        </w:rPr>
        <w:t xml:space="preserve">Teaching Scotland’s Future: Report of a review of teacher education in Scotland. </w:t>
      </w:r>
      <w:r>
        <w:rPr>
          <w:sz w:val="24"/>
          <w:szCs w:val="24"/>
        </w:rPr>
        <w:t xml:space="preserve">Available at: </w:t>
      </w:r>
      <w:hyperlink r:id="rId14">
        <w:r>
          <w:rPr>
            <w:color w:val="1155CC"/>
            <w:sz w:val="24"/>
            <w:szCs w:val="24"/>
            <w:u w:val="single"/>
          </w:rPr>
          <w:t>https://dera.ioe.ac.uk/id/eprint/2178/7/0110852_Redacted.pdf</w:t>
        </w:r>
      </w:hyperlink>
      <w:r>
        <w:rPr>
          <w:sz w:val="24"/>
          <w:szCs w:val="24"/>
        </w:rPr>
        <w:t xml:space="preserve"> (Accessed: 18 January 2026)</w:t>
      </w:r>
    </w:p>
    <w:p w14:paraId="14262EFC" w14:textId="77777777" w:rsidR="00D03C68" w:rsidRDefault="00D96AD0">
      <w:pPr>
        <w:spacing w:line="480" w:lineRule="auto"/>
        <w:rPr>
          <w:sz w:val="24"/>
          <w:szCs w:val="24"/>
        </w:rPr>
      </w:pPr>
      <w:r>
        <w:rPr>
          <w:sz w:val="24"/>
          <w:szCs w:val="24"/>
        </w:rPr>
        <w:t xml:space="preserve">Drury, H. (2018) </w:t>
      </w:r>
      <w:r>
        <w:rPr>
          <w:i/>
          <w:iCs/>
          <w:sz w:val="24"/>
          <w:szCs w:val="24"/>
        </w:rPr>
        <w:t>How to Teach Mathematics for Mastery.</w:t>
      </w:r>
      <w:r>
        <w:rPr>
          <w:sz w:val="24"/>
          <w:szCs w:val="24"/>
        </w:rPr>
        <w:t xml:space="preserve"> Oxford: Oxford University Press.</w:t>
      </w:r>
    </w:p>
    <w:p w14:paraId="14262EFD" w14:textId="77777777" w:rsidR="00D03C68" w:rsidRDefault="00D96AD0">
      <w:pPr>
        <w:spacing w:line="480" w:lineRule="auto"/>
        <w:rPr>
          <w:sz w:val="24"/>
          <w:szCs w:val="24"/>
        </w:rPr>
      </w:pPr>
      <w:r>
        <w:rPr>
          <w:sz w:val="24"/>
          <w:szCs w:val="24"/>
        </w:rPr>
        <w:t xml:space="preserve">Durden-Myers, E.J., Evans, E., Davies, M., Campbell, J. and Swaithes, W. (2025) ‘Evaluating the implementation of curriculum reform: the perspectives of Welsh teachers </w:t>
      </w:r>
      <w:r>
        <w:rPr>
          <w:sz w:val="24"/>
          <w:szCs w:val="24"/>
        </w:rPr>
        <w:lastRenderedPageBreak/>
        <w:t xml:space="preserve">navigating the new health and wellbeing area of learning experience’, </w:t>
      </w:r>
      <w:r>
        <w:rPr>
          <w:i/>
          <w:iCs/>
          <w:sz w:val="24"/>
          <w:szCs w:val="24"/>
        </w:rPr>
        <w:t>Journal of Education for Teaching</w:t>
      </w:r>
      <w:r>
        <w:rPr>
          <w:sz w:val="24"/>
          <w:szCs w:val="24"/>
        </w:rPr>
        <w:t xml:space="preserve">, 51(1), pp. 6–27. Available at: </w:t>
      </w:r>
      <w:hyperlink r:id="rId15">
        <w:r>
          <w:rPr>
            <w:color w:val="1155CC"/>
            <w:sz w:val="24"/>
            <w:szCs w:val="24"/>
            <w:u w:val="single"/>
          </w:rPr>
          <w:t>https://www.tandfonline.com/doi/full/10.1080/02607476.2024.2371308</w:t>
        </w:r>
      </w:hyperlink>
      <w:r>
        <w:rPr>
          <w:sz w:val="24"/>
          <w:szCs w:val="24"/>
        </w:rPr>
        <w:t xml:space="preserve"> </w:t>
      </w:r>
    </w:p>
    <w:p w14:paraId="14262EFE" w14:textId="77777777" w:rsidR="00D03C68" w:rsidRDefault="00D96AD0">
      <w:pPr>
        <w:tabs>
          <w:tab w:val="right" w:pos="9016"/>
        </w:tabs>
        <w:spacing w:after="100" w:line="480" w:lineRule="auto"/>
        <w:rPr>
          <w:sz w:val="24"/>
          <w:szCs w:val="24"/>
        </w:rPr>
      </w:pPr>
      <w:r>
        <w:rPr>
          <w:sz w:val="24"/>
          <w:szCs w:val="24"/>
        </w:rPr>
        <w:t xml:space="preserve">Education Endowment Fund [EEF]. (2024) A School’s Guide to Implementation: Guidance Report. Available at: </w:t>
      </w:r>
      <w:hyperlink r:id="rId16">
        <w:r>
          <w:rPr>
            <w:color w:val="1155CC"/>
            <w:sz w:val="24"/>
            <w:szCs w:val="24"/>
            <w:u w:val="single"/>
          </w:rPr>
          <w:t>https://d2tic4wvo1iusb.cloudfront.net/production/eef-guidance-reports/implementation/a_schools_guide_to_implementation.pdf</w:t>
        </w:r>
      </w:hyperlink>
      <w:r>
        <w:rPr>
          <w:sz w:val="24"/>
          <w:szCs w:val="24"/>
        </w:rPr>
        <w:t xml:space="preserve"> (Accessed: 18 January 2026)</w:t>
      </w:r>
    </w:p>
    <w:p w14:paraId="14262EFF" w14:textId="77777777" w:rsidR="00D03C68" w:rsidRDefault="00D96AD0">
      <w:pPr>
        <w:tabs>
          <w:tab w:val="right" w:pos="9016"/>
        </w:tabs>
        <w:spacing w:after="100" w:line="480" w:lineRule="auto"/>
        <w:rPr>
          <w:sz w:val="24"/>
          <w:szCs w:val="24"/>
        </w:rPr>
      </w:pPr>
      <w:proofErr w:type="spellStart"/>
      <w:r>
        <w:rPr>
          <w:sz w:val="24"/>
          <w:szCs w:val="24"/>
        </w:rPr>
        <w:t>Embling</w:t>
      </w:r>
      <w:proofErr w:type="spellEnd"/>
      <w:r>
        <w:rPr>
          <w:sz w:val="24"/>
          <w:szCs w:val="24"/>
        </w:rPr>
        <w:t xml:space="preserve">, R., O’Donnell, C., Moore, G., &amp; Long, S. J. (2025) Secondary schools' preparation for roll-out of Curriculum for Wales: Case studies of approaches to health and well-being in the context of national education system reform. </w:t>
      </w:r>
      <w:r>
        <w:rPr>
          <w:i/>
          <w:iCs/>
          <w:sz w:val="24"/>
          <w:szCs w:val="24"/>
        </w:rPr>
        <w:t>The Curriculum Journal</w:t>
      </w:r>
      <w:r>
        <w:rPr>
          <w:sz w:val="24"/>
          <w:szCs w:val="24"/>
        </w:rPr>
        <w:t xml:space="preserve">, pp. 1–18. Available at: </w:t>
      </w:r>
      <w:hyperlink r:id="rId17">
        <w:r>
          <w:rPr>
            <w:color w:val="1155CC"/>
            <w:sz w:val="24"/>
            <w:szCs w:val="24"/>
            <w:u w:val="single"/>
          </w:rPr>
          <w:t>https://doi.org/10.1002/curj.342</w:t>
        </w:r>
      </w:hyperlink>
      <w:r>
        <w:rPr>
          <w:sz w:val="24"/>
          <w:szCs w:val="24"/>
        </w:rPr>
        <w:t xml:space="preserve"> </w:t>
      </w:r>
    </w:p>
    <w:p w14:paraId="14262F00" w14:textId="77777777" w:rsidR="00D03C68" w:rsidRDefault="00D96AD0">
      <w:pPr>
        <w:spacing w:line="480" w:lineRule="auto"/>
        <w:rPr>
          <w:sz w:val="24"/>
          <w:szCs w:val="24"/>
        </w:rPr>
      </w:pPr>
      <w:proofErr w:type="spellStart"/>
      <w:r>
        <w:rPr>
          <w:sz w:val="24"/>
          <w:szCs w:val="24"/>
        </w:rPr>
        <w:t>Estyn</w:t>
      </w:r>
      <w:proofErr w:type="spellEnd"/>
      <w:r>
        <w:rPr>
          <w:sz w:val="24"/>
          <w:szCs w:val="24"/>
        </w:rPr>
        <w:t xml:space="preserve"> (2025) </w:t>
      </w:r>
      <w:r>
        <w:rPr>
          <w:i/>
          <w:iCs/>
          <w:sz w:val="24"/>
          <w:szCs w:val="24"/>
        </w:rPr>
        <w:t>Secondary sector report 2023-2024</w:t>
      </w:r>
      <w:r>
        <w:rPr>
          <w:sz w:val="24"/>
          <w:szCs w:val="24"/>
        </w:rPr>
        <w:t xml:space="preserve">. Available at: </w:t>
      </w:r>
      <w:hyperlink r:id="rId18">
        <w:r>
          <w:rPr>
            <w:color w:val="1155CC"/>
            <w:sz w:val="24"/>
            <w:szCs w:val="24"/>
            <w:u w:val="single"/>
          </w:rPr>
          <w:t>https://annual-report.estyn.gov.wales/2024-2/secondary/</w:t>
        </w:r>
      </w:hyperlink>
      <w:r>
        <w:rPr>
          <w:sz w:val="24"/>
          <w:szCs w:val="24"/>
        </w:rPr>
        <w:t xml:space="preserve"> (Accessed: 4 December 2025). </w:t>
      </w:r>
    </w:p>
    <w:p w14:paraId="14262F01" w14:textId="77777777" w:rsidR="00D03C68" w:rsidRDefault="00D96AD0">
      <w:pPr>
        <w:spacing w:line="480" w:lineRule="auto"/>
        <w:rPr>
          <w:sz w:val="24"/>
          <w:szCs w:val="24"/>
        </w:rPr>
      </w:pPr>
      <w:r>
        <w:rPr>
          <w:sz w:val="24"/>
          <w:szCs w:val="24"/>
        </w:rPr>
        <w:t>Evans, G. (</w:t>
      </w:r>
      <w:proofErr w:type="gramStart"/>
      <w:r>
        <w:rPr>
          <w:sz w:val="24"/>
          <w:szCs w:val="24"/>
        </w:rPr>
        <w:t>2023) ‘</w:t>
      </w:r>
      <w:proofErr w:type="gramEnd"/>
      <w:r>
        <w:rPr>
          <w:sz w:val="24"/>
          <w:szCs w:val="24"/>
        </w:rPr>
        <w:t xml:space="preserve">A new dawn or false hope? Exploring the early implementation of Curriculum for Wales’, </w:t>
      </w:r>
      <w:r>
        <w:rPr>
          <w:i/>
          <w:iCs/>
          <w:sz w:val="24"/>
          <w:szCs w:val="24"/>
        </w:rPr>
        <w:t>Education Inquiry</w:t>
      </w:r>
      <w:r>
        <w:rPr>
          <w:sz w:val="24"/>
          <w:szCs w:val="24"/>
        </w:rPr>
        <w:t xml:space="preserve">, pp. 1–15. Available at: </w:t>
      </w:r>
      <w:hyperlink r:id="rId19">
        <w:r>
          <w:rPr>
            <w:color w:val="1155CC"/>
            <w:sz w:val="24"/>
            <w:szCs w:val="24"/>
            <w:u w:val="single"/>
          </w:rPr>
          <w:t>https://doi.org/10.1080/20004508.2023.2297506</w:t>
        </w:r>
      </w:hyperlink>
      <w:r>
        <w:rPr>
          <w:sz w:val="24"/>
          <w:szCs w:val="24"/>
        </w:rPr>
        <w:t xml:space="preserve"> </w:t>
      </w:r>
    </w:p>
    <w:p w14:paraId="14262F02" w14:textId="77777777" w:rsidR="00D03C68" w:rsidRDefault="00D96AD0">
      <w:pPr>
        <w:tabs>
          <w:tab w:val="right" w:pos="9016"/>
        </w:tabs>
        <w:spacing w:after="100" w:line="480" w:lineRule="auto"/>
        <w:rPr>
          <w:sz w:val="24"/>
          <w:szCs w:val="24"/>
        </w:rPr>
      </w:pPr>
      <w:r>
        <w:rPr>
          <w:sz w:val="24"/>
          <w:szCs w:val="24"/>
        </w:rPr>
        <w:t xml:space="preserve">Fullan, M., </w:t>
      </w:r>
      <w:proofErr w:type="spellStart"/>
      <w:r>
        <w:rPr>
          <w:sz w:val="24"/>
          <w:szCs w:val="24"/>
        </w:rPr>
        <w:t>Cuttress</w:t>
      </w:r>
      <w:proofErr w:type="spellEnd"/>
      <w:r>
        <w:rPr>
          <w:sz w:val="24"/>
          <w:szCs w:val="24"/>
        </w:rPr>
        <w:t>, C., and Kilcher, A. (2009</w:t>
      </w:r>
      <w:proofErr w:type="gramStart"/>
      <w:r>
        <w:rPr>
          <w:sz w:val="24"/>
          <w:szCs w:val="24"/>
        </w:rPr>
        <w:t>), ‘</w:t>
      </w:r>
      <w:proofErr w:type="gramEnd"/>
      <w:r>
        <w:rPr>
          <w:sz w:val="24"/>
          <w:szCs w:val="24"/>
        </w:rPr>
        <w:t>8 Forces for Leaders of Change’ in Fullan, M. (ed.), The Challenge of Change. 2nd ed. California, USA: Corwin. pp. 9 – 20.</w:t>
      </w:r>
    </w:p>
    <w:p w14:paraId="14262F03" w14:textId="77777777" w:rsidR="00D03C68" w:rsidRDefault="00D96AD0">
      <w:pPr>
        <w:tabs>
          <w:tab w:val="right" w:pos="9016"/>
        </w:tabs>
        <w:spacing w:after="100" w:line="480" w:lineRule="auto"/>
        <w:rPr>
          <w:sz w:val="24"/>
          <w:szCs w:val="24"/>
        </w:rPr>
      </w:pPr>
      <w:r>
        <w:rPr>
          <w:sz w:val="24"/>
          <w:szCs w:val="24"/>
        </w:rPr>
        <w:t xml:space="preserve"> Fullan, M. (2003) </w:t>
      </w:r>
      <w:r>
        <w:rPr>
          <w:i/>
          <w:iCs/>
          <w:sz w:val="24"/>
          <w:szCs w:val="24"/>
        </w:rPr>
        <w:t xml:space="preserve">Change Forces with </w:t>
      </w:r>
      <w:proofErr w:type="gramStart"/>
      <w:r>
        <w:rPr>
          <w:i/>
          <w:iCs/>
          <w:sz w:val="24"/>
          <w:szCs w:val="24"/>
        </w:rPr>
        <w:t>a Vengeance</w:t>
      </w:r>
      <w:proofErr w:type="gramEnd"/>
      <w:r>
        <w:rPr>
          <w:i/>
          <w:iCs/>
          <w:sz w:val="24"/>
          <w:szCs w:val="24"/>
        </w:rPr>
        <w:t xml:space="preserve">. </w:t>
      </w:r>
      <w:r>
        <w:rPr>
          <w:sz w:val="24"/>
          <w:szCs w:val="24"/>
        </w:rPr>
        <w:t xml:space="preserve">London: </w:t>
      </w:r>
      <w:proofErr w:type="spellStart"/>
      <w:r>
        <w:rPr>
          <w:sz w:val="24"/>
          <w:szCs w:val="24"/>
        </w:rPr>
        <w:t>RoutledgeFalmer</w:t>
      </w:r>
      <w:proofErr w:type="spellEnd"/>
    </w:p>
    <w:p w14:paraId="14262F04" w14:textId="77777777" w:rsidR="00D03C68" w:rsidRDefault="00D96AD0">
      <w:pPr>
        <w:spacing w:line="480" w:lineRule="auto"/>
        <w:rPr>
          <w:sz w:val="24"/>
          <w:szCs w:val="24"/>
        </w:rPr>
      </w:pPr>
      <w:r>
        <w:rPr>
          <w:sz w:val="24"/>
          <w:szCs w:val="24"/>
        </w:rPr>
        <w:t>Gatley, J. (</w:t>
      </w:r>
      <w:proofErr w:type="gramStart"/>
      <w:r>
        <w:rPr>
          <w:sz w:val="24"/>
          <w:szCs w:val="24"/>
        </w:rPr>
        <w:t>2020) ‘</w:t>
      </w:r>
      <w:proofErr w:type="gramEnd"/>
      <w:r>
        <w:rPr>
          <w:sz w:val="24"/>
          <w:szCs w:val="24"/>
        </w:rPr>
        <w:t xml:space="preserve">Can the New Welsh Curriculum achieve its purposes?’, </w:t>
      </w:r>
      <w:r>
        <w:rPr>
          <w:i/>
          <w:iCs/>
          <w:sz w:val="24"/>
          <w:szCs w:val="24"/>
        </w:rPr>
        <w:t>The Curriculum Journal</w:t>
      </w:r>
      <w:r>
        <w:rPr>
          <w:sz w:val="24"/>
          <w:szCs w:val="24"/>
        </w:rPr>
        <w:t xml:space="preserve">, 31: 202-214. Available at: </w:t>
      </w:r>
      <w:hyperlink r:id="rId20">
        <w:r>
          <w:rPr>
            <w:color w:val="1155CC"/>
            <w:sz w:val="24"/>
            <w:szCs w:val="24"/>
            <w:u w:val="single"/>
          </w:rPr>
          <w:t>https://doi.org/10.1002/curj.26</w:t>
        </w:r>
      </w:hyperlink>
      <w:r>
        <w:rPr>
          <w:sz w:val="24"/>
          <w:szCs w:val="24"/>
        </w:rPr>
        <w:t xml:space="preserve"> </w:t>
      </w:r>
    </w:p>
    <w:p w14:paraId="14262F05" w14:textId="77777777" w:rsidR="00D03C68" w:rsidRDefault="00D96AD0">
      <w:pPr>
        <w:spacing w:line="480" w:lineRule="auto"/>
        <w:rPr>
          <w:sz w:val="24"/>
          <w:szCs w:val="24"/>
        </w:rPr>
      </w:pPr>
      <w:r>
        <w:rPr>
          <w:sz w:val="24"/>
          <w:szCs w:val="24"/>
        </w:rPr>
        <w:lastRenderedPageBreak/>
        <w:t xml:space="preserve">Hughes, S., and Lewis, H. (2020), Tensions in current curriculum reform and the development of teachers’ professional autonomy. </w:t>
      </w:r>
      <w:r>
        <w:rPr>
          <w:i/>
          <w:iCs/>
          <w:sz w:val="24"/>
          <w:szCs w:val="24"/>
        </w:rPr>
        <w:t>The Curriculum Journal</w:t>
      </w:r>
      <w:r>
        <w:rPr>
          <w:sz w:val="24"/>
          <w:szCs w:val="24"/>
        </w:rPr>
        <w:t xml:space="preserve">, vol. 31, pp. 290-302. Available at: </w:t>
      </w:r>
      <w:hyperlink r:id="rId21">
        <w:r>
          <w:rPr>
            <w:color w:val="1155CC"/>
            <w:sz w:val="24"/>
            <w:szCs w:val="24"/>
            <w:u w:val="single"/>
          </w:rPr>
          <w:t>https://doi.org/10.1002/curj.25</w:t>
        </w:r>
      </w:hyperlink>
      <w:r>
        <w:rPr>
          <w:sz w:val="24"/>
          <w:szCs w:val="24"/>
        </w:rPr>
        <w:t xml:space="preserve"> </w:t>
      </w:r>
    </w:p>
    <w:p w14:paraId="14262F06" w14:textId="77777777" w:rsidR="00D03C68" w:rsidRDefault="00D96AD0">
      <w:pPr>
        <w:spacing w:line="480" w:lineRule="auto"/>
        <w:rPr>
          <w:sz w:val="24"/>
          <w:szCs w:val="24"/>
        </w:rPr>
      </w:pPr>
      <w:r>
        <w:rPr>
          <w:sz w:val="24"/>
          <w:szCs w:val="24"/>
        </w:rPr>
        <w:t xml:space="preserve">Humes, W. (2023) ‘Scottish Education: A Crisis of Confidence and Trust’, </w:t>
      </w:r>
      <w:r>
        <w:rPr>
          <w:i/>
          <w:iCs/>
          <w:sz w:val="24"/>
          <w:szCs w:val="24"/>
        </w:rPr>
        <w:t>Forum for promoting 3-19 comprehensive education</w:t>
      </w:r>
      <w:r>
        <w:rPr>
          <w:sz w:val="24"/>
          <w:szCs w:val="24"/>
        </w:rPr>
        <w:t xml:space="preserve">, 65(1), pp. 19–29. Available at: </w:t>
      </w:r>
      <w:hyperlink r:id="rId22">
        <w:r>
          <w:rPr>
            <w:color w:val="1155CC"/>
            <w:sz w:val="24"/>
            <w:szCs w:val="24"/>
            <w:u w:val="single"/>
          </w:rPr>
          <w:t>https://journals.lwbooks.co.uk/forum/vol-65-issue-1/abstract-9698/</w:t>
        </w:r>
      </w:hyperlink>
      <w:r>
        <w:rPr>
          <w:sz w:val="24"/>
          <w:szCs w:val="24"/>
        </w:rPr>
        <w:t xml:space="preserve"> </w:t>
      </w:r>
    </w:p>
    <w:p w14:paraId="14262F07" w14:textId="77777777" w:rsidR="00D03C68" w:rsidRDefault="00D96AD0">
      <w:pPr>
        <w:tabs>
          <w:tab w:val="right" w:pos="9016"/>
        </w:tabs>
        <w:spacing w:after="100" w:line="480" w:lineRule="auto"/>
        <w:rPr>
          <w:sz w:val="24"/>
          <w:szCs w:val="24"/>
        </w:rPr>
      </w:pPr>
      <w:r>
        <w:rPr>
          <w:sz w:val="24"/>
          <w:szCs w:val="24"/>
        </w:rPr>
        <w:t xml:space="preserve">Hwb (2022a) </w:t>
      </w:r>
      <w:r>
        <w:rPr>
          <w:i/>
          <w:iCs/>
          <w:sz w:val="24"/>
          <w:szCs w:val="24"/>
        </w:rPr>
        <w:t>Curriculum for Wales and the development of a curriculum for funded non-maintained nursery settings</w:t>
      </w:r>
      <w:r>
        <w:rPr>
          <w:sz w:val="24"/>
          <w:szCs w:val="24"/>
        </w:rPr>
        <w:t xml:space="preserve">. Available at: </w:t>
      </w:r>
      <w:hyperlink r:id="rId23">
        <w:r>
          <w:rPr>
            <w:color w:val="1155CC"/>
            <w:sz w:val="24"/>
            <w:szCs w:val="24"/>
            <w:u w:val="single"/>
          </w:rPr>
          <w:t>https://hwb.gov.wales/playlists/view/b45f4305-945e-40cd-b2fe-0c467346109f/en/26</w:t>
        </w:r>
      </w:hyperlink>
      <w:r>
        <w:rPr>
          <w:sz w:val="24"/>
          <w:szCs w:val="24"/>
        </w:rPr>
        <w:t xml:space="preserve"> (Accessed: 4 December 2025).</w:t>
      </w:r>
    </w:p>
    <w:p w14:paraId="14262F08" w14:textId="77777777" w:rsidR="00D03C68" w:rsidRDefault="00D96AD0">
      <w:pPr>
        <w:tabs>
          <w:tab w:val="right" w:pos="9016"/>
        </w:tabs>
        <w:spacing w:after="100" w:line="480" w:lineRule="auto"/>
        <w:rPr>
          <w:sz w:val="24"/>
          <w:szCs w:val="24"/>
        </w:rPr>
      </w:pPr>
      <w:r>
        <w:rPr>
          <w:sz w:val="24"/>
          <w:szCs w:val="24"/>
        </w:rPr>
        <w:t xml:space="preserve">Hwb (2022b) </w:t>
      </w:r>
      <w:r>
        <w:rPr>
          <w:i/>
          <w:iCs/>
          <w:sz w:val="24"/>
          <w:szCs w:val="24"/>
        </w:rPr>
        <w:t>Curriculum for Wales</w:t>
      </w:r>
      <w:r>
        <w:rPr>
          <w:sz w:val="24"/>
          <w:szCs w:val="24"/>
        </w:rPr>
        <w:t xml:space="preserve">. Available at: </w:t>
      </w:r>
      <w:hyperlink r:id="rId24">
        <w:r>
          <w:rPr>
            <w:color w:val="1155CC"/>
            <w:sz w:val="24"/>
            <w:szCs w:val="24"/>
            <w:u w:val="single"/>
          </w:rPr>
          <w:t>https://hwb.gov.wales/curriculum-for-wales</w:t>
        </w:r>
      </w:hyperlink>
      <w:r>
        <w:rPr>
          <w:sz w:val="24"/>
          <w:szCs w:val="24"/>
        </w:rPr>
        <w:t xml:space="preserve"> (Accessed: 4 December 2025).</w:t>
      </w:r>
    </w:p>
    <w:p w14:paraId="14262F09" w14:textId="77777777" w:rsidR="00D03C68" w:rsidRDefault="00D96AD0">
      <w:pPr>
        <w:tabs>
          <w:tab w:val="right" w:pos="9016"/>
        </w:tabs>
        <w:spacing w:after="100" w:line="480" w:lineRule="auto"/>
        <w:rPr>
          <w:sz w:val="24"/>
          <w:szCs w:val="24"/>
        </w:rPr>
      </w:pPr>
      <w:r>
        <w:rPr>
          <w:sz w:val="24"/>
          <w:szCs w:val="24"/>
        </w:rPr>
        <w:t>Kilpatrick, J. (2023</w:t>
      </w:r>
      <w:proofErr w:type="gramStart"/>
      <w:r>
        <w:rPr>
          <w:sz w:val="24"/>
          <w:szCs w:val="24"/>
        </w:rPr>
        <w:t>), ‘</w:t>
      </w:r>
      <w:proofErr w:type="gramEnd"/>
      <w:r>
        <w:rPr>
          <w:sz w:val="24"/>
          <w:szCs w:val="24"/>
        </w:rPr>
        <w:t xml:space="preserve">School Mathematics: A Bipolar Subject’ in Shimizu, Y., and Vithal, R. (eds.) Mathematics Curriculum Reforms Around the World. Switzerland: Springer. pp. 23 - 38. </w:t>
      </w:r>
    </w:p>
    <w:p w14:paraId="14262F0A" w14:textId="77777777" w:rsidR="00D03C68" w:rsidRDefault="00D96AD0">
      <w:pPr>
        <w:spacing w:line="480" w:lineRule="auto"/>
        <w:rPr>
          <w:sz w:val="24"/>
          <w:szCs w:val="24"/>
        </w:rPr>
      </w:pPr>
      <w:r>
        <w:rPr>
          <w:sz w:val="24"/>
          <w:szCs w:val="24"/>
        </w:rPr>
        <w:t xml:space="preserve">Kumar, R. (2019) </w:t>
      </w:r>
      <w:r>
        <w:rPr>
          <w:i/>
          <w:iCs/>
          <w:sz w:val="24"/>
          <w:szCs w:val="24"/>
        </w:rPr>
        <w:t>Research Methodology</w:t>
      </w:r>
      <w:r>
        <w:rPr>
          <w:sz w:val="24"/>
          <w:szCs w:val="24"/>
        </w:rPr>
        <w:t xml:space="preserve">. 5th </w:t>
      </w:r>
      <w:proofErr w:type="spellStart"/>
      <w:proofErr w:type="gramStart"/>
      <w:r>
        <w:rPr>
          <w:sz w:val="24"/>
          <w:szCs w:val="24"/>
        </w:rPr>
        <w:t>edn</w:t>
      </w:r>
      <w:proofErr w:type="spellEnd"/>
      <w:proofErr w:type="gramEnd"/>
      <w:r>
        <w:rPr>
          <w:sz w:val="24"/>
          <w:szCs w:val="24"/>
        </w:rPr>
        <w:t>. London, England: SAGE Publications Ltd.</w:t>
      </w:r>
    </w:p>
    <w:p w14:paraId="14262F0B" w14:textId="77777777" w:rsidR="00D03C68" w:rsidRDefault="00D96AD0">
      <w:pPr>
        <w:spacing w:line="480" w:lineRule="auto"/>
        <w:rPr>
          <w:sz w:val="24"/>
          <w:szCs w:val="24"/>
        </w:rPr>
      </w:pPr>
      <w:r>
        <w:rPr>
          <w:sz w:val="24"/>
          <w:szCs w:val="24"/>
        </w:rPr>
        <w:t xml:space="preserve">Lyakhova, S., Joubert, M., Capraro, M.M. and Capraro, R.M. (2019) ‘Designing a curriculum based on four purposes: let mathematics speak for itself’, </w:t>
      </w:r>
      <w:r>
        <w:rPr>
          <w:i/>
          <w:iCs/>
          <w:sz w:val="24"/>
          <w:szCs w:val="24"/>
        </w:rPr>
        <w:t>Journal of Curriculum Studies</w:t>
      </w:r>
      <w:r>
        <w:rPr>
          <w:sz w:val="24"/>
          <w:szCs w:val="24"/>
        </w:rPr>
        <w:t>, 51(4), pp. 513–529. Available at:</w:t>
      </w:r>
      <w:hyperlink r:id="rId25">
        <w:r>
          <w:rPr>
            <w:color w:val="1155CC"/>
            <w:sz w:val="24"/>
            <w:szCs w:val="24"/>
            <w:u w:val="single"/>
          </w:rPr>
          <w:t>https://research-ebsco-com.ezproxy.uwtsd.ac.uk/c/onvpsy/viewer/pdf/paxeggms5z?route=details</w:t>
        </w:r>
      </w:hyperlink>
      <w:r>
        <w:rPr>
          <w:sz w:val="24"/>
          <w:szCs w:val="24"/>
        </w:rPr>
        <w:t xml:space="preserve"> </w:t>
      </w:r>
    </w:p>
    <w:p w14:paraId="14262F0C" w14:textId="77777777" w:rsidR="00D03C68" w:rsidRDefault="00D96AD0">
      <w:pPr>
        <w:tabs>
          <w:tab w:val="right" w:pos="9016"/>
        </w:tabs>
        <w:spacing w:after="100" w:line="360" w:lineRule="auto"/>
        <w:rPr>
          <w:sz w:val="24"/>
          <w:szCs w:val="24"/>
        </w:rPr>
      </w:pPr>
      <w:r>
        <w:rPr>
          <w:sz w:val="24"/>
          <w:szCs w:val="24"/>
        </w:rPr>
        <w:t xml:space="preserve">Mattock, P. (2019), Visible </w:t>
      </w:r>
      <w:proofErr w:type="spellStart"/>
      <w:r>
        <w:rPr>
          <w:sz w:val="24"/>
          <w:szCs w:val="24"/>
        </w:rPr>
        <w:t>Maths</w:t>
      </w:r>
      <w:proofErr w:type="spellEnd"/>
      <w:r>
        <w:rPr>
          <w:sz w:val="24"/>
          <w:szCs w:val="24"/>
        </w:rPr>
        <w:t>: Using representations and structure to enhance mathematics teaching in schools. Carmarthen: Crown House Publishing Ltd.</w:t>
      </w:r>
    </w:p>
    <w:p w14:paraId="14262F0D" w14:textId="77777777" w:rsidR="00D03C68" w:rsidRDefault="00D96AD0">
      <w:pPr>
        <w:tabs>
          <w:tab w:val="right" w:pos="9016"/>
        </w:tabs>
        <w:spacing w:after="100" w:line="360" w:lineRule="auto"/>
        <w:rPr>
          <w:sz w:val="24"/>
          <w:szCs w:val="24"/>
        </w:rPr>
      </w:pPr>
      <w:r>
        <w:rPr>
          <w:sz w:val="24"/>
          <w:szCs w:val="24"/>
        </w:rPr>
        <w:t xml:space="preserve">McCourt, M. (2019), </w:t>
      </w:r>
      <w:r>
        <w:rPr>
          <w:i/>
          <w:iCs/>
          <w:sz w:val="24"/>
          <w:szCs w:val="24"/>
        </w:rPr>
        <w:t>Teaching for Mastery</w:t>
      </w:r>
      <w:r>
        <w:rPr>
          <w:sz w:val="24"/>
          <w:szCs w:val="24"/>
        </w:rPr>
        <w:t xml:space="preserve">. Melton, Woodbridge: John Catt Educational Ltd. </w:t>
      </w:r>
    </w:p>
    <w:p w14:paraId="14262F0E" w14:textId="77777777" w:rsidR="00D03C68" w:rsidRDefault="00D96AD0">
      <w:pPr>
        <w:spacing w:line="480" w:lineRule="auto"/>
        <w:rPr>
          <w:sz w:val="24"/>
          <w:szCs w:val="24"/>
        </w:rPr>
      </w:pPr>
      <w:r>
        <w:rPr>
          <w:sz w:val="24"/>
          <w:szCs w:val="24"/>
        </w:rPr>
        <w:lastRenderedPageBreak/>
        <w:t xml:space="preserve">McDonald, P.A. (2016) ‘Curriculum for Excellence: A cross-sector investigation of Scottish </w:t>
      </w:r>
      <w:proofErr w:type="gramStart"/>
      <w:r>
        <w:rPr>
          <w:sz w:val="24"/>
          <w:szCs w:val="24"/>
        </w:rPr>
        <w:t>teachers</w:t>
      </w:r>
      <w:proofErr w:type="gramEnd"/>
      <w:r>
        <w:rPr>
          <w:sz w:val="24"/>
          <w:szCs w:val="24"/>
        </w:rPr>
        <w:t xml:space="preserve"> mathematical beliefs of problem solving’, </w:t>
      </w:r>
      <w:r>
        <w:rPr>
          <w:i/>
          <w:iCs/>
          <w:sz w:val="24"/>
          <w:szCs w:val="24"/>
        </w:rPr>
        <w:t>Education in the North</w:t>
      </w:r>
      <w:r>
        <w:rPr>
          <w:sz w:val="24"/>
          <w:szCs w:val="24"/>
        </w:rPr>
        <w:t xml:space="preserve">, 23(2), pp. 24–52. Available at: </w:t>
      </w:r>
      <w:hyperlink r:id="rId26">
        <w:r>
          <w:rPr>
            <w:color w:val="1155CC"/>
            <w:sz w:val="24"/>
            <w:szCs w:val="24"/>
            <w:u w:val="single"/>
          </w:rPr>
          <w:t>https://www.abdn.ac.uk/education/research/eitn/journal/archive/48/503/</w:t>
        </w:r>
      </w:hyperlink>
      <w:r>
        <w:rPr>
          <w:sz w:val="24"/>
          <w:szCs w:val="24"/>
        </w:rPr>
        <w:t xml:space="preserve"> </w:t>
      </w:r>
    </w:p>
    <w:p w14:paraId="14262F0F" w14:textId="77777777" w:rsidR="00D03C68" w:rsidRDefault="00D96AD0">
      <w:pPr>
        <w:spacing w:line="480" w:lineRule="auto"/>
        <w:rPr>
          <w:sz w:val="24"/>
          <w:szCs w:val="24"/>
        </w:rPr>
      </w:pPr>
      <w:r>
        <w:rPr>
          <w:sz w:val="24"/>
          <w:szCs w:val="24"/>
        </w:rPr>
        <w:t xml:space="preserve">McDonald, P.A. and Smith, J.M. (2020) ‘Improving mathematical learning in Scotland's Curriculum for Excellence through problem posing: an integrative review’, </w:t>
      </w:r>
      <w:r>
        <w:rPr>
          <w:i/>
          <w:iCs/>
          <w:sz w:val="24"/>
          <w:szCs w:val="24"/>
        </w:rPr>
        <w:t>Curriculum Journal</w:t>
      </w:r>
      <w:r>
        <w:rPr>
          <w:sz w:val="24"/>
          <w:szCs w:val="24"/>
        </w:rPr>
        <w:t xml:space="preserve">, 31(3), pp. 398–435. Available at: </w:t>
      </w:r>
      <w:hyperlink r:id="rId27">
        <w:r>
          <w:rPr>
            <w:color w:val="1155CC"/>
            <w:sz w:val="24"/>
            <w:szCs w:val="24"/>
            <w:u w:val="single"/>
          </w:rPr>
          <w:t>https://bera-journals.onlinelibrary.wiley.com/doi/abs/10.1002/curj.15</w:t>
        </w:r>
      </w:hyperlink>
      <w:r>
        <w:rPr>
          <w:sz w:val="24"/>
          <w:szCs w:val="24"/>
        </w:rPr>
        <w:t xml:space="preserve"> </w:t>
      </w:r>
    </w:p>
    <w:p w14:paraId="14262F10" w14:textId="77777777" w:rsidR="00D03C68" w:rsidRDefault="00D96AD0">
      <w:pPr>
        <w:tabs>
          <w:tab w:val="right" w:pos="9016"/>
        </w:tabs>
        <w:spacing w:after="100" w:line="360" w:lineRule="auto"/>
        <w:rPr>
          <w:sz w:val="24"/>
          <w:szCs w:val="24"/>
        </w:rPr>
      </w:pPr>
      <w:r>
        <w:rPr>
          <w:sz w:val="24"/>
          <w:szCs w:val="24"/>
        </w:rPr>
        <w:t xml:space="preserve">McGrane, C., and McCourt, M. (2020), </w:t>
      </w:r>
      <w:r>
        <w:rPr>
          <w:i/>
          <w:iCs/>
          <w:sz w:val="24"/>
          <w:szCs w:val="24"/>
        </w:rPr>
        <w:t xml:space="preserve">Mathematical Tasks: The Bridge Between Teaching and Learning. </w:t>
      </w:r>
      <w:r>
        <w:rPr>
          <w:sz w:val="24"/>
          <w:szCs w:val="24"/>
        </w:rPr>
        <w:t>Melton, Woodbridge: John Catt Educational Ltd.</w:t>
      </w:r>
    </w:p>
    <w:p w14:paraId="14262F11" w14:textId="77777777" w:rsidR="00D03C68" w:rsidRDefault="00D96AD0">
      <w:pPr>
        <w:spacing w:line="480" w:lineRule="auto"/>
        <w:rPr>
          <w:sz w:val="24"/>
          <w:szCs w:val="24"/>
        </w:rPr>
      </w:pPr>
      <w:r>
        <w:rPr>
          <w:sz w:val="24"/>
          <w:szCs w:val="24"/>
        </w:rPr>
        <w:t xml:space="preserve">Meeran, S. and Amin, N. (2021) ‘When Curriculum Changes: The Resilience of a Mathematics Teacher’, </w:t>
      </w:r>
      <w:r>
        <w:rPr>
          <w:i/>
          <w:iCs/>
          <w:sz w:val="24"/>
          <w:szCs w:val="24"/>
        </w:rPr>
        <w:t>African Perspectives of Research in Teaching and Learning</w:t>
      </w:r>
      <w:r>
        <w:rPr>
          <w:sz w:val="24"/>
          <w:szCs w:val="24"/>
        </w:rPr>
        <w:t xml:space="preserve">, 5(2), pp. 1–15. Available at: </w:t>
      </w:r>
      <w:hyperlink r:id="rId28">
        <w:r>
          <w:rPr>
            <w:color w:val="1155CC"/>
            <w:sz w:val="24"/>
            <w:szCs w:val="24"/>
            <w:u w:val="single"/>
          </w:rPr>
          <w:t>https://www.proquest.com/docview/2620430533?pq-origsite=gscholar&amp;fromopenview=true&amp;sourcetype=Scholarly%20Journals</w:t>
        </w:r>
      </w:hyperlink>
      <w:r>
        <w:rPr>
          <w:sz w:val="24"/>
          <w:szCs w:val="24"/>
        </w:rPr>
        <w:t xml:space="preserve"> </w:t>
      </w:r>
    </w:p>
    <w:p w14:paraId="14262F12" w14:textId="77777777" w:rsidR="00D03C68" w:rsidRDefault="00D96AD0">
      <w:pPr>
        <w:tabs>
          <w:tab w:val="right" w:pos="9016"/>
        </w:tabs>
        <w:spacing w:after="100" w:line="360" w:lineRule="auto"/>
        <w:rPr>
          <w:sz w:val="24"/>
          <w:szCs w:val="24"/>
        </w:rPr>
      </w:pPr>
      <w:r>
        <w:rPr>
          <w:sz w:val="24"/>
          <w:szCs w:val="24"/>
        </w:rPr>
        <w:t xml:space="preserve">Morgan, J. (2019), </w:t>
      </w:r>
      <w:r>
        <w:rPr>
          <w:i/>
          <w:iCs/>
          <w:sz w:val="24"/>
          <w:szCs w:val="24"/>
        </w:rPr>
        <w:t xml:space="preserve">A Compendium of Mathematical Methods. </w:t>
      </w:r>
      <w:r>
        <w:rPr>
          <w:sz w:val="24"/>
          <w:szCs w:val="24"/>
        </w:rPr>
        <w:t>Melton, Woodbridge: John Catt Educational Ltd.</w:t>
      </w:r>
    </w:p>
    <w:p w14:paraId="14262F13" w14:textId="77777777" w:rsidR="00D03C68" w:rsidRDefault="00D96AD0">
      <w:pPr>
        <w:tabs>
          <w:tab w:val="right" w:pos="9016"/>
        </w:tabs>
        <w:spacing w:after="100" w:line="480" w:lineRule="auto"/>
        <w:rPr>
          <w:sz w:val="24"/>
          <w:szCs w:val="24"/>
        </w:rPr>
      </w:pPr>
      <w:r>
        <w:rPr>
          <w:color w:val="202124"/>
          <w:sz w:val="24"/>
          <w:szCs w:val="24"/>
          <w:highlight w:val="white"/>
        </w:rPr>
        <w:t xml:space="preserve">Myatt, M., and Tomsett, J. (2021), </w:t>
      </w:r>
      <w:r>
        <w:rPr>
          <w:i/>
          <w:iCs/>
          <w:color w:val="202124"/>
          <w:sz w:val="24"/>
          <w:szCs w:val="24"/>
          <w:highlight w:val="white"/>
        </w:rPr>
        <w:t>Huh: Curriculum conversations between subject and senior leaders.</w:t>
      </w:r>
      <w:r>
        <w:rPr>
          <w:color w:val="202124"/>
          <w:sz w:val="24"/>
          <w:szCs w:val="24"/>
          <w:highlight w:val="white"/>
        </w:rPr>
        <w:t xml:space="preserve"> </w:t>
      </w:r>
      <w:r>
        <w:rPr>
          <w:sz w:val="24"/>
          <w:szCs w:val="24"/>
        </w:rPr>
        <w:t>Melton, Woodbridge: John Catt Educational Ltd.</w:t>
      </w:r>
    </w:p>
    <w:p w14:paraId="14262F14" w14:textId="77777777" w:rsidR="00D03C68" w:rsidRDefault="00D96AD0">
      <w:pPr>
        <w:tabs>
          <w:tab w:val="right" w:pos="9016"/>
        </w:tabs>
        <w:spacing w:after="100" w:line="480" w:lineRule="auto"/>
        <w:rPr>
          <w:sz w:val="24"/>
          <w:szCs w:val="24"/>
        </w:rPr>
      </w:pPr>
      <w:r>
        <w:rPr>
          <w:color w:val="202124"/>
          <w:sz w:val="24"/>
          <w:szCs w:val="24"/>
          <w:highlight w:val="white"/>
        </w:rPr>
        <w:t xml:space="preserve">Myatt, M. (2016), </w:t>
      </w:r>
      <w:r>
        <w:rPr>
          <w:i/>
          <w:iCs/>
          <w:color w:val="202124"/>
          <w:sz w:val="24"/>
          <w:szCs w:val="24"/>
          <w:highlight w:val="white"/>
        </w:rPr>
        <w:t>High Challenge, Low Threat</w:t>
      </w:r>
      <w:r>
        <w:rPr>
          <w:color w:val="202124"/>
          <w:sz w:val="24"/>
          <w:szCs w:val="24"/>
          <w:highlight w:val="white"/>
        </w:rPr>
        <w:t xml:space="preserve">. </w:t>
      </w:r>
      <w:r>
        <w:rPr>
          <w:sz w:val="24"/>
          <w:szCs w:val="24"/>
        </w:rPr>
        <w:t>Melton, Woodbridge: John Catt Educational Ltd.</w:t>
      </w:r>
    </w:p>
    <w:p w14:paraId="14262F15" w14:textId="77777777" w:rsidR="00D03C68" w:rsidRDefault="00D96AD0">
      <w:pPr>
        <w:spacing w:line="480" w:lineRule="auto"/>
        <w:rPr>
          <w:sz w:val="24"/>
          <w:szCs w:val="24"/>
        </w:rPr>
      </w:pPr>
      <w:r>
        <w:rPr>
          <w:sz w:val="24"/>
          <w:szCs w:val="24"/>
        </w:rPr>
        <w:t>Myatt, M. (2018), The Curriculum: Gallimaufry to coherence. Melton, Woodbridge: John Catt Educational Ltd.</w:t>
      </w:r>
    </w:p>
    <w:p w14:paraId="14262F16" w14:textId="77777777" w:rsidR="00D03C68" w:rsidRDefault="00D96AD0">
      <w:pPr>
        <w:spacing w:line="480" w:lineRule="auto"/>
        <w:rPr>
          <w:sz w:val="24"/>
          <w:szCs w:val="24"/>
        </w:rPr>
      </w:pPr>
      <w:r>
        <w:rPr>
          <w:sz w:val="24"/>
          <w:szCs w:val="24"/>
        </w:rPr>
        <w:t xml:space="preserve">Oppong-Gyebi, E., Amoako Atta, S., Kwadwo, A., Belbase, S., </w:t>
      </w:r>
      <w:proofErr w:type="spellStart"/>
      <w:r>
        <w:rPr>
          <w:sz w:val="24"/>
          <w:szCs w:val="24"/>
        </w:rPr>
        <w:t>Bonyah</w:t>
      </w:r>
      <w:proofErr w:type="spellEnd"/>
      <w:r>
        <w:rPr>
          <w:sz w:val="24"/>
          <w:szCs w:val="24"/>
        </w:rPr>
        <w:t xml:space="preserve">, E. and Peprah Opoku, M. (2023) ‘High School Teachers’ Perceptions and Practices of Mathematics </w:t>
      </w:r>
      <w:r>
        <w:rPr>
          <w:sz w:val="24"/>
          <w:szCs w:val="24"/>
        </w:rPr>
        <w:lastRenderedPageBreak/>
        <w:t xml:space="preserve">Curriculum in Ghana’, </w:t>
      </w:r>
      <w:r>
        <w:rPr>
          <w:i/>
          <w:iCs/>
          <w:sz w:val="24"/>
          <w:szCs w:val="24"/>
        </w:rPr>
        <w:t>Education Research International,</w:t>
      </w:r>
      <w:r>
        <w:rPr>
          <w:sz w:val="24"/>
          <w:szCs w:val="24"/>
        </w:rPr>
        <w:t xml:space="preserve"> 2023, pp. 1–11. Available at: </w:t>
      </w:r>
      <w:hyperlink r:id="rId29">
        <w:r>
          <w:rPr>
            <w:color w:val="1155CC"/>
            <w:sz w:val="24"/>
            <w:szCs w:val="24"/>
            <w:u w:val="single"/>
          </w:rPr>
          <w:t>https://onlinelibrary.wiley.com/doi/10.1155/2023/4304267</w:t>
        </w:r>
      </w:hyperlink>
      <w:r>
        <w:rPr>
          <w:sz w:val="24"/>
          <w:szCs w:val="24"/>
        </w:rPr>
        <w:t xml:space="preserve"> </w:t>
      </w:r>
    </w:p>
    <w:p w14:paraId="14262F17" w14:textId="77777777" w:rsidR="00D03C68" w:rsidRDefault="00D96AD0">
      <w:pPr>
        <w:tabs>
          <w:tab w:val="right" w:pos="9016"/>
        </w:tabs>
        <w:spacing w:after="100" w:line="480" w:lineRule="auto"/>
        <w:rPr>
          <w:sz w:val="24"/>
          <w:szCs w:val="24"/>
        </w:rPr>
      </w:pPr>
      <w:r>
        <w:rPr>
          <w:sz w:val="24"/>
          <w:szCs w:val="24"/>
        </w:rPr>
        <w:t xml:space="preserve">Organization for Economic Cooperation and Development [OECD] (2014) </w:t>
      </w:r>
      <w:r>
        <w:rPr>
          <w:i/>
          <w:iCs/>
          <w:sz w:val="24"/>
          <w:szCs w:val="24"/>
        </w:rPr>
        <w:t>Improving Schools in Wales: An OECD Perspective</w:t>
      </w:r>
      <w:r>
        <w:rPr>
          <w:sz w:val="24"/>
          <w:szCs w:val="24"/>
        </w:rPr>
        <w:t xml:space="preserve">. Available at: </w:t>
      </w:r>
      <w:hyperlink r:id="rId30">
        <w:r>
          <w:rPr>
            <w:color w:val="1155CC"/>
            <w:sz w:val="24"/>
            <w:szCs w:val="24"/>
            <w:u w:val="single"/>
          </w:rPr>
          <w:t>https://gpseducation.oecd.org/Content/ProjectsMaterial/ImplementingEducationPolicies/Improving-schools-in-WalesAnOECDPerspective.pdf</w:t>
        </w:r>
      </w:hyperlink>
      <w:r>
        <w:rPr>
          <w:sz w:val="24"/>
          <w:szCs w:val="24"/>
        </w:rPr>
        <w:t xml:space="preserve"> (Accessed: 28 December 2025).</w:t>
      </w:r>
    </w:p>
    <w:p w14:paraId="14262F18" w14:textId="77777777" w:rsidR="00D03C68" w:rsidRDefault="00D96AD0">
      <w:pPr>
        <w:tabs>
          <w:tab w:val="right" w:pos="9016"/>
        </w:tabs>
        <w:spacing w:after="100" w:line="480" w:lineRule="auto"/>
        <w:rPr>
          <w:sz w:val="24"/>
          <w:szCs w:val="24"/>
        </w:rPr>
      </w:pPr>
      <w:r>
        <w:rPr>
          <w:sz w:val="24"/>
          <w:szCs w:val="24"/>
        </w:rPr>
        <w:t xml:space="preserve">Organization for Economic Cooperation and Development [OECD] (2020) </w:t>
      </w:r>
      <w:r>
        <w:rPr>
          <w:i/>
          <w:iCs/>
          <w:sz w:val="24"/>
          <w:szCs w:val="24"/>
        </w:rPr>
        <w:t>Achieving the New Curriculum for Wales</w:t>
      </w:r>
      <w:r>
        <w:rPr>
          <w:sz w:val="24"/>
          <w:szCs w:val="24"/>
        </w:rPr>
        <w:t xml:space="preserve">. Available at: </w:t>
      </w:r>
      <w:hyperlink r:id="rId31">
        <w:r>
          <w:rPr>
            <w:color w:val="1155CC"/>
            <w:sz w:val="24"/>
            <w:szCs w:val="24"/>
            <w:u w:val="single"/>
          </w:rPr>
          <w:t>https://www.oecd.org/content/dam/oecd/en/publications/reports/2020/10/achieving-the-new-curriculum-for-wales_a717ca73/4b483953-en.pdf</w:t>
        </w:r>
      </w:hyperlink>
      <w:r>
        <w:rPr>
          <w:sz w:val="24"/>
          <w:szCs w:val="24"/>
        </w:rPr>
        <w:t xml:space="preserve"> (Accessed: 28 December 2025).</w:t>
      </w:r>
    </w:p>
    <w:p w14:paraId="14262F19" w14:textId="77777777" w:rsidR="00D03C68" w:rsidRDefault="00D96AD0">
      <w:pPr>
        <w:tabs>
          <w:tab w:val="right" w:pos="9016"/>
        </w:tabs>
        <w:spacing w:after="100" w:line="480" w:lineRule="auto"/>
        <w:rPr>
          <w:sz w:val="24"/>
          <w:szCs w:val="24"/>
        </w:rPr>
      </w:pPr>
      <w:r>
        <w:rPr>
          <w:sz w:val="24"/>
          <w:szCs w:val="24"/>
        </w:rPr>
        <w:t xml:space="preserve">Organization for Economic Cooperation and Development [OECD] (2024) </w:t>
      </w:r>
      <w:proofErr w:type="spellStart"/>
      <w:r>
        <w:rPr>
          <w:i/>
          <w:iCs/>
          <w:sz w:val="24"/>
          <w:szCs w:val="24"/>
        </w:rPr>
        <w:t>Programme</w:t>
      </w:r>
      <w:proofErr w:type="spellEnd"/>
      <w:r>
        <w:rPr>
          <w:i/>
          <w:iCs/>
          <w:sz w:val="24"/>
          <w:szCs w:val="24"/>
        </w:rPr>
        <w:t xml:space="preserve"> for International Student Assessment (PISA)</w:t>
      </w:r>
      <w:r>
        <w:rPr>
          <w:sz w:val="24"/>
          <w:szCs w:val="24"/>
        </w:rPr>
        <w:t xml:space="preserve">. Available at: </w:t>
      </w:r>
      <w:hyperlink r:id="rId32">
        <w:r>
          <w:rPr>
            <w:color w:val="1155CC"/>
            <w:sz w:val="24"/>
            <w:szCs w:val="24"/>
            <w:u w:val="single"/>
          </w:rPr>
          <w:t>https://www.oecd.org/en/about/programmes/pisa.html</w:t>
        </w:r>
      </w:hyperlink>
      <w:r>
        <w:rPr>
          <w:sz w:val="24"/>
          <w:szCs w:val="24"/>
        </w:rPr>
        <w:t xml:space="preserve"> (Accessed: 28 December 2025).</w:t>
      </w:r>
    </w:p>
    <w:p w14:paraId="14262F1A" w14:textId="77777777" w:rsidR="00D03C68" w:rsidRDefault="00D96AD0">
      <w:pPr>
        <w:tabs>
          <w:tab w:val="right" w:pos="9016"/>
        </w:tabs>
        <w:spacing w:after="100" w:line="480" w:lineRule="auto"/>
        <w:rPr>
          <w:sz w:val="24"/>
          <w:szCs w:val="24"/>
        </w:rPr>
      </w:pPr>
      <w:r>
        <w:rPr>
          <w:color w:val="202124"/>
          <w:sz w:val="24"/>
          <w:szCs w:val="24"/>
          <w:highlight w:val="white"/>
        </w:rPr>
        <w:t xml:space="preserve">Rees, T. (2018), </w:t>
      </w:r>
      <w:r>
        <w:rPr>
          <w:i/>
          <w:iCs/>
          <w:color w:val="202124"/>
          <w:sz w:val="24"/>
          <w:szCs w:val="24"/>
          <w:highlight w:val="white"/>
        </w:rPr>
        <w:t xml:space="preserve">Wholesome Leadership. </w:t>
      </w:r>
      <w:r>
        <w:rPr>
          <w:sz w:val="24"/>
          <w:szCs w:val="24"/>
        </w:rPr>
        <w:t>Melton, Woodbridge: John Catt Educational Ltd.</w:t>
      </w:r>
    </w:p>
    <w:p w14:paraId="14262F1B" w14:textId="77777777" w:rsidR="00D03C68" w:rsidRDefault="00D96AD0">
      <w:pPr>
        <w:tabs>
          <w:tab w:val="right" w:pos="9016"/>
        </w:tabs>
        <w:spacing w:after="100" w:line="480" w:lineRule="auto"/>
        <w:rPr>
          <w:sz w:val="24"/>
          <w:szCs w:val="24"/>
        </w:rPr>
      </w:pPr>
      <w:r>
        <w:rPr>
          <w:sz w:val="24"/>
          <w:szCs w:val="24"/>
        </w:rPr>
        <w:t>Riley, K and Khamis, A. (2005</w:t>
      </w:r>
      <w:proofErr w:type="gramStart"/>
      <w:r>
        <w:rPr>
          <w:sz w:val="24"/>
          <w:szCs w:val="24"/>
        </w:rPr>
        <w:t>), ‘</w:t>
      </w:r>
      <w:proofErr w:type="gramEnd"/>
      <w:r>
        <w:rPr>
          <w:sz w:val="24"/>
          <w:szCs w:val="24"/>
        </w:rPr>
        <w:t>Reform, Improvement and Change’ in Coleman, M., and Earley, P. (eds.), Leadership and Management in Education: Cultures, Change and Context. Oxford: Oxford University Press. pp. 115 – 134.</w:t>
      </w:r>
    </w:p>
    <w:p w14:paraId="14262F1C" w14:textId="77777777" w:rsidR="00D03C68" w:rsidRDefault="00D96AD0">
      <w:pPr>
        <w:tabs>
          <w:tab w:val="right" w:pos="9016"/>
        </w:tabs>
        <w:spacing w:after="100" w:line="480" w:lineRule="auto"/>
        <w:rPr>
          <w:sz w:val="24"/>
          <w:szCs w:val="24"/>
        </w:rPr>
      </w:pPr>
      <w:r>
        <w:rPr>
          <w:sz w:val="24"/>
          <w:szCs w:val="24"/>
        </w:rPr>
        <w:t xml:space="preserve">Robbins, A. (2021), </w:t>
      </w:r>
      <w:r>
        <w:rPr>
          <w:i/>
          <w:iCs/>
          <w:sz w:val="24"/>
          <w:szCs w:val="24"/>
        </w:rPr>
        <w:t xml:space="preserve">Middle Leadership Mastery. </w:t>
      </w:r>
      <w:r>
        <w:rPr>
          <w:sz w:val="24"/>
          <w:szCs w:val="24"/>
        </w:rPr>
        <w:t xml:space="preserve">Carmarthen, Wales: Crown House Publishing Limited. </w:t>
      </w:r>
    </w:p>
    <w:p w14:paraId="14262F1D" w14:textId="77777777" w:rsidR="00D03C68" w:rsidRDefault="00D96AD0">
      <w:pPr>
        <w:spacing w:line="480" w:lineRule="auto"/>
        <w:rPr>
          <w:sz w:val="24"/>
          <w:szCs w:val="24"/>
        </w:rPr>
      </w:pPr>
      <w:r>
        <w:rPr>
          <w:sz w:val="24"/>
          <w:szCs w:val="24"/>
        </w:rPr>
        <w:lastRenderedPageBreak/>
        <w:t xml:space="preserve">Robinson, S. (2022) ‘Curriculum for Wales – where are we now?’, </w:t>
      </w:r>
      <w:r>
        <w:rPr>
          <w:i/>
          <w:iCs/>
          <w:sz w:val="24"/>
          <w:szCs w:val="24"/>
        </w:rPr>
        <w:t>Teaching Geography</w:t>
      </w:r>
      <w:r>
        <w:rPr>
          <w:sz w:val="24"/>
          <w:szCs w:val="24"/>
        </w:rPr>
        <w:t xml:space="preserve">, 47(2), pp. 61–63. Available at: </w:t>
      </w:r>
      <w:hyperlink r:id="rId33">
        <w:r>
          <w:rPr>
            <w:color w:val="1155CC"/>
            <w:sz w:val="24"/>
            <w:szCs w:val="24"/>
            <w:u w:val="single"/>
          </w:rPr>
          <w:t>https://portal.geography.org.uk/downloads/journals/TG_SUM_2022_ROBINSON.pdf</w:t>
        </w:r>
      </w:hyperlink>
      <w:r>
        <w:rPr>
          <w:sz w:val="24"/>
          <w:szCs w:val="24"/>
        </w:rPr>
        <w:t xml:space="preserve"> </w:t>
      </w:r>
    </w:p>
    <w:p w14:paraId="14262F1E" w14:textId="77777777" w:rsidR="00D03C68" w:rsidRDefault="00D96AD0">
      <w:pPr>
        <w:tabs>
          <w:tab w:val="right" w:pos="9016"/>
        </w:tabs>
        <w:spacing w:after="100" w:line="480" w:lineRule="auto"/>
        <w:rPr>
          <w:sz w:val="24"/>
          <w:szCs w:val="24"/>
        </w:rPr>
      </w:pPr>
      <w:r>
        <w:rPr>
          <w:sz w:val="24"/>
          <w:szCs w:val="24"/>
        </w:rPr>
        <w:t>Shimizu, Y., and Vithal, R. (2023</w:t>
      </w:r>
      <w:proofErr w:type="gramStart"/>
      <w:r>
        <w:rPr>
          <w:sz w:val="24"/>
          <w:szCs w:val="24"/>
        </w:rPr>
        <w:t>), ‘</w:t>
      </w:r>
      <w:proofErr w:type="gramEnd"/>
      <w:r>
        <w:rPr>
          <w:sz w:val="24"/>
          <w:szCs w:val="24"/>
        </w:rPr>
        <w:t xml:space="preserve">School Mathematics Curriculum Reforms: Widespread Practice </w:t>
      </w:r>
      <w:proofErr w:type="gramStart"/>
      <w:r>
        <w:rPr>
          <w:sz w:val="24"/>
          <w:szCs w:val="24"/>
        </w:rPr>
        <w:t>But</w:t>
      </w:r>
      <w:proofErr w:type="gramEnd"/>
      <w:r>
        <w:rPr>
          <w:sz w:val="24"/>
          <w:szCs w:val="24"/>
        </w:rPr>
        <w:t xml:space="preserve"> Under-Researched in Mathematics Education’ in Shimizu, Y., and Vithal, R. (eds.) Mathematics Curriculum Reforms Around the World. Switzerland: Springer. pp. 3 - 22. </w:t>
      </w:r>
    </w:p>
    <w:p w14:paraId="14262F1F" w14:textId="77777777" w:rsidR="00D03C68" w:rsidRDefault="00D96AD0">
      <w:pPr>
        <w:tabs>
          <w:tab w:val="right" w:pos="9016"/>
        </w:tabs>
        <w:spacing w:after="100" w:line="480" w:lineRule="auto"/>
        <w:rPr>
          <w:sz w:val="24"/>
          <w:szCs w:val="24"/>
        </w:rPr>
      </w:pPr>
      <w:r>
        <w:rPr>
          <w:sz w:val="24"/>
          <w:szCs w:val="24"/>
        </w:rPr>
        <w:t xml:space="preserve">Sinnema, C., </w:t>
      </w:r>
      <w:proofErr w:type="spellStart"/>
      <w:r>
        <w:rPr>
          <w:sz w:val="24"/>
          <w:szCs w:val="24"/>
        </w:rPr>
        <w:t>Nieveen</w:t>
      </w:r>
      <w:proofErr w:type="spellEnd"/>
      <w:r>
        <w:rPr>
          <w:sz w:val="24"/>
          <w:szCs w:val="24"/>
        </w:rPr>
        <w:t xml:space="preserve">, N. and Priestley, M. (2020) ‘Successful futures, successful curriculum: What can Wales learn from international curriculum reforms?’, </w:t>
      </w:r>
      <w:r>
        <w:rPr>
          <w:i/>
          <w:iCs/>
          <w:sz w:val="24"/>
          <w:szCs w:val="24"/>
        </w:rPr>
        <w:t>Curriculum Journal</w:t>
      </w:r>
      <w:r>
        <w:rPr>
          <w:sz w:val="24"/>
          <w:szCs w:val="24"/>
        </w:rPr>
        <w:t xml:space="preserve">, 31(2), pp. 181–201. Available at: </w:t>
      </w:r>
      <w:hyperlink r:id="rId34">
        <w:r>
          <w:rPr>
            <w:color w:val="1155CC"/>
            <w:sz w:val="24"/>
            <w:szCs w:val="24"/>
            <w:u w:val="single"/>
          </w:rPr>
          <w:t>https://doi.org/10.1002/curj.17</w:t>
        </w:r>
      </w:hyperlink>
      <w:r>
        <w:rPr>
          <w:sz w:val="24"/>
          <w:szCs w:val="24"/>
        </w:rPr>
        <w:t xml:space="preserve"> </w:t>
      </w:r>
    </w:p>
    <w:p w14:paraId="14262F20" w14:textId="77777777" w:rsidR="00D03C68" w:rsidRDefault="00D96AD0">
      <w:pPr>
        <w:spacing w:line="480" w:lineRule="auto"/>
        <w:rPr>
          <w:sz w:val="24"/>
          <w:szCs w:val="24"/>
        </w:rPr>
      </w:pPr>
      <w:r>
        <w:rPr>
          <w:sz w:val="24"/>
          <w:szCs w:val="24"/>
        </w:rPr>
        <w:t>Smith, K. (2024) ‘</w:t>
      </w:r>
      <w:proofErr w:type="spellStart"/>
      <w:r>
        <w:rPr>
          <w:sz w:val="24"/>
          <w:szCs w:val="24"/>
        </w:rPr>
        <w:t>Reconceptualising</w:t>
      </w:r>
      <w:proofErr w:type="spellEnd"/>
      <w:r>
        <w:rPr>
          <w:sz w:val="24"/>
          <w:szCs w:val="24"/>
        </w:rPr>
        <w:t xml:space="preserve"> Curriculum in a new era of Welsh Education’, </w:t>
      </w:r>
      <w:r>
        <w:rPr>
          <w:i/>
          <w:iCs/>
          <w:sz w:val="24"/>
          <w:szCs w:val="24"/>
        </w:rPr>
        <w:t>Wales Journal of Education</w:t>
      </w:r>
      <w:r>
        <w:rPr>
          <w:sz w:val="24"/>
          <w:szCs w:val="24"/>
        </w:rPr>
        <w:t xml:space="preserve">, 26(2), pp. 54–71. Available at: </w:t>
      </w:r>
      <w:hyperlink r:id="rId35">
        <w:r>
          <w:rPr>
            <w:color w:val="1155CC"/>
            <w:sz w:val="24"/>
            <w:szCs w:val="24"/>
            <w:u w:val="single"/>
          </w:rPr>
          <w:t>https://doi.org/10.16922/wje.26.2.5</w:t>
        </w:r>
      </w:hyperlink>
      <w:r>
        <w:rPr>
          <w:sz w:val="24"/>
          <w:szCs w:val="24"/>
        </w:rPr>
        <w:t xml:space="preserve"> </w:t>
      </w:r>
    </w:p>
    <w:p w14:paraId="14262F21" w14:textId="77777777" w:rsidR="00D03C68" w:rsidRDefault="00D96AD0">
      <w:pPr>
        <w:spacing w:line="480" w:lineRule="auto"/>
        <w:rPr>
          <w:sz w:val="24"/>
          <w:szCs w:val="24"/>
        </w:rPr>
      </w:pPr>
      <w:r>
        <w:rPr>
          <w:sz w:val="24"/>
          <w:szCs w:val="24"/>
        </w:rPr>
        <w:t xml:space="preserve">Stenhouse, L. (1975) </w:t>
      </w:r>
      <w:r>
        <w:rPr>
          <w:i/>
          <w:iCs/>
          <w:sz w:val="24"/>
          <w:szCs w:val="24"/>
        </w:rPr>
        <w:t>An introduction to curriculum research and development</w:t>
      </w:r>
      <w:r>
        <w:rPr>
          <w:sz w:val="24"/>
          <w:szCs w:val="24"/>
        </w:rPr>
        <w:t>. London: Heinemann.</w:t>
      </w:r>
    </w:p>
    <w:p w14:paraId="14262F22" w14:textId="77777777" w:rsidR="00D03C68" w:rsidRDefault="00D96AD0">
      <w:pPr>
        <w:spacing w:line="480" w:lineRule="auto"/>
        <w:rPr>
          <w:sz w:val="24"/>
          <w:szCs w:val="24"/>
        </w:rPr>
      </w:pPr>
      <w:r>
        <w:rPr>
          <w:sz w:val="24"/>
          <w:szCs w:val="24"/>
        </w:rPr>
        <w:t xml:space="preserve">Thomas, G. (2013) </w:t>
      </w:r>
      <w:r>
        <w:rPr>
          <w:i/>
          <w:iCs/>
          <w:sz w:val="24"/>
          <w:szCs w:val="24"/>
        </w:rPr>
        <w:t xml:space="preserve">How to do your Research Project. </w:t>
      </w:r>
      <w:r>
        <w:rPr>
          <w:sz w:val="24"/>
          <w:szCs w:val="24"/>
        </w:rPr>
        <w:t xml:space="preserve">2nd </w:t>
      </w:r>
      <w:proofErr w:type="spellStart"/>
      <w:proofErr w:type="gramStart"/>
      <w:r>
        <w:rPr>
          <w:sz w:val="24"/>
          <w:szCs w:val="24"/>
        </w:rPr>
        <w:t>edn</w:t>
      </w:r>
      <w:proofErr w:type="spellEnd"/>
      <w:proofErr w:type="gramEnd"/>
      <w:r>
        <w:rPr>
          <w:sz w:val="24"/>
          <w:szCs w:val="24"/>
        </w:rPr>
        <w:t>. London, SAGE Publications Ltd.</w:t>
      </w:r>
    </w:p>
    <w:p w14:paraId="14262F23" w14:textId="77777777" w:rsidR="00D03C68" w:rsidRDefault="00D96AD0">
      <w:pPr>
        <w:spacing w:line="480" w:lineRule="auto"/>
        <w:rPr>
          <w:sz w:val="24"/>
          <w:szCs w:val="24"/>
        </w:rPr>
      </w:pPr>
      <w:r>
        <w:rPr>
          <w:sz w:val="24"/>
          <w:szCs w:val="24"/>
        </w:rPr>
        <w:t xml:space="preserve">Thomas, H., Duggan, B., McAlister-Wilson, S., Roberts, L., Sinnema, C., Cole Jones, N. and Glover, A. (2023b). </w:t>
      </w:r>
      <w:r>
        <w:rPr>
          <w:i/>
          <w:iCs/>
          <w:sz w:val="24"/>
          <w:szCs w:val="24"/>
        </w:rPr>
        <w:t>Research with schools on the early implementation of Curriculum for Wales: Wave 2 report</w:t>
      </w:r>
      <w:r>
        <w:rPr>
          <w:sz w:val="24"/>
          <w:szCs w:val="24"/>
        </w:rPr>
        <w:t xml:space="preserve">. GSR report number 88/2023. Available at: </w:t>
      </w:r>
      <w:hyperlink r:id="rId36">
        <w:r>
          <w:rPr>
            <w:color w:val="1155CC"/>
            <w:sz w:val="24"/>
            <w:szCs w:val="24"/>
            <w:u w:val="single"/>
          </w:rPr>
          <w:t>https://www.gov.wales/research-schools-and-learners-early-implementation-curriculum-wales-wave-2</w:t>
        </w:r>
      </w:hyperlink>
      <w:r>
        <w:rPr>
          <w:sz w:val="24"/>
          <w:szCs w:val="24"/>
        </w:rPr>
        <w:t xml:space="preserve"> (Accessed: 14 January 2026).</w:t>
      </w:r>
    </w:p>
    <w:p w14:paraId="14262F24" w14:textId="77777777" w:rsidR="00D03C68" w:rsidRDefault="00D96AD0">
      <w:pPr>
        <w:spacing w:line="480" w:lineRule="auto"/>
        <w:rPr>
          <w:sz w:val="24"/>
          <w:szCs w:val="24"/>
        </w:rPr>
      </w:pPr>
      <w:r>
        <w:rPr>
          <w:sz w:val="24"/>
          <w:szCs w:val="24"/>
        </w:rPr>
        <w:lastRenderedPageBreak/>
        <w:t>Welsh Government. (2016).</w:t>
      </w:r>
      <w:r>
        <w:rPr>
          <w:i/>
          <w:iCs/>
          <w:sz w:val="24"/>
          <w:szCs w:val="24"/>
        </w:rPr>
        <w:t xml:space="preserve"> Curriculum for Wales: </w:t>
      </w:r>
      <w:proofErr w:type="spellStart"/>
      <w:r>
        <w:rPr>
          <w:i/>
          <w:iCs/>
          <w:sz w:val="24"/>
          <w:szCs w:val="24"/>
        </w:rPr>
        <w:t>Programme</w:t>
      </w:r>
      <w:proofErr w:type="spellEnd"/>
      <w:r>
        <w:rPr>
          <w:i/>
          <w:iCs/>
          <w:sz w:val="24"/>
          <w:szCs w:val="24"/>
        </w:rPr>
        <w:t xml:space="preserve"> of Study for Mathematics, Key Stages 2–4. </w:t>
      </w:r>
      <w:r>
        <w:rPr>
          <w:sz w:val="24"/>
          <w:szCs w:val="24"/>
        </w:rPr>
        <w:t xml:space="preserve">Available at: </w:t>
      </w:r>
      <w:hyperlink r:id="rId37">
        <w:r>
          <w:rPr>
            <w:color w:val="1155CC"/>
            <w:sz w:val="24"/>
            <w:szCs w:val="24"/>
            <w:u w:val="single"/>
          </w:rPr>
          <w:t>https://hwb.gov.wales/api/storage/e2aad4fc-faae-4054-a382-242d08ee2021/programme-of-study-for-mathematics.pdf</w:t>
        </w:r>
      </w:hyperlink>
      <w:r>
        <w:rPr>
          <w:sz w:val="24"/>
          <w:szCs w:val="24"/>
        </w:rPr>
        <w:t xml:space="preserve"> (Accessed: 10 January 2026).</w:t>
      </w:r>
    </w:p>
    <w:p w14:paraId="14262F25" w14:textId="77777777" w:rsidR="00D03C68" w:rsidRDefault="00D96AD0">
      <w:pPr>
        <w:widowControl w:val="0"/>
        <w:spacing w:line="480" w:lineRule="auto"/>
        <w:rPr>
          <w:sz w:val="24"/>
          <w:szCs w:val="24"/>
        </w:rPr>
      </w:pPr>
      <w:r>
        <w:rPr>
          <w:sz w:val="24"/>
          <w:szCs w:val="24"/>
        </w:rPr>
        <w:t xml:space="preserve">Welsh Government. (2020a). </w:t>
      </w:r>
      <w:r>
        <w:rPr>
          <w:i/>
          <w:iCs/>
          <w:sz w:val="24"/>
          <w:szCs w:val="24"/>
        </w:rPr>
        <w:t>Introduction to curriculum for Wales guidance</w:t>
      </w:r>
      <w:r>
        <w:rPr>
          <w:sz w:val="24"/>
          <w:szCs w:val="24"/>
        </w:rPr>
        <w:t xml:space="preserve">. Welsh Government. Available at: </w:t>
      </w:r>
      <w:hyperlink r:id="rId38">
        <w:r>
          <w:rPr>
            <w:color w:val="1155CC"/>
            <w:sz w:val="24"/>
            <w:szCs w:val="24"/>
            <w:u w:val="single"/>
          </w:rPr>
          <w:t>https://hwb.gov.wales/curriculum-for-wales/introduction</w:t>
        </w:r>
      </w:hyperlink>
      <w:r>
        <w:rPr>
          <w:sz w:val="24"/>
          <w:szCs w:val="24"/>
        </w:rPr>
        <w:t xml:space="preserve"> (Accessed: 29 December 2025).</w:t>
      </w:r>
    </w:p>
    <w:p w14:paraId="14262F26" w14:textId="77777777" w:rsidR="00D03C68" w:rsidRDefault="00D96AD0">
      <w:pPr>
        <w:spacing w:line="480" w:lineRule="auto"/>
        <w:rPr>
          <w:sz w:val="24"/>
          <w:szCs w:val="24"/>
        </w:rPr>
      </w:pPr>
      <w:r>
        <w:rPr>
          <w:sz w:val="24"/>
          <w:szCs w:val="24"/>
        </w:rPr>
        <w:t xml:space="preserve">Welsh Government. (2020b) </w:t>
      </w:r>
      <w:r>
        <w:rPr>
          <w:i/>
          <w:iCs/>
          <w:sz w:val="24"/>
          <w:szCs w:val="24"/>
        </w:rPr>
        <w:t xml:space="preserve">Mathematics and Numeracy. </w:t>
      </w:r>
      <w:r>
        <w:rPr>
          <w:sz w:val="24"/>
          <w:szCs w:val="24"/>
        </w:rPr>
        <w:t xml:space="preserve">Available at: </w:t>
      </w:r>
      <w:hyperlink r:id="rId39">
        <w:r>
          <w:rPr>
            <w:color w:val="1155CC"/>
            <w:sz w:val="24"/>
            <w:szCs w:val="24"/>
            <w:u w:val="single"/>
          </w:rPr>
          <w:t>https://hwb.gov.wales/curriculum-for-wales/mathematics-and-numeracy/</w:t>
        </w:r>
      </w:hyperlink>
      <w:r>
        <w:rPr>
          <w:sz w:val="24"/>
          <w:szCs w:val="24"/>
        </w:rPr>
        <w:t xml:space="preserve"> (Accessed: 29 December 2025).</w:t>
      </w:r>
    </w:p>
    <w:p w14:paraId="14262F27" w14:textId="77777777" w:rsidR="00D03C68" w:rsidRDefault="00D96AD0">
      <w:pPr>
        <w:spacing w:line="480" w:lineRule="auto"/>
        <w:rPr>
          <w:sz w:val="24"/>
          <w:szCs w:val="24"/>
        </w:rPr>
      </w:pPr>
      <w:r>
        <w:rPr>
          <w:sz w:val="24"/>
          <w:szCs w:val="24"/>
        </w:rPr>
        <w:t xml:space="preserve">Welsh Government. (2022) </w:t>
      </w:r>
      <w:r>
        <w:rPr>
          <w:i/>
          <w:iCs/>
          <w:sz w:val="24"/>
          <w:szCs w:val="24"/>
        </w:rPr>
        <w:t>Developing a vision for curriculum design</w:t>
      </w:r>
      <w:r>
        <w:rPr>
          <w:sz w:val="24"/>
          <w:szCs w:val="24"/>
        </w:rPr>
        <w:t xml:space="preserve">. Available at: </w:t>
      </w:r>
      <w:hyperlink r:id="rId40" w:anchor="designing-a-curriculum-in-wales-and-for-wales">
        <w:r>
          <w:rPr>
            <w:color w:val="1155CC"/>
            <w:sz w:val="24"/>
            <w:szCs w:val="24"/>
            <w:u w:val="single"/>
          </w:rPr>
          <w:t>https://hwb.gov.wales/curriculum-for-wales/designing-your-curriculum/developing-a-vision-for-curriculum-design/#designing-a-curriculum-in-wales-and-for-wales</w:t>
        </w:r>
      </w:hyperlink>
      <w:r>
        <w:rPr>
          <w:sz w:val="24"/>
          <w:szCs w:val="24"/>
        </w:rPr>
        <w:t xml:space="preserve"> (Accessed: 29 December 2025).</w:t>
      </w:r>
    </w:p>
    <w:p w14:paraId="14262F28" w14:textId="77777777" w:rsidR="00D03C68" w:rsidRDefault="00D96AD0">
      <w:pPr>
        <w:spacing w:line="480" w:lineRule="auto"/>
        <w:rPr>
          <w:sz w:val="24"/>
          <w:szCs w:val="24"/>
        </w:rPr>
      </w:pPr>
      <w:r>
        <w:rPr>
          <w:sz w:val="24"/>
          <w:szCs w:val="24"/>
        </w:rPr>
        <w:t xml:space="preserve">Welsh Government. (2023). </w:t>
      </w:r>
      <w:r>
        <w:rPr>
          <w:i/>
          <w:iCs/>
          <w:sz w:val="24"/>
          <w:szCs w:val="24"/>
        </w:rPr>
        <w:t>Mathematics and numeracy plan 2023</w:t>
      </w:r>
      <w:r>
        <w:rPr>
          <w:sz w:val="24"/>
          <w:szCs w:val="24"/>
        </w:rPr>
        <w:t>. Available at: https://www.gov.wales/mathematics-and-numeracy-plan-2023-html (Accessed: 29 November 2025).</w:t>
      </w:r>
    </w:p>
    <w:p w14:paraId="14262F29" w14:textId="77777777" w:rsidR="00D03C68" w:rsidRDefault="00D96AD0">
      <w:pPr>
        <w:spacing w:line="480" w:lineRule="auto"/>
        <w:rPr>
          <w:sz w:val="24"/>
          <w:szCs w:val="24"/>
        </w:rPr>
      </w:pPr>
      <w:r>
        <w:rPr>
          <w:sz w:val="24"/>
          <w:szCs w:val="24"/>
        </w:rPr>
        <w:t xml:space="preserve">Welsh Joint Education Committee [WJEC] (2019) </w:t>
      </w:r>
      <w:r>
        <w:rPr>
          <w:i/>
          <w:iCs/>
          <w:sz w:val="24"/>
          <w:szCs w:val="24"/>
        </w:rPr>
        <w:t>WJEC GCSE in Mathematics</w:t>
      </w:r>
      <w:r>
        <w:rPr>
          <w:sz w:val="24"/>
          <w:szCs w:val="24"/>
        </w:rPr>
        <w:t xml:space="preserve">. Available at: </w:t>
      </w:r>
      <w:hyperlink r:id="rId41">
        <w:r>
          <w:rPr>
            <w:color w:val="1155CC"/>
            <w:sz w:val="24"/>
            <w:szCs w:val="24"/>
            <w:u w:val="single"/>
          </w:rPr>
          <w:t>https://www.wjec.co.uk/media/u3rbzz1p/wjec-gcse-maths-spec-from-2015-r-e.pdf</w:t>
        </w:r>
      </w:hyperlink>
      <w:r>
        <w:rPr>
          <w:sz w:val="24"/>
          <w:szCs w:val="24"/>
        </w:rPr>
        <w:t xml:space="preserve"> (Accessed: 3 January 2026). </w:t>
      </w:r>
    </w:p>
    <w:p w14:paraId="14262F2A" w14:textId="77777777" w:rsidR="00D03C68" w:rsidRDefault="00D96AD0">
      <w:pPr>
        <w:spacing w:line="480" w:lineRule="auto"/>
        <w:rPr>
          <w:sz w:val="24"/>
          <w:szCs w:val="24"/>
          <w:shd w:val="clear" w:color="auto" w:fill="FFF2CC"/>
        </w:rPr>
      </w:pPr>
      <w:r>
        <w:rPr>
          <w:sz w:val="24"/>
          <w:szCs w:val="24"/>
        </w:rPr>
        <w:t xml:space="preserve">Welsh Joint Education Committee [WJEC] (2024) </w:t>
      </w:r>
      <w:r>
        <w:rPr>
          <w:i/>
          <w:iCs/>
          <w:sz w:val="24"/>
          <w:szCs w:val="24"/>
        </w:rPr>
        <w:t>WJEC GCSE Mathematics and Numeracy (Double Award)</w:t>
      </w:r>
      <w:r>
        <w:rPr>
          <w:sz w:val="24"/>
          <w:szCs w:val="24"/>
        </w:rPr>
        <w:t xml:space="preserve">. Available at: </w:t>
      </w:r>
      <w:hyperlink r:id="rId42">
        <w:r>
          <w:rPr>
            <w:color w:val="1155CC"/>
            <w:sz w:val="24"/>
            <w:szCs w:val="24"/>
            <w:u w:val="single"/>
          </w:rPr>
          <w:t>https://www.wjec.co.uk/media/ojhfscmj/wjec-gcse-mathematics-and-numeracy-specification-e.pdf</w:t>
        </w:r>
      </w:hyperlink>
      <w:r>
        <w:rPr>
          <w:sz w:val="24"/>
          <w:szCs w:val="24"/>
        </w:rPr>
        <w:t xml:space="preserve"> (Accessed: 3 January 2026). </w:t>
      </w:r>
    </w:p>
    <w:p w14:paraId="14262F2B" w14:textId="77777777" w:rsidR="00D03C68" w:rsidRDefault="00D96AD0">
      <w:pPr>
        <w:spacing w:line="480" w:lineRule="auto"/>
      </w:pPr>
      <w:r>
        <w:rPr>
          <w:sz w:val="24"/>
          <w:szCs w:val="24"/>
        </w:rPr>
        <w:lastRenderedPageBreak/>
        <w:t xml:space="preserve">Wood, B. E., &amp; Hughson, T. (2025) ‘A framework for analysis of curriculum pendulum swings: Comparing curriculum reform in England, Wales, and New Zealand’. </w:t>
      </w:r>
      <w:r>
        <w:rPr>
          <w:i/>
          <w:iCs/>
          <w:sz w:val="24"/>
          <w:szCs w:val="24"/>
        </w:rPr>
        <w:t>The Curriculum Journal</w:t>
      </w:r>
      <w:r>
        <w:rPr>
          <w:sz w:val="24"/>
          <w:szCs w:val="24"/>
        </w:rPr>
        <w:t xml:space="preserve">, pp. 1–15. Available at: </w:t>
      </w:r>
      <w:hyperlink r:id="rId43">
        <w:r>
          <w:rPr>
            <w:color w:val="1155CC"/>
            <w:sz w:val="24"/>
            <w:szCs w:val="24"/>
            <w:u w:val="single"/>
          </w:rPr>
          <w:t>https://doi.org/10.1002/curj.70008</w:t>
        </w:r>
      </w:hyperlink>
      <w:r>
        <w:rPr>
          <w:sz w:val="24"/>
          <w:szCs w:val="24"/>
        </w:rPr>
        <w:t xml:space="preserve"> </w:t>
      </w:r>
    </w:p>
    <w:sectPr w:rsidR="00D03C68" w:rsidSect="00B00745">
      <w:footerReference w:type="default" r:id="rId44"/>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7479D" w14:textId="77777777" w:rsidR="00182C69" w:rsidRDefault="00182C69" w:rsidP="00182C69">
      <w:pPr>
        <w:spacing w:line="240" w:lineRule="auto"/>
      </w:pPr>
      <w:r>
        <w:separator/>
      </w:r>
    </w:p>
  </w:endnote>
  <w:endnote w:type="continuationSeparator" w:id="0">
    <w:p w14:paraId="3A11302D" w14:textId="77777777" w:rsidR="00182C69" w:rsidRDefault="00182C69" w:rsidP="00182C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DFBC1B4-6BC0-4C21-9468-0B32EB0AB973}"/>
  </w:font>
  <w:font w:name="Cambria">
    <w:panose1 w:val="02040503050406030204"/>
    <w:charset w:val="00"/>
    <w:family w:val="roman"/>
    <w:pitch w:val="variable"/>
    <w:sig w:usb0="E00006FF" w:usb1="420024FF" w:usb2="02000000" w:usb3="00000000" w:csb0="0000019F" w:csb1="00000000"/>
    <w:embedRegular r:id="rId2" w:fontKey="{4D7EA936-5012-4D9E-9B9C-BCF5EEE2B29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2004134"/>
      <w:docPartObj>
        <w:docPartGallery w:val="Page Numbers (Bottom of Page)"/>
        <w:docPartUnique/>
      </w:docPartObj>
    </w:sdtPr>
    <w:sdtEndPr>
      <w:rPr>
        <w:noProof/>
      </w:rPr>
    </w:sdtEndPr>
    <w:sdtContent>
      <w:p w14:paraId="3F9E1BC7" w14:textId="217755AA" w:rsidR="00182C69" w:rsidRDefault="00182C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376500" w14:textId="77777777" w:rsidR="00182C69" w:rsidRDefault="00182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8E4D1" w14:textId="77777777" w:rsidR="00182C69" w:rsidRDefault="00182C69" w:rsidP="00182C69">
      <w:pPr>
        <w:spacing w:line="240" w:lineRule="auto"/>
      </w:pPr>
      <w:r>
        <w:separator/>
      </w:r>
    </w:p>
  </w:footnote>
  <w:footnote w:type="continuationSeparator" w:id="0">
    <w:p w14:paraId="70425680" w14:textId="77777777" w:rsidR="00182C69" w:rsidRDefault="00182C69" w:rsidP="00182C6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C68"/>
    <w:rsid w:val="00182C69"/>
    <w:rsid w:val="0061391F"/>
    <w:rsid w:val="008A767D"/>
    <w:rsid w:val="009604D2"/>
    <w:rsid w:val="00B00745"/>
    <w:rsid w:val="00D03C68"/>
    <w:rsid w:val="00D63CFD"/>
    <w:rsid w:val="00D96AD0"/>
    <w:rsid w:val="00E21480"/>
    <w:rsid w:val="00F36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62E73"/>
  <w15:docId w15:val="{45603585-C29A-4E87-A317-F52248449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outlineLvl w:val="1"/>
    </w:pPr>
    <w:rPr>
      <w:sz w:val="24"/>
      <w:szCs w:val="24"/>
    </w:rPr>
  </w:style>
  <w:style w:type="paragraph" w:styleId="Heading3">
    <w:name w:val="heading 3"/>
    <w:basedOn w:val="Normal"/>
    <w:next w:val="Normal"/>
    <w:uiPriority w:val="9"/>
    <w:semiHidden/>
    <w:unhideWhenUsed/>
    <w:qFormat/>
    <w:pPr>
      <w:keepNext/>
      <w:keepLines/>
      <w:spacing w:before="240" w:after="240"/>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82C69"/>
    <w:pPr>
      <w:tabs>
        <w:tab w:val="center" w:pos="4513"/>
        <w:tab w:val="right" w:pos="9026"/>
      </w:tabs>
      <w:spacing w:line="240" w:lineRule="auto"/>
    </w:pPr>
  </w:style>
  <w:style w:type="character" w:customStyle="1" w:styleId="HeaderChar">
    <w:name w:val="Header Char"/>
    <w:basedOn w:val="DefaultParagraphFont"/>
    <w:link w:val="Header"/>
    <w:uiPriority w:val="99"/>
    <w:rsid w:val="00182C69"/>
  </w:style>
  <w:style w:type="paragraph" w:styleId="Footer">
    <w:name w:val="footer"/>
    <w:basedOn w:val="Normal"/>
    <w:link w:val="FooterChar"/>
    <w:uiPriority w:val="99"/>
    <w:unhideWhenUsed/>
    <w:rsid w:val="00182C69"/>
    <w:pPr>
      <w:tabs>
        <w:tab w:val="center" w:pos="4513"/>
        <w:tab w:val="right" w:pos="9026"/>
      </w:tabs>
      <w:spacing w:line="240" w:lineRule="auto"/>
    </w:pPr>
  </w:style>
  <w:style w:type="character" w:customStyle="1" w:styleId="FooterChar">
    <w:name w:val="Footer Char"/>
    <w:basedOn w:val="DefaultParagraphFont"/>
    <w:link w:val="Footer"/>
    <w:uiPriority w:val="99"/>
    <w:rsid w:val="00182C69"/>
  </w:style>
  <w:style w:type="paragraph" w:styleId="TOCHeading">
    <w:name w:val="TOC Heading"/>
    <w:basedOn w:val="Heading1"/>
    <w:next w:val="Normal"/>
    <w:uiPriority w:val="39"/>
    <w:unhideWhenUsed/>
    <w:qFormat/>
    <w:rsid w:val="00F3673A"/>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F3673A"/>
    <w:pPr>
      <w:spacing w:after="100"/>
    </w:pPr>
  </w:style>
  <w:style w:type="paragraph" w:styleId="TOC2">
    <w:name w:val="toc 2"/>
    <w:basedOn w:val="Normal"/>
    <w:next w:val="Normal"/>
    <w:autoRedefine/>
    <w:uiPriority w:val="39"/>
    <w:unhideWhenUsed/>
    <w:rsid w:val="00D96AD0"/>
    <w:pPr>
      <w:tabs>
        <w:tab w:val="right" w:leader="dot" w:pos="9350"/>
      </w:tabs>
      <w:spacing w:after="100"/>
      <w:ind w:left="220"/>
    </w:pPr>
    <w:rPr>
      <w:noProof/>
    </w:rPr>
  </w:style>
  <w:style w:type="character" w:styleId="Hyperlink">
    <w:name w:val="Hyperlink"/>
    <w:basedOn w:val="DefaultParagraphFont"/>
    <w:uiPriority w:val="99"/>
    <w:unhideWhenUsed/>
    <w:rsid w:val="00F3673A"/>
    <w:rPr>
      <w:color w:val="0000FF" w:themeColor="hyperlink"/>
      <w:u w:val="single"/>
    </w:rPr>
  </w:style>
  <w:style w:type="paragraph" w:styleId="NoSpacing">
    <w:name w:val="No Spacing"/>
    <w:link w:val="NoSpacingChar"/>
    <w:uiPriority w:val="1"/>
    <w:qFormat/>
    <w:rsid w:val="00B00745"/>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B00745"/>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annual-report.estyn.gov.wales/2024-2/secondary/" TargetMode="External"/><Relationship Id="rId26" Type="http://schemas.openxmlformats.org/officeDocument/2006/relationships/hyperlink" Target="https://www.abdn.ac.uk/education/research/eitn/journal/archive/48/503/" TargetMode="External"/><Relationship Id="rId39" Type="http://schemas.openxmlformats.org/officeDocument/2006/relationships/hyperlink" Target="https://hwb.gov.wales/curriculum-for-wales/mathematics-and-numeracy/" TargetMode="External"/><Relationship Id="rId21" Type="http://schemas.openxmlformats.org/officeDocument/2006/relationships/hyperlink" Target="https://doi.org/10.1002/curj.25" TargetMode="External"/><Relationship Id="rId34" Type="http://schemas.openxmlformats.org/officeDocument/2006/relationships/hyperlink" Target="https://doi.org/10.1002/curj.17" TargetMode="External"/><Relationship Id="rId42" Type="http://schemas.openxmlformats.org/officeDocument/2006/relationships/hyperlink" Target="https://www.wjec.co.uk/media/ojhfscmj/wjec-gcse-mathematics-and-numeracy-specification-e.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2tic4wvo1iusb.cloudfront.net/production/eef-guidance-reports/implementation/a_schools_guide_to_implementation.pdf" TargetMode="External"/><Relationship Id="rId29" Type="http://schemas.openxmlformats.org/officeDocument/2006/relationships/hyperlink" Target="https://onlinelibrary.wiley.com/doi/10.1155/2023/430426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15700763.2023.2171439" TargetMode="External"/><Relationship Id="rId24" Type="http://schemas.openxmlformats.org/officeDocument/2006/relationships/hyperlink" Target="https://hwb.gov.wales/curriculum-for-wales" TargetMode="External"/><Relationship Id="rId32" Type="http://schemas.openxmlformats.org/officeDocument/2006/relationships/hyperlink" Target="https://www.oecd.org/en/about/programmes/pisa.html" TargetMode="External"/><Relationship Id="rId37" Type="http://schemas.openxmlformats.org/officeDocument/2006/relationships/hyperlink" Target="https://hwb.gov.wales/api/storage/e2aad4fc-faae-4054-a382-242d08ee2021/programme-of-study-for-mathematics.pdf" TargetMode="External"/><Relationship Id="rId40" Type="http://schemas.openxmlformats.org/officeDocument/2006/relationships/hyperlink" Target="https://hwb.gov.wales/curriculum-for-wales/designing-your-curriculum/developing-a-vision-for-curriculum-design/"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andfonline.com/doi/full/10.1080/02607476.2024.2371308" TargetMode="External"/><Relationship Id="rId23" Type="http://schemas.openxmlformats.org/officeDocument/2006/relationships/hyperlink" Target="https://hwb.gov.wales/playlists/view/b45f4305-945e-40cd-b2fe-0c467346109f/en/26" TargetMode="External"/><Relationship Id="rId28" Type="http://schemas.openxmlformats.org/officeDocument/2006/relationships/hyperlink" Target="https://www.proquest.com/docview/2620430533?pq-origsite=gscholar&amp;fromopenview=true&amp;sourcetype=Scholarly%20Journals" TargetMode="External"/><Relationship Id="rId36" Type="http://schemas.openxmlformats.org/officeDocument/2006/relationships/hyperlink" Target="https://www.gov.wales/research-schools-and-learners-early-implementation-curriculum-wales-wave-2" TargetMode="External"/><Relationship Id="rId10" Type="http://schemas.openxmlformats.org/officeDocument/2006/relationships/hyperlink" Target="https://www.tandfonline.com/doi/full/10.1080/25742981.2022.2125816" TargetMode="External"/><Relationship Id="rId19" Type="http://schemas.openxmlformats.org/officeDocument/2006/relationships/hyperlink" Target="https://doi.org/10.1080/20004508.2023.2297506" TargetMode="External"/><Relationship Id="rId31" Type="http://schemas.openxmlformats.org/officeDocument/2006/relationships/hyperlink" Target="https://www.oecd.org/content/dam/oecd/en/publications/reports/2020/10/achieving-the-new-curriculum-for-wales_a717ca73/4b483953-en.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era.ioe.ac.uk/id/eprint/2178/7/0110852_Redacted.pdf" TargetMode="External"/><Relationship Id="rId22" Type="http://schemas.openxmlformats.org/officeDocument/2006/relationships/hyperlink" Target="https://journals.lwbooks.co.uk/forum/vol-65-issue-1/abstract-9698/" TargetMode="External"/><Relationship Id="rId27" Type="http://schemas.openxmlformats.org/officeDocument/2006/relationships/hyperlink" Target="https://bera-journals.onlinelibrary.wiley.com/doi/abs/10.1002/curj.15" TargetMode="External"/><Relationship Id="rId30" Type="http://schemas.openxmlformats.org/officeDocument/2006/relationships/hyperlink" Target="https://gpseducation.oecd.org/Content/ProjectsMaterial/ImplementingEducationPolicies/Improving-schools-in-WalesAnOECDPerspective.pdf" TargetMode="External"/><Relationship Id="rId35" Type="http://schemas.openxmlformats.org/officeDocument/2006/relationships/hyperlink" Target="https://doi.org/10.16922/wje.26.2.5" TargetMode="External"/><Relationship Id="rId43" Type="http://schemas.openxmlformats.org/officeDocument/2006/relationships/hyperlink" Target="https://doi.org/10.1002/curj.70008"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bera-journals.onlinelibrary.wiley.com/doi/full/10.1002/curj.259" TargetMode="External"/><Relationship Id="rId17" Type="http://schemas.openxmlformats.org/officeDocument/2006/relationships/hyperlink" Target="https://doi.org/10.1002/curj.342" TargetMode="External"/><Relationship Id="rId25" Type="http://schemas.openxmlformats.org/officeDocument/2006/relationships/hyperlink" Target="https://research-ebsco-com.ezproxy.uwtsd.ac.uk/c/onvpsy/viewer/pdf/paxeggms5z?route=details" TargetMode="External"/><Relationship Id="rId33" Type="http://schemas.openxmlformats.org/officeDocument/2006/relationships/hyperlink" Target="https://portal.geography.org.uk/downloads/journals/TG_SUM_2022_ROBINSON.pdf" TargetMode="External"/><Relationship Id="rId38" Type="http://schemas.openxmlformats.org/officeDocument/2006/relationships/hyperlink" Target="https://hwb.gov.wales/curriculum-for-wales/introduction" TargetMode="External"/><Relationship Id="rId46" Type="http://schemas.openxmlformats.org/officeDocument/2006/relationships/theme" Target="theme/theme1.xml"/><Relationship Id="rId20" Type="http://schemas.openxmlformats.org/officeDocument/2006/relationships/hyperlink" Target="https://doi.org/10.1002/curj.26" TargetMode="External"/><Relationship Id="rId41" Type="http://schemas.openxmlformats.org/officeDocument/2006/relationships/hyperlink" Target="https://www.wjec.co.uk/media/u3rbzz1p/wjec-gcse-maths-spec-from-2015-r-e.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5B931-D55E-43DF-A258-47E6DEDD3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42</Pages>
  <Words>8980</Words>
  <Characters>51189</Characters>
  <Application>Microsoft Office Word</Application>
  <DocSecurity>0</DocSecurity>
  <Lines>426</Lines>
  <Paragraphs>120</Paragraphs>
  <ScaleCrop>false</ScaleCrop>
  <Company/>
  <LinksUpToDate>false</LinksUpToDate>
  <CharactersWithSpaces>60049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Literature review</dc:title>
  <dc:subject>Owain Glyn Jones</dc:subject>
  <cp:lastModifiedBy>Owain Jones</cp:lastModifiedBy>
  <cp:revision>9</cp:revision>
  <dcterms:created xsi:type="dcterms:W3CDTF">2026-01-19T22:01:00Z</dcterms:created>
  <dcterms:modified xsi:type="dcterms:W3CDTF">2026-01-19T22:13:00Z</dcterms:modified>
</cp:coreProperties>
</file>