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64B13" w:rsidP="000751B4" w:rsidRDefault="000751B4" w14:paraId="7204353D" w14:textId="1AB40A00">
      <w:pPr>
        <w:pStyle w:val="Heading2"/>
      </w:pPr>
      <w:r w:rsidR="499BD54E">
        <w:rPr/>
        <w:t>Q. A</w:t>
      </w:r>
    </w:p>
    <w:p w:rsidR="000751B4" w:rsidP="000751B4" w:rsidRDefault="000751B4" w14:paraId="123A35F2" w14:textId="7BD6DBFA">
      <w:r w:rsidR="499BD54E">
        <w:rPr/>
        <w:t xml:space="preserve">Firstly, I will be discussing the liability of Hadley’s case and his offences. He went to Ronan’s house with the intention of stealing the Bucci trainers. A person is charged with theft when they take something which belongs to someone else with the intent of robbing them of it permanently. </w:t>
      </w:r>
    </w:p>
    <w:p w:rsidR="000751B4" w:rsidP="000751B4" w:rsidRDefault="000751B4" w14:paraId="6577B093" w14:textId="14BE9E3C">
      <w:r w:rsidR="499BD54E">
        <w:rPr/>
        <w:t xml:space="preserve">The words "thief" and "steal" should be properly understood. S.1 of the Theft Act of 1968 has this term. All types of property, including money, as well as tangible and intangible items, are regarded as property. </w:t>
      </w:r>
      <w:r w:rsidR="499BD54E">
        <w:rPr/>
        <w:t>Many</w:t>
      </w:r>
      <w:r w:rsidR="499BD54E">
        <w:rPr/>
        <w:t xml:space="preserve"> items will fit under the parameters of this definition since it is so broad. The concept of property is widened by the inclusion of the terms "things in action" and "intangible goods," which cover rights like those attached to equity or property rights</w:t>
      </w:r>
      <w:r w:rsidRPr="499BD54E" w:rsidR="499BD54E">
        <w:rPr>
          <w:noProof/>
        </w:rPr>
        <w:t>(LawTeacher, 2018)</w:t>
      </w:r>
      <w:r w:rsidR="499BD54E">
        <w:rPr/>
        <w:t xml:space="preserve">. </w:t>
      </w:r>
    </w:p>
    <w:p w:rsidR="000751B4" w:rsidP="000751B4" w:rsidRDefault="000751B4" w14:paraId="0EE16F2D" w14:textId="223EA1B3"/>
    <w:p w:rsidR="000751B4" w:rsidP="000751B4" w:rsidRDefault="000751B4" w14:paraId="4CA496A3" w14:textId="0AA5DAEB">
      <w:r w:rsidR="499BD54E">
        <w:rPr/>
        <w:t>Burglary is a crime according to Section 9 of the TA of 1968. There are two burglary offences listed in section 9, sections 9(1)(a) and (b).</w:t>
      </w:r>
    </w:p>
    <w:p w:rsidR="00AD2688" w:rsidP="00AD2688" w:rsidRDefault="00AD2688" w14:paraId="148AE39E" w14:textId="4FB44116">
      <w:pPr>
        <w:pStyle w:val="ListParagraph"/>
        <w:numPr>
          <w:ilvl w:val="0"/>
          <w:numId w:val="1"/>
        </w:numPr>
      </w:pPr>
      <w:r>
        <w:t>Hadley knew he was trespassing</w:t>
      </w:r>
    </w:p>
    <w:p w:rsidR="00AD2688" w:rsidP="00AD2688" w:rsidRDefault="00AD2688" w14:paraId="5131BBDD" w14:textId="29277144">
      <w:pPr>
        <w:pStyle w:val="ListParagraph"/>
        <w:numPr>
          <w:ilvl w:val="0"/>
          <w:numId w:val="1"/>
        </w:numPr>
        <w:rPr/>
      </w:pPr>
      <w:r w:rsidR="499BD54E">
        <w:rPr/>
        <w:t>He has full intention of stealing without any doubt which means he had direct intention.</w:t>
      </w:r>
    </w:p>
    <w:p w:rsidR="00DA7431" w:rsidP="00AD2688" w:rsidRDefault="00DA7431" w14:paraId="70C56E6C" w14:textId="59F36F2F">
      <w:pPr>
        <w:pStyle w:val="ListParagraph"/>
        <w:numPr>
          <w:ilvl w:val="0"/>
          <w:numId w:val="1"/>
        </w:numPr>
        <w:rPr/>
      </w:pPr>
      <w:r w:rsidR="499BD54E">
        <w:rPr/>
        <w:t xml:space="preserve">Actus Reus: Enters a property or a section of a property as </w:t>
      </w:r>
      <w:r w:rsidR="499BD54E">
        <w:rPr/>
        <w:t>a trespasser.</w:t>
      </w:r>
    </w:p>
    <w:p w:rsidR="000751B4" w:rsidP="00F95A27" w:rsidRDefault="00194E72" w14:paraId="3F4DDAB7" w14:textId="6BBFEF51">
      <w:pPr>
        <w:pStyle w:val="ListParagraph"/>
        <w:numPr>
          <w:ilvl w:val="0"/>
          <w:numId w:val="1"/>
        </w:numPr>
        <w:rPr/>
      </w:pPr>
      <w:r w:rsidR="499BD54E">
        <w:rPr/>
        <w:t>Mens</w:t>
      </w:r>
      <w:r w:rsidR="499BD54E">
        <w:rPr/>
        <w:t xml:space="preserve"> Rea: At the point of entrance, the intent to steal, cause criminal damage, and being negligent or knowing he was trespassing.</w:t>
      </w:r>
    </w:p>
    <w:p w:rsidR="499BD54E" w:rsidP="499BD54E" w:rsidRDefault="499BD54E" w14:paraId="4623AD7D" w14:textId="4F507146">
      <w:pPr>
        <w:pStyle w:val="Normal"/>
        <w:ind w:left="0"/>
      </w:pPr>
    </w:p>
    <w:p w:rsidR="000E5791" w:rsidP="00824718" w:rsidRDefault="00AD2688" w14:paraId="30F43228" w14:textId="247240F0">
      <w:r w:rsidR="499BD54E">
        <w:rPr/>
        <w:t xml:space="preserve">Hadley arrived at the scene, which is Ronan’s house, he </w:t>
      </w:r>
      <w:r w:rsidR="499BD54E">
        <w:rPr/>
        <w:t>proceeded</w:t>
      </w:r>
      <w:r w:rsidR="499BD54E">
        <w:rPr/>
        <w:t xml:space="preserve"> to enter from the back garden. He is trespassing which makes him liable for sections 9(1)(a) and (b) of the Theft Act 1968. </w:t>
      </w:r>
    </w:p>
    <w:p w:rsidR="000E5791" w:rsidP="499BD54E" w:rsidRDefault="00AD2688" w14:paraId="7F592D72" w14:textId="3C417D2B">
      <w:pPr>
        <w:pStyle w:val="Normal"/>
      </w:pPr>
      <w:r w:rsidR="499BD54E">
        <w:rPr/>
        <w:t xml:space="preserve">For example; the case of R v Brown (1985). The defendant, Brown, broke a shop window and inserted his upper body through the gap to seize the goods. His lower body was still outside the store. Under Section 9 of the Theft Act of 1968, he was found guilty of burglary as the entry was effective. Entry may be </w:t>
      </w:r>
      <w:r w:rsidR="499BD54E">
        <w:rPr/>
        <w:t>deemed</w:t>
      </w:r>
      <w:r w:rsidR="499BD54E">
        <w:rPr/>
        <w:t xml:space="preserve"> to have taken place even if the suspect did not access the premises using his complete body</w:t>
      </w:r>
      <w:r w:rsidRPr="499BD54E" w:rsidR="499BD54E">
        <w:rPr>
          <w:noProof/>
        </w:rPr>
        <w:t xml:space="preserve"> (Teacher, L, 2021)</w:t>
      </w:r>
      <w:r w:rsidR="499BD54E">
        <w:rPr/>
        <w:t xml:space="preserve">. </w:t>
      </w:r>
    </w:p>
    <w:p w:rsidR="499BD54E" w:rsidRDefault="499BD54E" w14:paraId="0853C218" w14:textId="1E7A2C6A"/>
    <w:p w:rsidR="499BD54E" w:rsidRDefault="499BD54E" w14:paraId="602A2B80" w14:textId="65F96282">
      <w:r w:rsidR="499BD54E">
        <w:rPr/>
        <w:t xml:space="preserve">Hadley was aware it was a building. According to the S.9 (4) of TA 1968 states that in the definition of building any vehicle or vessel even inhabited at the time of crime still counts as a building or part of the building, as the definition given in Stevens v Gourley (1859). Hadley knew that he did not have permission to enter the premises. </w:t>
      </w:r>
    </w:p>
    <w:p w:rsidR="499BD54E" w:rsidRDefault="499BD54E" w14:paraId="12B09879" w14:textId="11ADF2D9">
      <w:r w:rsidR="499BD54E">
        <w:rPr/>
        <w:t>Upon arrival, Hadley jumped over the fence and landed on the wooden bench, breaking it. This made him liable for the S.1(1) CDA 1971.</w:t>
      </w:r>
    </w:p>
    <w:p w:rsidR="499BD54E" w:rsidP="499BD54E" w:rsidRDefault="499BD54E" w14:paraId="7C588BFA" w14:textId="43889ABA">
      <w:pPr>
        <w:pStyle w:val="Normal"/>
      </w:pPr>
    </w:p>
    <w:p w:rsidR="499BD54E" w:rsidRDefault="499BD54E" w14:paraId="5CF8A857" w14:textId="2C68A805">
      <w:r w:rsidR="499BD54E">
        <w:rPr/>
        <w:t xml:space="preserve">He proceeded to enter the house using a bamboo stick to hook the keys from inside. In </w:t>
      </w:r>
    </w:p>
    <w:p w:rsidR="499BD54E" w:rsidRDefault="499BD54E" w14:paraId="06BB7788" w14:textId="0A336818">
      <w:r w:rsidR="499BD54E">
        <w:rPr/>
        <w:t>R v Davis (1823): The accused tried to enter a building. Before pausing, he made it as far as shoving in a windowpane. During this, a</w:t>
      </w:r>
      <w:r w:rsidR="499BD54E">
        <w:rPr/>
        <w:t xml:space="preserve"> </w:t>
      </w:r>
      <w:r w:rsidR="499BD54E">
        <w:rPr/>
        <w:t>portio</w:t>
      </w:r>
      <w:r w:rsidR="499BD54E">
        <w:rPr/>
        <w:t>n</w:t>
      </w:r>
      <w:r w:rsidR="499BD54E">
        <w:rPr/>
        <w:t xml:space="preserve"> of his finger could be made out inside the structure. The defendant was accused of burglary, but he claimed that since he had not "entered" the premises, he was innocent</w:t>
      </w:r>
      <w:r w:rsidRPr="499BD54E" w:rsidR="499BD54E">
        <w:rPr>
          <w:noProof/>
        </w:rPr>
        <w:t xml:space="preserve"> (Loquitur, I, 2022)</w:t>
      </w:r>
      <w:r w:rsidR="499BD54E">
        <w:rPr/>
        <w:t xml:space="preserve">. </w:t>
      </w:r>
    </w:p>
    <w:p w:rsidR="499BD54E" w:rsidRDefault="499BD54E" w14:paraId="26BD01EC" w14:textId="3889D150">
      <w:r w:rsidR="499BD54E">
        <w:rPr/>
        <w:t xml:space="preserve">Hadley committed a break-in. The Actus Reus of the offence was satisfied when he entered with a bamboo stick. According to s.9(1) of the 1968 Act, Hadley's partial entry within the premises marked entry. As </w:t>
      </w:r>
      <w:r w:rsidR="499BD54E">
        <w:rPr/>
        <w:t>stated</w:t>
      </w:r>
      <w:r w:rsidR="499BD54E">
        <w:rPr/>
        <w:t xml:space="preserve"> in R v. </w:t>
      </w:r>
      <w:r w:rsidR="499BD54E">
        <w:rPr/>
        <w:t>Horncastle</w:t>
      </w:r>
      <w:r w:rsidR="499BD54E">
        <w:rPr/>
        <w:t xml:space="preserve"> (2006), D used bamboo stick with hooks on the end to hook keys from inside the hallway in the building. The tool is used as an extension of D’s body.</w:t>
      </w:r>
    </w:p>
    <w:p w:rsidR="499BD54E" w:rsidP="499BD54E" w:rsidRDefault="499BD54E" w14:paraId="6A968A82" w14:textId="6D744027">
      <w:pPr>
        <w:pStyle w:val="Normal"/>
      </w:pPr>
    </w:p>
    <w:p w:rsidR="009E5710" w:rsidP="00824718" w:rsidRDefault="009E5710" w14:paraId="153C74A9" w14:textId="5C9F0DBF">
      <w:r w:rsidR="499BD54E">
        <w:rPr/>
        <w:t xml:space="preserve">With intention of stealing the Bucci trainers which he could not find, Hadley saw a </w:t>
      </w:r>
      <w:r w:rsidR="499BD54E">
        <w:rPr/>
        <w:t>Kolex</w:t>
      </w:r>
      <w:r w:rsidR="499BD54E">
        <w:rPr/>
        <w:t xml:space="preserve"> watch and made up his mind to steal that item instead. Here, he is liable for Sec.9 1(A) and Sec.9 1(B) Theft Act 1968 as he </w:t>
      </w:r>
      <w:r w:rsidR="499BD54E">
        <w:rPr/>
        <w:t>attempted</w:t>
      </w:r>
      <w:r w:rsidR="499BD54E">
        <w:rPr/>
        <w:t xml:space="preserve"> to steal property (items)which do not belong to him from Ronan’s house.</w:t>
      </w:r>
    </w:p>
    <w:p w:rsidR="00EE41F4" w:rsidP="00824718" w:rsidRDefault="00A005F6" w14:paraId="59C691EE" w14:textId="7C0BD1A3">
      <w:r w:rsidR="499BD54E">
        <w:rPr/>
        <w:t>Hadley poured aftershave into the bin (s.1(1) CDA 1971) and set the bin in the dressing room on fire. Criminal Damage Act 1971 arises through fire which makes Hadley liable for it</w:t>
      </w:r>
      <w:r w:rsidRPr="499BD54E" w:rsidR="499BD54E">
        <w:rPr>
          <w:noProof/>
        </w:rPr>
        <w:t xml:space="preserve"> (CPS, 2022)</w:t>
      </w:r>
      <w:r w:rsidR="499BD54E">
        <w:rPr/>
        <w:t xml:space="preserve">. </w:t>
      </w:r>
    </w:p>
    <w:p w:rsidR="00EE41F4" w:rsidP="00824718" w:rsidRDefault="00A005F6" w14:paraId="305F7C84" w14:textId="74793FE0">
      <w:r w:rsidR="499BD54E">
        <w:rPr/>
        <w:t>Hadley is also responsible for criminal damage by arson, or as it is more popularly known, arson, under s.1(3) of the CDA of 1971 when there is property destruction or damage that falls under Section 1(1) (Minor vandalism) or Section 1(2) (Aggravated Crime) of the Act</w:t>
      </w:r>
      <w:r w:rsidRPr="499BD54E" w:rsidR="499BD54E">
        <w:rPr>
          <w:noProof/>
        </w:rPr>
        <w:t xml:space="preserve"> (LawTeacher, 2018)</w:t>
      </w:r>
      <w:r w:rsidR="499BD54E">
        <w:rPr/>
        <w:t>.</w:t>
      </w:r>
    </w:p>
    <w:p w:rsidR="00EE41F4" w:rsidP="499BD54E" w:rsidRDefault="00A005F6" w14:paraId="033AC279" w14:textId="630FB2FE">
      <w:pPr>
        <w:pStyle w:val="Normal"/>
      </w:pPr>
      <w:r w:rsidR="499BD54E">
        <w:rPr/>
        <w:t xml:space="preserve">As in Cadwell (1982), D had an appeal that harbored hostility toward the manager of the hotel he was working in. In his anger, he lit the hotel on fire after being drunk one night. He was convicted of s.1(2) of the CDA 1971. The defendant said that he had not thought about harming any lives because he was intoxicated </w:t>
      </w:r>
      <w:r w:rsidRPr="499BD54E" w:rsidR="499BD54E">
        <w:rPr>
          <w:noProof/>
        </w:rPr>
        <w:t>(Chen, W, 2022)</w:t>
      </w:r>
      <w:r w:rsidR="499BD54E">
        <w:rPr/>
        <w:t>. Hadley had clear intentions of damaging the property without any second thoughts</w:t>
      </w:r>
      <w:r w:rsidR="499BD54E">
        <w:rPr/>
        <w:t xml:space="preserve">.  </w:t>
      </w:r>
    </w:p>
    <w:p w:rsidR="00EE41F4" w:rsidP="00824718" w:rsidRDefault="00A005F6" w14:paraId="5B328685" w14:textId="2696FCDA"/>
    <w:p w:rsidR="00EE41F4" w:rsidP="00824718" w:rsidRDefault="00A005F6" w14:paraId="665F1B9B" w14:textId="26F92E59">
      <w:r w:rsidR="499BD54E">
        <w:rPr/>
        <w:t xml:space="preserve">According to Roper v. Knott (1898), this is sufficient for the property to just lose value rather than become completely worthless </w:t>
      </w:r>
      <w:r w:rsidRPr="499BD54E" w:rsidR="499BD54E">
        <w:rPr>
          <w:noProof/>
        </w:rPr>
        <w:t>(LawTeacher, 2018)</w:t>
      </w:r>
      <w:r w:rsidR="499BD54E">
        <w:rPr/>
        <w:t xml:space="preserve">. </w:t>
      </w:r>
    </w:p>
    <w:p w:rsidR="00EE41F4" w:rsidP="00824718" w:rsidRDefault="00A005F6" w14:paraId="51001A90" w14:textId="5F8048F1">
      <w:r w:rsidR="499BD54E">
        <w:rPr/>
        <w:t xml:space="preserve">The most </w:t>
      </w:r>
      <w:r w:rsidR="499BD54E">
        <w:rPr/>
        <w:t>important factor</w:t>
      </w:r>
      <w:r w:rsidR="499BD54E">
        <w:rPr/>
        <w:t xml:space="preserve"> is that the property and all the items belong to Ronan whom Hadley not only trespassed but also damaged and stole items from there. He is liable for both Sec 4(1) TA and Sec 5(1) TA 1968.</w:t>
      </w:r>
    </w:p>
    <w:p w:rsidR="00BA537B" w:rsidP="00824718" w:rsidRDefault="00BA537B" w14:paraId="2EC0E1FC" w14:textId="1F5C5D78">
      <w:r w:rsidR="499BD54E">
        <w:rPr/>
        <w:t xml:space="preserve">Hadley is liable for trespassing, criminal damage, theft and arson and even if he pleads not guilty, his plead will be rejected as shown in all the mentioned law cases. His intentions and acts all </w:t>
      </w:r>
      <w:r w:rsidR="499BD54E">
        <w:rPr/>
        <w:t>indicate</w:t>
      </w:r>
      <w:r w:rsidR="499BD54E">
        <w:rPr/>
        <w:t xml:space="preserve"> that what he did is a crime and needs to be punished. He cannot rely on any defense.</w:t>
      </w:r>
    </w:p>
    <w:p w:rsidR="00824718" w:rsidP="00824718" w:rsidRDefault="00824718" w14:paraId="7E470D7A" w14:textId="472A373E">
      <w:pPr>
        <w:pStyle w:val="Heading2"/>
      </w:pPr>
      <w:r>
        <w:t>Reference List for Case Laws:</w:t>
      </w:r>
    </w:p>
    <w:p w:rsidR="00824718" w:rsidP="00824718" w:rsidRDefault="00824718" w14:paraId="3996182C" w14:textId="6EA3C6A8">
      <w:pPr>
        <w:pStyle w:val="ListParagraph"/>
        <w:numPr>
          <w:ilvl w:val="0"/>
          <w:numId w:val="8"/>
        </w:numPr>
      </w:pPr>
      <w:r w:rsidRPr="00EE41F4">
        <w:t>Roper v. Knott (1898) 1 QB 868</w:t>
      </w:r>
    </w:p>
    <w:p w:rsidR="00CC7F1E" w:rsidP="499BD54E" w:rsidRDefault="00CC7F1E" w14:paraId="1C08FCF7" w14:textId="7FD09463">
      <w:pPr>
        <w:pStyle w:val="ListParagraph"/>
        <w:numPr>
          <w:ilvl w:val="0"/>
          <w:numId w:val="8"/>
        </w:numPr>
        <w:rPr>
          <w:rFonts w:ascii="Roboto" w:hAnsi="Roboto" w:eastAsia="Roboto" w:cs="Roboto"/>
          <w:b w:val="1"/>
          <w:bCs w:val="1"/>
          <w:i w:val="0"/>
          <w:iCs w:val="0"/>
          <w:caps w:val="0"/>
          <w:smallCaps w:val="0"/>
          <w:noProof w:val="0"/>
          <w:color w:val="111111"/>
          <w:sz w:val="24"/>
          <w:szCs w:val="24"/>
          <w:lang w:val="en-US"/>
        </w:rPr>
      </w:pPr>
      <w:r w:rsidR="499BD54E">
        <w:rPr/>
        <w:t>R. v. Davis, [1823]</w:t>
      </w:r>
      <w:r w:rsidRPr="499BD54E" w:rsidR="499BD54E">
        <w:rPr>
          <w:rFonts w:ascii="Roboto" w:hAnsi="Roboto" w:eastAsia="Roboto" w:cs="Roboto"/>
          <w:b w:val="1"/>
          <w:bCs w:val="1"/>
          <w:i w:val="0"/>
          <w:iCs w:val="0"/>
          <w:caps w:val="0"/>
          <w:smallCaps w:val="0"/>
          <w:noProof w:val="0"/>
          <w:color w:val="111111"/>
          <w:sz w:val="24"/>
          <w:szCs w:val="24"/>
          <w:lang w:val="en-US"/>
        </w:rPr>
        <w:t xml:space="preserve"> </w:t>
      </w:r>
      <w:r w:rsidRPr="499BD54E" w:rsidR="499BD54E">
        <w:rPr>
          <w:rFonts w:ascii="Times New Roman" w:hAnsi="Times New Roman" w:eastAsia="Times New Roman" w:cs="Times New Roman"/>
          <w:b w:val="0"/>
          <w:bCs w:val="0"/>
          <w:i w:val="0"/>
          <w:iCs w:val="0"/>
          <w:caps w:val="0"/>
          <w:smallCaps w:val="0"/>
          <w:noProof w:val="0"/>
          <w:color w:val="111111"/>
          <w:sz w:val="24"/>
          <w:szCs w:val="24"/>
          <w:lang w:val="en-US"/>
        </w:rPr>
        <w:t>Russ &amp; Ry 499</w:t>
      </w:r>
      <w:r w:rsidR="499BD54E">
        <w:rPr>
          <w:b w:val="0"/>
          <w:bCs w:val="0"/>
        </w:rPr>
        <w:t xml:space="preserve"> </w:t>
      </w:r>
    </w:p>
    <w:p w:rsidR="00824718" w:rsidP="008B2DB7" w:rsidRDefault="00CC7F1E" w14:paraId="70BAABC5" w14:textId="143BBF90">
      <w:pPr>
        <w:pStyle w:val="ListParagraph"/>
        <w:numPr>
          <w:ilvl w:val="0"/>
          <w:numId w:val="8"/>
        </w:numPr>
        <w:rPr/>
      </w:pPr>
      <w:r w:rsidR="499BD54E">
        <w:rPr/>
        <w:t>R v Brown [1985] Crim LR 212</w:t>
      </w:r>
    </w:p>
    <w:p w:rsidR="00D01896" w:rsidP="008B2DB7" w:rsidRDefault="00D01896" w14:paraId="5330BDD2" w14:textId="6D9ABEBF">
      <w:pPr>
        <w:pStyle w:val="ListParagraph"/>
        <w:numPr>
          <w:ilvl w:val="0"/>
          <w:numId w:val="8"/>
        </w:numPr>
        <w:rPr/>
      </w:pPr>
      <w:r w:rsidR="499BD54E">
        <w:rPr/>
        <w:t>Stevens v Gourley (1859) 141 ER 742</w:t>
      </w:r>
    </w:p>
    <w:p w:rsidRPr="000751B4" w:rsidR="00DD0395" w:rsidP="00DD0395" w:rsidRDefault="00DD0395" w14:paraId="47D75998" w14:textId="5C361152">
      <w:pPr>
        <w:pStyle w:val="ListParagraph"/>
        <w:numPr>
          <w:ilvl w:val="0"/>
          <w:numId w:val="8"/>
        </w:numPr>
        <w:rPr/>
      </w:pPr>
      <w:r w:rsidR="499BD54E">
        <w:rPr/>
        <w:t>MPC v Caldwell [1982] AC 341</w:t>
      </w:r>
    </w:p>
    <w:p w:rsidR="499BD54E" w:rsidP="499BD54E" w:rsidRDefault="499BD54E" w14:paraId="4F612F15" w14:textId="5C77071A">
      <w:pPr>
        <w:pStyle w:val="ListParagraph"/>
        <w:numPr>
          <w:ilvl w:val="0"/>
          <w:numId w:val="8"/>
        </w:numPr>
        <w:rPr/>
      </w:pPr>
      <w:r w:rsidR="499BD54E">
        <w:rPr/>
        <w:t>R v Horncastle [2006]</w:t>
      </w:r>
    </w:p>
    <w:p w:rsidR="499BD54E" w:rsidP="499BD54E" w:rsidRDefault="499BD54E" w14:paraId="2164A15A" w14:textId="1250AF3B">
      <w:pPr>
        <w:pStyle w:val="Normal"/>
        <w:ind w:left="0"/>
      </w:pPr>
    </w:p>
    <w:p w:rsidR="00EE41F4" w:rsidP="00EE41F4" w:rsidRDefault="00C64B13" w14:paraId="44D962BD" w14:textId="4BDF6AC6">
      <w:pPr>
        <w:pStyle w:val="Heading2"/>
      </w:pPr>
      <w:r w:rsidR="499BD54E">
        <w:rPr/>
        <w:t>Q: B</w:t>
      </w:r>
    </w:p>
    <w:p w:rsidR="00EE41F4" w:rsidP="00EE41F4" w:rsidRDefault="00EE41F4" w14:paraId="3A30B9CD" w14:textId="30BD8253">
      <w:r w:rsidR="499BD54E">
        <w:rPr/>
        <w:t xml:space="preserve">I will now discuss Freya’s case. She has been charged under s.47 OAPA Act 1861. On the night of being heavily intoxicated, when Freya punched Mike, she was having a severe seizure. She was not in her senses and nor did she have any control over her muscle movement, as defined by Lord Denning in the case of Bratty v A-G for N. Ireland (1963). He </w:t>
      </w:r>
      <w:r w:rsidR="499BD54E">
        <w:rPr/>
        <w:t>states</w:t>
      </w:r>
      <w:r w:rsidR="499BD54E">
        <w:rPr/>
        <w:t>, ‘automatism is an act which is done by movement of the muscles and without any control of the mi</w:t>
      </w:r>
      <w:r w:rsidR="499BD54E">
        <w:rPr/>
        <w:t>nd</w:t>
      </w:r>
      <w:r w:rsidR="499BD54E">
        <w:rPr/>
        <w:t xml:space="preserve">’. </w:t>
      </w:r>
    </w:p>
    <w:p w:rsidR="00EE41F4" w:rsidP="00EE41F4" w:rsidRDefault="00EE41F4" w14:paraId="4D093C89" w14:textId="06E41046"/>
    <w:p w:rsidR="00EE41F4" w:rsidP="499BD54E" w:rsidRDefault="00EE41F4" w14:paraId="25635C62" w14:textId="7CC7991D">
      <w:pPr>
        <w:pStyle w:val="Normal"/>
      </w:pPr>
      <w:r w:rsidR="499BD54E">
        <w:rPr/>
        <w:t xml:space="preserve">The fact that she was voluntarily intoxicated does not make her completely immune from the charges. Where self-induced automatic state is caused by the external factor of intoxication, D cannot use the defense of automatism as mentioned in R v Lipman (1970). Taking </w:t>
      </w:r>
      <w:r w:rsidR="499BD54E">
        <w:rPr/>
        <w:t>LSD,</w:t>
      </w:r>
      <w:r w:rsidR="499BD54E">
        <w:rPr/>
        <w:t xml:space="preserve"> the Hallucination led D to think he was </w:t>
      </w:r>
      <w:r w:rsidR="499BD54E">
        <w:rPr/>
        <w:t>being attacked by snakes and suffocated</w:t>
      </w:r>
      <w:r w:rsidR="499BD54E">
        <w:rPr/>
        <w:t xml:space="preserve"> and strangle his girlfriend. </w:t>
      </w:r>
    </w:p>
    <w:p w:rsidR="00EE41F4" w:rsidP="499BD54E" w:rsidRDefault="00EE41F4" w14:paraId="1B51C727" w14:textId="0D547065">
      <w:pPr>
        <w:pStyle w:val="Normal"/>
      </w:pPr>
      <w:r w:rsidR="499BD54E">
        <w:rPr/>
        <w:t xml:space="preserve">But when a person is in a state where he/she cannot recall the crime after being voluntarily intoxicated, this can be a defense to the crime up to some extent </w:t>
      </w:r>
      <w:r w:rsidRPr="499BD54E" w:rsidR="499BD54E">
        <w:rPr>
          <w:noProof/>
        </w:rPr>
        <w:t>(Guidance, L, 2018)</w:t>
      </w:r>
      <w:r w:rsidR="499BD54E">
        <w:rPr/>
        <w:t xml:space="preserve">. She can rely on the defense of automatism and intoxication. </w:t>
      </w:r>
    </w:p>
    <w:p w:rsidR="00EE41F4" w:rsidP="499BD54E" w:rsidRDefault="00EE41F4" w14:paraId="623B5E52" w14:textId="0B1EAE26">
      <w:pPr>
        <w:pStyle w:val="Normal"/>
      </w:pPr>
    </w:p>
    <w:p w:rsidR="00EE41F4" w:rsidP="499BD54E" w:rsidRDefault="00EE41F4" w14:paraId="0B11C590" w14:textId="745299B4">
      <w:pPr>
        <w:pStyle w:val="Normal"/>
      </w:pPr>
      <w:r w:rsidR="499BD54E">
        <w:rPr/>
        <w:t xml:space="preserve">A defense may fall under more than one category because there are many </w:t>
      </w:r>
      <w:r w:rsidR="499BD54E">
        <w:rPr/>
        <w:t>different types</w:t>
      </w:r>
      <w:r w:rsidR="499BD54E">
        <w:rPr/>
        <w:t xml:space="preserve"> of </w:t>
      </w:r>
      <w:r w:rsidR="499BD54E">
        <w:rPr/>
        <w:t>defenses</w:t>
      </w:r>
      <w:r w:rsidR="499BD54E">
        <w:rPr/>
        <w:t xml:space="preserve"> in law. These varieties include:</w:t>
      </w:r>
    </w:p>
    <w:p w:rsidR="00042305" w:rsidP="00042305" w:rsidRDefault="00042305" w14:paraId="43C6FE41" w14:textId="602FBF79">
      <w:pPr>
        <w:pStyle w:val="ListParagraph"/>
        <w:numPr>
          <w:ilvl w:val="0"/>
          <w:numId w:val="9"/>
        </w:numPr>
        <w:rPr/>
      </w:pPr>
      <w:r w:rsidR="499BD54E">
        <w:rPr/>
        <w:t xml:space="preserve">Complete </w:t>
      </w:r>
      <w:r w:rsidR="499BD54E">
        <w:rPr/>
        <w:t>defenses</w:t>
      </w:r>
      <w:r w:rsidR="499BD54E">
        <w:rPr/>
        <w:t>: Defendant can completely rely on it to shield against all liabilities.</w:t>
      </w:r>
    </w:p>
    <w:p w:rsidR="00042305" w:rsidP="00042305" w:rsidRDefault="00042305" w14:paraId="6898F2BA" w14:textId="628BB215">
      <w:pPr>
        <w:pStyle w:val="ListParagraph"/>
        <w:numPr>
          <w:ilvl w:val="0"/>
          <w:numId w:val="9"/>
        </w:numPr>
      </w:pPr>
      <w:r>
        <w:t xml:space="preserve">Defenses that only partially succeed: </w:t>
      </w:r>
      <w:r w:rsidR="00F95A27">
        <w:t>lowers the charge</w:t>
      </w:r>
      <w:r>
        <w:t>.</w:t>
      </w:r>
    </w:p>
    <w:p w:rsidR="00042305" w:rsidP="00042305" w:rsidRDefault="00042305" w14:paraId="1FCFA5C8" w14:textId="5E465AE9">
      <w:pPr>
        <w:pStyle w:val="ListParagraph"/>
        <w:numPr>
          <w:ilvl w:val="0"/>
          <w:numId w:val="9"/>
        </w:numPr>
        <w:rPr/>
      </w:pPr>
      <w:r w:rsidR="499BD54E">
        <w:rPr/>
        <w:t xml:space="preserve">Special </w:t>
      </w:r>
      <w:r w:rsidR="499BD54E">
        <w:rPr/>
        <w:t>defenses</w:t>
      </w:r>
      <w:r w:rsidR="499BD54E">
        <w:rPr/>
        <w:t>: applicable only to specific types of crime.</w:t>
      </w:r>
    </w:p>
    <w:p w:rsidR="00042305" w:rsidP="00042305" w:rsidRDefault="00042305" w14:paraId="3224A551" w14:textId="38BC74E1">
      <w:pPr>
        <w:pStyle w:val="ListParagraph"/>
        <w:numPr>
          <w:ilvl w:val="0"/>
          <w:numId w:val="9"/>
        </w:numPr>
        <w:rPr/>
      </w:pPr>
      <w:r w:rsidR="499BD54E">
        <w:rPr/>
        <w:t xml:space="preserve">Excusatory </w:t>
      </w:r>
      <w:r w:rsidR="499BD54E">
        <w:rPr/>
        <w:t>defenses</w:t>
      </w:r>
      <w:r w:rsidR="499BD54E">
        <w:rPr/>
        <w:t>: No proof related to the crime done by the defendant.</w:t>
      </w:r>
    </w:p>
    <w:p w:rsidR="00042305" w:rsidP="00042305" w:rsidRDefault="00042305" w14:paraId="7DF1E477" w14:textId="0E1744B5">
      <w:pPr>
        <w:pStyle w:val="ListParagraph"/>
        <w:numPr>
          <w:ilvl w:val="0"/>
          <w:numId w:val="9"/>
        </w:numPr>
        <w:rPr/>
      </w:pPr>
      <w:r w:rsidR="499BD54E">
        <w:rPr/>
        <w:t xml:space="preserve">Justificatory </w:t>
      </w:r>
      <w:r w:rsidR="499BD54E">
        <w:rPr/>
        <w:t>defenses</w:t>
      </w:r>
      <w:r w:rsidR="499BD54E">
        <w:rPr/>
        <w:t>: When the defendant justifies his/her crime</w:t>
      </w:r>
      <w:r w:rsidRPr="499BD54E" w:rsidR="499BD54E">
        <w:rPr>
          <w:noProof/>
        </w:rPr>
        <w:t xml:space="preserve"> (LawTeacher.net, 2018)</w:t>
      </w:r>
      <w:r w:rsidR="499BD54E">
        <w:rPr/>
        <w:t>.</w:t>
      </w:r>
    </w:p>
    <w:p w:rsidR="00042305" w:rsidP="00EE41F4" w:rsidRDefault="00042305" w14:paraId="1E3CAE02" w14:textId="6B3328E8">
      <w:r w:rsidR="499BD54E">
        <w:rPr/>
        <w:t xml:space="preserve">As shown in the case of, R v Clarke [2009], due to a hypoglycemic crisis while driving his car and having type 1 diabetes, Clarke struck two pedestrians on a pavement. He was found guilty of reckless driving that resulted in death. The court concluded that Clarke would have had little time to become aware before the attack took place after taking Clarke's deteriorating health into account further. </w:t>
      </w:r>
      <w:r w:rsidRPr="499BD54E" w:rsidR="499BD54E">
        <w:rPr>
          <w:noProof/>
        </w:rPr>
        <w:t>(LawTeacher.net, 2019)</w:t>
      </w:r>
      <w:r w:rsidR="499BD54E">
        <w:rPr/>
        <w:t>.</w:t>
      </w:r>
    </w:p>
    <w:p w:rsidR="499BD54E" w:rsidP="499BD54E" w:rsidRDefault="499BD54E" w14:paraId="104BB667" w14:textId="3B358D8E">
      <w:pPr>
        <w:pStyle w:val="Normal"/>
      </w:pPr>
    </w:p>
    <w:p w:rsidR="499BD54E" w:rsidP="499BD54E" w:rsidRDefault="499BD54E" w14:paraId="030E9250" w14:textId="47801737">
      <w:pPr>
        <w:pStyle w:val="Normal"/>
      </w:pPr>
      <w:r w:rsidR="499BD54E">
        <w:rPr/>
        <w:t>A case law of R v Quick [1973] relates to Freya’s case. Here, D suffered from hypoglycemia which caused him to attack a patient. He collapsed and could not recall any memory of the incident</w:t>
      </w:r>
      <w:r w:rsidR="499BD54E">
        <w:rPr/>
        <w:t xml:space="preserve">.  </w:t>
      </w:r>
      <w:r w:rsidR="499BD54E">
        <w:rPr/>
        <w:t>He was found liable for s.47 OAPA 1861. He raised the defense of automatism.</w:t>
      </w:r>
    </w:p>
    <w:p w:rsidR="499BD54E" w:rsidP="499BD54E" w:rsidRDefault="499BD54E" w14:paraId="43D522DF" w14:textId="51DC2855">
      <w:pPr>
        <w:pStyle w:val="Normal"/>
      </w:pPr>
    </w:p>
    <w:p w:rsidR="00BA537B" w:rsidP="499BD54E" w:rsidRDefault="00BA537B" w14:paraId="29ECF045" w14:textId="4C35EDAA">
      <w:pPr>
        <w:pStyle w:val="Normal"/>
      </w:pPr>
      <w:r w:rsidR="499BD54E">
        <w:rPr/>
        <w:t xml:space="preserve">Another case slightly severe to Freya’s case, according to the DPP v. Majewski [1977] law case, D had been heavily drinking and taken drugs. He got into a fight in a pub and ended up attacking the </w:t>
      </w:r>
      <w:r w:rsidR="499BD54E">
        <w:rPr/>
        <w:t>landlord</w:t>
      </w:r>
      <w:r w:rsidR="499BD54E">
        <w:rPr/>
        <w:t xml:space="preserve"> and the arresting police officer. He was charged with s.47 OAPA 1861 and assault. The conviction was </w:t>
      </w:r>
      <w:r w:rsidR="499BD54E">
        <w:rPr/>
        <w:t>upheld,</w:t>
      </w:r>
      <w:r w:rsidR="499BD54E">
        <w:rPr/>
        <w:t xml:space="preserve"> and his appeal was dismissed. Although he claimed to lack the </w:t>
      </w:r>
      <w:r w:rsidR="499BD54E">
        <w:rPr/>
        <w:t>mens</w:t>
      </w:r>
      <w:r w:rsidR="499BD54E">
        <w:rPr/>
        <w:t xml:space="preserve"> rea, the crime was of basic intent and so intoxication could not be relied on as a defense. </w:t>
      </w:r>
      <w:r w:rsidRPr="499BD54E" w:rsidR="499BD54E">
        <w:rPr>
          <w:noProof/>
        </w:rPr>
        <w:t>(Commission, L, 2009)</w:t>
      </w:r>
      <w:r w:rsidR="499BD54E">
        <w:rPr/>
        <w:t>.</w:t>
      </w:r>
    </w:p>
    <w:p w:rsidR="00BA537B" w:rsidP="499BD54E" w:rsidRDefault="00BA537B" w14:paraId="4476D889" w14:textId="427F2CC9">
      <w:pPr>
        <w:pStyle w:val="Normal"/>
      </w:pPr>
    </w:p>
    <w:p w:rsidR="00BA537B" w:rsidP="499BD54E" w:rsidRDefault="00BA537B" w14:paraId="6FE65B15" w14:textId="6FEB7880">
      <w:pPr>
        <w:pStyle w:val="Normal"/>
      </w:pPr>
      <w:r w:rsidR="499BD54E">
        <w:rPr/>
        <w:t>A different piece of case law, MPC v. Caldwell [1982] AC 341, had an appeal that </w:t>
      </w:r>
      <w:r w:rsidR="499BD54E">
        <w:rPr/>
        <w:t>harboured</w:t>
      </w:r>
      <w:r w:rsidR="499BD54E">
        <w:rPr/>
        <w:t xml:space="preserve"> hostility toward the manager of the hotel he was working in. In his anger, he lit the hotel on fir after being drunk one night. Currently, there were ten guests staying at the motel. Fortunately, the fire was swiftly put out, preventing any injuries to the occupants. After being convicted of s.1(2) of the CDA 1971, the appellant contested the finding of the required level of negligence. The defendant said that he had not thought about harming any lives because he was intoxicated </w:t>
      </w:r>
      <w:r w:rsidRPr="499BD54E" w:rsidR="499BD54E">
        <w:rPr>
          <w:noProof/>
        </w:rPr>
        <w:t>(Chen, W, 2022)</w:t>
      </w:r>
      <w:r w:rsidR="499BD54E">
        <w:rPr/>
        <w:t>.</w:t>
      </w:r>
    </w:p>
    <w:p w:rsidR="00042305" w:rsidP="499BD54E" w:rsidRDefault="00042305" w14:paraId="005F25C4" w14:textId="4F4F6A1B">
      <w:pPr>
        <w:pStyle w:val="Normal"/>
      </w:pPr>
    </w:p>
    <w:p w:rsidR="00042305" w:rsidP="499BD54E" w:rsidRDefault="00042305" w14:paraId="7CC44627" w14:textId="672EA013">
      <w:pPr>
        <w:pStyle w:val="Normal"/>
      </w:pPr>
      <w:r w:rsidR="499BD54E">
        <w:rPr/>
        <w:t xml:space="preserve">Freya can rely on the defense of intoxication as although she was voluntarily intoxicated, she was in a state of mind where she could not recall any memory of the incident. As well as </w:t>
      </w:r>
      <w:r w:rsidR="499BD54E">
        <w:rPr/>
        <w:t>this, she</w:t>
      </w:r>
      <w:r w:rsidR="499BD54E">
        <w:rPr/>
        <w:t xml:space="preserve"> was in a state of a seizure and so it would have been more difficult for her to form the necessary </w:t>
      </w:r>
      <w:r w:rsidR="499BD54E">
        <w:rPr/>
        <w:t>mens</w:t>
      </w:r>
      <w:r w:rsidR="499BD54E">
        <w:rPr/>
        <w:t xml:space="preserve"> rea. The defense may be </w:t>
      </w:r>
      <w:r w:rsidR="499BD54E">
        <w:rPr/>
        <w:t>available to some extent</w:t>
      </w:r>
      <w:r w:rsidR="499BD54E">
        <w:rPr/>
        <w:t>. She can also claim the defense of automatism as the external factor had triggered her medical condition which resulted in a seizure where she had total loss of voluntary control over her muscle movement and caused her to punch mike.</w:t>
      </w:r>
    </w:p>
    <w:p w:rsidR="00042305" w:rsidP="00042305" w:rsidRDefault="00042305" w14:paraId="4AF634CE" w14:textId="47E9BB15">
      <w:pPr>
        <w:pStyle w:val="Heading2"/>
      </w:pPr>
      <w:r w:rsidR="499BD54E">
        <w:rPr/>
        <w:t>Reference of Case Laws:</w:t>
      </w:r>
    </w:p>
    <w:p w:rsidRPr="000751B4" w:rsidR="00DD0395" w:rsidP="00DD0395" w:rsidRDefault="00DD0395" w14:paraId="6226CFE9" w14:textId="77777777">
      <w:pPr>
        <w:pStyle w:val="ListParagraph"/>
        <w:numPr>
          <w:ilvl w:val="0"/>
          <w:numId w:val="10"/>
        </w:numPr>
      </w:pPr>
      <w:r w:rsidRPr="00462D7A">
        <w:t>MPC v Caldwell [1982] AC 341</w:t>
      </w:r>
    </w:p>
    <w:p w:rsidR="00191CCA" w:rsidP="00191CCA" w:rsidRDefault="00191CCA" w14:paraId="19BD1E2A" w14:textId="5DB44B5E">
      <w:pPr>
        <w:pStyle w:val="ListParagraph"/>
        <w:numPr>
          <w:ilvl w:val="0"/>
          <w:numId w:val="10"/>
        </w:numPr>
      </w:pPr>
      <w:r w:rsidRPr="008C28AF">
        <w:t>DPP v Majewski [1977] AC 443</w:t>
      </w:r>
    </w:p>
    <w:p w:rsidR="00191CCA" w:rsidP="00191CCA" w:rsidRDefault="00191CCA" w14:paraId="68BC2B9D" w14:textId="73D69CE1">
      <w:pPr>
        <w:pStyle w:val="ListParagraph"/>
        <w:numPr>
          <w:ilvl w:val="0"/>
          <w:numId w:val="10"/>
        </w:numPr>
      </w:pPr>
      <w:r w:rsidRPr="00042305">
        <w:t>R v Clarke [2009] EWCA Crim 921</w:t>
      </w:r>
    </w:p>
    <w:p w:rsidR="00BA537B" w:rsidP="00191CCA" w:rsidRDefault="00BA537B" w14:paraId="0B4D5E2D" w14:textId="6DC79AC5">
      <w:pPr>
        <w:pStyle w:val="ListParagraph"/>
        <w:numPr>
          <w:ilvl w:val="0"/>
          <w:numId w:val="10"/>
        </w:numPr>
        <w:rPr/>
      </w:pPr>
      <w:r w:rsidR="499BD54E">
        <w:rPr/>
        <w:t>R v Quick [1973] QB 910</w:t>
      </w:r>
    </w:p>
    <w:p w:rsidR="499BD54E" w:rsidP="499BD54E" w:rsidRDefault="499BD54E" w14:paraId="64F79EC3" w14:textId="63F36B2E">
      <w:pPr>
        <w:pStyle w:val="ListParagraph"/>
        <w:numPr>
          <w:ilvl w:val="0"/>
          <w:numId w:val="10"/>
        </w:numPr>
        <w:rPr>
          <w:rFonts w:ascii="Times New Roman" w:hAnsi="Times New Roman" w:eastAsia="Times New Roman" w:cs="Times New Roman"/>
          <w:b w:val="0"/>
          <w:bCs w:val="0"/>
          <w:noProof w:val="0"/>
          <w:sz w:val="24"/>
          <w:szCs w:val="24"/>
          <w:lang w:val="en-US"/>
        </w:rPr>
      </w:pPr>
      <w:r w:rsidRPr="499BD54E" w:rsidR="499BD54E">
        <w:rPr>
          <w:rFonts w:ascii="Times New Roman" w:hAnsi="Times New Roman" w:eastAsia="Times New Roman" w:cs="Times New Roman"/>
          <w:b w:val="0"/>
          <w:bCs w:val="0"/>
          <w:i w:val="0"/>
          <w:iCs w:val="0"/>
          <w:caps w:val="0"/>
          <w:smallCaps w:val="0"/>
          <w:noProof w:val="0"/>
          <w:color w:val="111111"/>
          <w:sz w:val="24"/>
          <w:szCs w:val="24"/>
          <w:lang w:val="en-US"/>
        </w:rPr>
        <w:t>R v Lipman</w:t>
      </w:r>
      <w:r w:rsidRPr="499BD54E" w:rsidR="499BD54E">
        <w:rPr>
          <w:rFonts w:ascii="Times New Roman" w:hAnsi="Times New Roman" w:eastAsia="Times New Roman" w:cs="Times New Roman"/>
          <w:b w:val="0"/>
          <w:bCs w:val="0"/>
          <w:i w:val="0"/>
          <w:iCs w:val="0"/>
          <w:caps w:val="0"/>
          <w:smallCaps w:val="0"/>
          <w:noProof w:val="0"/>
          <w:color w:val="111111"/>
          <w:sz w:val="24"/>
          <w:szCs w:val="24"/>
          <w:lang w:val="en-US"/>
        </w:rPr>
        <w:t xml:space="preserve"> [1970] 1 QB 152</w:t>
      </w:r>
    </w:p>
    <w:p w:rsidR="499BD54E" w:rsidP="499BD54E" w:rsidRDefault="499BD54E" w14:paraId="3D4032CD" w14:textId="03A04EC0">
      <w:pPr>
        <w:pStyle w:val="ListParagraph"/>
        <w:numPr>
          <w:ilvl w:val="0"/>
          <w:numId w:val="10"/>
        </w:numPr>
        <w:rPr>
          <w:rFonts w:ascii="Times New Roman" w:hAnsi="Times New Roman" w:eastAsia="Times New Roman" w:cs="Times New Roman"/>
          <w:b w:val="0"/>
          <w:bCs w:val="0"/>
          <w:noProof w:val="0"/>
          <w:sz w:val="24"/>
          <w:szCs w:val="24"/>
          <w:lang w:val="en-US"/>
        </w:rPr>
      </w:pPr>
      <w:r w:rsidRPr="499BD54E" w:rsidR="499BD54E">
        <w:rPr>
          <w:rFonts w:ascii="Times New Roman" w:hAnsi="Times New Roman" w:eastAsia="Times New Roman" w:cs="Times New Roman"/>
          <w:b w:val="0"/>
          <w:bCs w:val="0"/>
          <w:i w:val="0"/>
          <w:iCs w:val="0"/>
          <w:caps w:val="0"/>
          <w:smallCaps w:val="0"/>
          <w:noProof w:val="0"/>
          <w:color w:val="111111"/>
          <w:sz w:val="24"/>
          <w:szCs w:val="24"/>
          <w:lang w:val="en-US"/>
        </w:rPr>
        <w:t>Bratty v A-G for N. Ireland [1963] AC 386</w:t>
      </w:r>
    </w:p>
    <w:p w:rsidR="00191CCA" w:rsidRDefault="00191CCA" w14:paraId="79117E6F" w14:textId="7E3209A3">
      <w:pPr>
        <w:spacing w:after="160" w:line="259" w:lineRule="auto"/>
        <w:jc w:val="left"/>
      </w:pPr>
      <w:r>
        <w:br w:type="page"/>
      </w:r>
    </w:p>
    <w:sdt>
      <w:sdtPr>
        <w:rPr>
          <w:rFonts w:eastAsia="Times New Roman" w:cs="Times New Roman"/>
          <w:b w:val="0"/>
          <w:szCs w:val="24"/>
        </w:rPr>
        <w:id w:val="1730965128"/>
        <w:docPartObj>
          <w:docPartGallery w:val="Bibliographies"/>
          <w:docPartUnique/>
        </w:docPartObj>
      </w:sdtPr>
      <w:sdtContent>
        <w:p w:rsidR="00191CCA" w:rsidRDefault="00191CCA" w14:paraId="350BB874" w14:textId="6DA37A46">
          <w:pPr>
            <w:pStyle w:val="Heading1"/>
          </w:pPr>
          <w:r>
            <w:t>References</w:t>
          </w:r>
        </w:p>
        <w:sdt>
          <w:sdtPr>
            <w:id w:val="-573587230"/>
            <w:bibliography/>
          </w:sdtPr>
          <w:sdtContent>
            <w:p w:rsidR="00191CCA" w:rsidP="00191CCA" w:rsidRDefault="00191CCA" w14:paraId="02624525" w14:textId="2921C3D7">
              <w:pPr>
                <w:pStyle w:val="Bibliography"/>
                <w:rPr>
                  <w:noProof/>
                </w:rPr>
              </w:pPr>
              <w:r>
                <w:rPr>
                  <w:noProof/>
                </w:rPr>
                <w:t xml:space="preserve">Chen, W., (2022). R v Caldwell [1982] AC 341. </w:t>
              </w:r>
              <w:r>
                <w:rPr>
                  <w:i/>
                  <w:iCs/>
                  <w:noProof/>
                </w:rPr>
                <w:t>Lawprof</w:t>
              </w:r>
              <w:r>
                <w:rPr>
                  <w:noProof/>
                </w:rPr>
                <w:t xml:space="preserve">, 29 December. </w:t>
              </w:r>
            </w:p>
            <w:p w:rsidR="00191CCA" w:rsidP="00191CCA" w:rsidRDefault="00191CCA" w14:paraId="0F034355" w14:textId="3E6106E6">
              <w:pPr>
                <w:pStyle w:val="Bibliography"/>
                <w:rPr>
                  <w:noProof/>
                </w:rPr>
              </w:pPr>
              <w:r>
                <w:rPr>
                  <w:noProof/>
                </w:rPr>
                <w:t xml:space="preserve">Commission, L., (2009). Intoxication and criminal liability. </w:t>
              </w:r>
              <w:r>
                <w:rPr>
                  <w:i/>
                  <w:iCs/>
                  <w:noProof/>
                </w:rPr>
                <w:t>Intoxication</w:t>
              </w:r>
              <w:r>
                <w:rPr>
                  <w:noProof/>
                </w:rPr>
                <w:t xml:space="preserve">, January. </w:t>
              </w:r>
            </w:p>
            <w:p w:rsidR="00191CCA" w:rsidP="00191CCA" w:rsidRDefault="00191CCA" w14:paraId="0B3AD1C7" w14:textId="17C5ADAB">
              <w:pPr>
                <w:pStyle w:val="Bibliography"/>
                <w:rPr>
                  <w:noProof/>
                </w:rPr>
              </w:pPr>
              <w:r>
                <w:rPr>
                  <w:noProof/>
                </w:rPr>
                <w:t xml:space="preserve">CPS, (2022). Criminal Damage. </w:t>
              </w:r>
              <w:r>
                <w:rPr>
                  <w:i/>
                  <w:iCs/>
                  <w:noProof/>
                </w:rPr>
                <w:t>Violent crime</w:t>
              </w:r>
              <w:r>
                <w:rPr>
                  <w:noProof/>
                </w:rPr>
                <w:t xml:space="preserve">, 18 July. </w:t>
              </w:r>
            </w:p>
            <w:p w:rsidR="00191CCA" w:rsidP="00191CCA" w:rsidRDefault="00191CCA" w14:paraId="6A8E64C1" w14:textId="62F04D10">
              <w:pPr>
                <w:pStyle w:val="Bibliography"/>
                <w:rPr>
                  <w:noProof/>
                </w:rPr>
              </w:pPr>
              <w:r>
                <w:rPr>
                  <w:noProof/>
                </w:rPr>
                <w:t xml:space="preserve">Guidance, L., (2018). Intoxication. </w:t>
              </w:r>
              <w:r>
                <w:rPr>
                  <w:i/>
                  <w:iCs/>
                  <w:noProof/>
                </w:rPr>
                <w:t>CPS</w:t>
              </w:r>
              <w:r>
                <w:rPr>
                  <w:noProof/>
                </w:rPr>
                <w:t xml:space="preserve">, 19 November. </w:t>
              </w:r>
            </w:p>
            <w:p w:rsidR="00191CCA" w:rsidP="00191CCA" w:rsidRDefault="00191CCA" w14:paraId="73BC396B" w14:textId="54D413FD">
              <w:pPr>
                <w:pStyle w:val="Bibliography"/>
                <w:rPr>
                  <w:noProof/>
                </w:rPr>
              </w:pPr>
              <w:r>
                <w:rPr>
                  <w:noProof/>
                </w:rPr>
                <w:t xml:space="preserve">Lawresources, (2022). Mens rea - Reckless. </w:t>
              </w:r>
              <w:r>
                <w:rPr>
                  <w:i/>
                  <w:iCs/>
                  <w:noProof/>
                </w:rPr>
                <w:t>Criminal</w:t>
              </w:r>
              <w:r>
                <w:rPr>
                  <w:noProof/>
                </w:rPr>
                <w:t xml:space="preserve">, 29 December. </w:t>
              </w:r>
            </w:p>
            <w:p w:rsidR="00191CCA" w:rsidP="00191CCA" w:rsidRDefault="00191CCA" w14:paraId="16F3C100" w14:textId="4CF0C8B6">
              <w:pPr>
                <w:pStyle w:val="Bibliography"/>
                <w:rPr>
                  <w:noProof/>
                </w:rPr>
              </w:pPr>
              <w:r>
                <w:rPr>
                  <w:noProof/>
                </w:rPr>
                <w:t xml:space="preserve">LawTeacher.net, (2018). </w:t>
              </w:r>
              <w:r>
                <w:rPr>
                  <w:i/>
                  <w:iCs/>
                  <w:noProof/>
                </w:rPr>
                <w:t xml:space="preserve">Insanity, Automatism and Intoxication Criminal Law Lecture. </w:t>
              </w:r>
              <w:r>
                <w:rPr>
                  <w:noProof/>
                </w:rPr>
                <w:t xml:space="preserve">[Online] </w:t>
              </w:r>
              <w:r>
                <w:rPr>
                  <w:noProof/>
                </w:rPr>
                <w:br/>
              </w:r>
              <w:r>
                <w:rPr>
                  <w:noProof/>
                </w:rPr>
                <w:t xml:space="preserve">Available at: </w:t>
              </w:r>
              <w:r>
                <w:rPr>
                  <w:noProof/>
                  <w:u w:val="single"/>
                </w:rPr>
                <w:t>https://www.lawteacher.net/lectures/criminal-law/denials-defences/insanity-automatism-intoxication/#citethis</w:t>
              </w:r>
              <w:r>
                <w:rPr>
                  <w:noProof/>
                </w:rPr>
                <w:br/>
              </w:r>
              <w:r>
                <w:rPr>
                  <w:noProof/>
                </w:rPr>
                <w:t>[Accessed 29 December 2022].</w:t>
              </w:r>
            </w:p>
            <w:p w:rsidR="00191CCA" w:rsidP="00191CCA" w:rsidRDefault="00191CCA" w14:paraId="203FCBAF" w14:textId="5CCA98E4">
              <w:pPr>
                <w:pStyle w:val="Bibliography"/>
                <w:rPr>
                  <w:noProof/>
                </w:rPr>
              </w:pPr>
              <w:r>
                <w:rPr>
                  <w:noProof/>
                </w:rPr>
                <w:t xml:space="preserve">LawTeacher, (2018). Property Offences Lecture. </w:t>
              </w:r>
              <w:r>
                <w:rPr>
                  <w:i/>
                  <w:iCs/>
                  <w:noProof/>
                </w:rPr>
                <w:t>Property Offences</w:t>
              </w:r>
              <w:r>
                <w:rPr>
                  <w:noProof/>
                </w:rPr>
                <w:t xml:space="preserve">, 27 November. </w:t>
              </w:r>
            </w:p>
            <w:p w:rsidR="00191CCA" w:rsidP="00191CCA" w:rsidRDefault="00191CCA" w14:paraId="4A75B245" w14:textId="3D7116C3">
              <w:pPr>
                <w:pStyle w:val="Bibliography"/>
                <w:rPr>
                  <w:noProof/>
                </w:rPr>
              </w:pPr>
              <w:r>
                <w:rPr>
                  <w:noProof/>
                </w:rPr>
                <w:t xml:space="preserve">Loquitur, I., (2022). R v Davis. </w:t>
              </w:r>
              <w:r>
                <w:rPr>
                  <w:i/>
                  <w:iCs/>
                  <w:noProof/>
                </w:rPr>
                <w:t>Russ &amp; Ry 499.</w:t>
              </w:r>
              <w:r>
                <w:rPr>
                  <w:noProof/>
                </w:rPr>
                <w:t xml:space="preserve">, 28 December. </w:t>
              </w:r>
            </w:p>
            <w:p w:rsidR="00191CCA" w:rsidP="00191CCA" w:rsidRDefault="00191CCA" w14:paraId="1DB00599" w14:textId="0F62DE88">
              <w:pPr>
                <w:pStyle w:val="Bibliography"/>
                <w:rPr>
                  <w:noProof/>
                </w:rPr>
              </w:pPr>
              <w:r>
                <w:rPr>
                  <w:noProof/>
                </w:rPr>
                <w:t xml:space="preserve">Teacher, L., (2021). R v Brown - 1985. </w:t>
              </w:r>
              <w:r>
                <w:rPr>
                  <w:i/>
                  <w:iCs/>
                  <w:noProof/>
                </w:rPr>
                <w:t>Legal Case Summary</w:t>
              </w:r>
              <w:r>
                <w:rPr>
                  <w:noProof/>
                </w:rPr>
                <w:t xml:space="preserve">, 5 October. </w:t>
              </w:r>
            </w:p>
          </w:sdtContent>
        </w:sdt>
      </w:sdtContent>
    </w:sdt>
    <w:p w:rsidRPr="00042305" w:rsidR="00191CCA" w:rsidP="00191CCA" w:rsidRDefault="00191CCA" w14:paraId="60A8AC59" w14:textId="77777777"/>
    <w:p w:rsidR="499BD54E" w:rsidP="499BD54E" w:rsidRDefault="499BD54E" w14:paraId="47304D3B" w14:textId="2DCD9D6C">
      <w:pPr>
        <w:pStyle w:val="Normal"/>
      </w:pPr>
    </w:p>
    <w:p w:rsidR="003D37A5" w:rsidP="00C64B13" w:rsidRDefault="003D37A5" w14:paraId="57A9DA30" w14:textId="77777777"/>
    <w:p w:rsidRPr="00C64B13" w:rsidR="008C28AF" w:rsidP="00C64B13" w:rsidRDefault="008C28AF" w14:paraId="23F5BFA0" w14:textId="77777777"/>
    <w:sectPr w:rsidRPr="00C64B13" w:rsidR="008C28A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74B86"/>
    <w:multiLevelType w:val="hybridMultilevel"/>
    <w:tmpl w:val="4C84BA3E"/>
    <w:lvl w:ilvl="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025E8F"/>
    <w:multiLevelType w:val="hybridMultilevel"/>
    <w:tmpl w:val="9F90E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8E2F41"/>
    <w:multiLevelType w:val="hybridMultilevel"/>
    <w:tmpl w:val="0CAC9E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3DB20953"/>
    <w:multiLevelType w:val="hybridMultilevel"/>
    <w:tmpl w:val="6772EB7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4D95061F"/>
    <w:multiLevelType w:val="hybridMultilevel"/>
    <w:tmpl w:val="EF74EC8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517F4DE9"/>
    <w:multiLevelType w:val="hybridMultilevel"/>
    <w:tmpl w:val="74EAA28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5252690C"/>
    <w:multiLevelType w:val="hybridMultilevel"/>
    <w:tmpl w:val="59382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AA7083"/>
    <w:multiLevelType w:val="hybridMultilevel"/>
    <w:tmpl w:val="566CD0B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73794A5C"/>
    <w:multiLevelType w:val="hybridMultilevel"/>
    <w:tmpl w:val="D8CEDD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7B221572"/>
    <w:multiLevelType w:val="hybridMultilevel"/>
    <w:tmpl w:val="C3ECF0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745997226">
    <w:abstractNumId w:val="5"/>
  </w:num>
  <w:num w:numId="2" w16cid:durableId="1259946926">
    <w:abstractNumId w:val="1"/>
  </w:num>
  <w:num w:numId="3" w16cid:durableId="939601006">
    <w:abstractNumId w:val="2"/>
  </w:num>
  <w:num w:numId="4" w16cid:durableId="2058579064">
    <w:abstractNumId w:val="9"/>
  </w:num>
  <w:num w:numId="5" w16cid:durableId="1112558041">
    <w:abstractNumId w:val="4"/>
  </w:num>
  <w:num w:numId="6" w16cid:durableId="794175228">
    <w:abstractNumId w:val="3"/>
  </w:num>
  <w:num w:numId="7" w16cid:durableId="35980040">
    <w:abstractNumId w:val="8"/>
  </w:num>
  <w:num w:numId="8" w16cid:durableId="502479152">
    <w:abstractNumId w:val="0"/>
  </w:num>
  <w:num w:numId="9" w16cid:durableId="1313557621">
    <w:abstractNumId w:val="7"/>
  </w:num>
  <w:num w:numId="10" w16cid:durableId="1879271926">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B13"/>
    <w:rsid w:val="00042305"/>
    <w:rsid w:val="000656B6"/>
    <w:rsid w:val="000751B4"/>
    <w:rsid w:val="000E5791"/>
    <w:rsid w:val="00191CCA"/>
    <w:rsid w:val="00194E72"/>
    <w:rsid w:val="002D2569"/>
    <w:rsid w:val="003D37A5"/>
    <w:rsid w:val="0040366F"/>
    <w:rsid w:val="0040538B"/>
    <w:rsid w:val="00462D7A"/>
    <w:rsid w:val="004F7AE7"/>
    <w:rsid w:val="00597025"/>
    <w:rsid w:val="005B4E37"/>
    <w:rsid w:val="005B6373"/>
    <w:rsid w:val="00665BD0"/>
    <w:rsid w:val="006F23E0"/>
    <w:rsid w:val="00722E24"/>
    <w:rsid w:val="00791353"/>
    <w:rsid w:val="00824718"/>
    <w:rsid w:val="008C28AF"/>
    <w:rsid w:val="009A1990"/>
    <w:rsid w:val="009B4B15"/>
    <w:rsid w:val="009E5710"/>
    <w:rsid w:val="009F5B83"/>
    <w:rsid w:val="00A005F6"/>
    <w:rsid w:val="00A04612"/>
    <w:rsid w:val="00AA3A74"/>
    <w:rsid w:val="00AD2688"/>
    <w:rsid w:val="00B93C67"/>
    <w:rsid w:val="00BA537B"/>
    <w:rsid w:val="00C64B13"/>
    <w:rsid w:val="00C91463"/>
    <w:rsid w:val="00CC7F1E"/>
    <w:rsid w:val="00CE1D9A"/>
    <w:rsid w:val="00D01896"/>
    <w:rsid w:val="00D21565"/>
    <w:rsid w:val="00DA7431"/>
    <w:rsid w:val="00DD0395"/>
    <w:rsid w:val="00DD0E65"/>
    <w:rsid w:val="00EA3A61"/>
    <w:rsid w:val="00ED2FD8"/>
    <w:rsid w:val="00ED5FD5"/>
    <w:rsid w:val="00EE41F4"/>
    <w:rsid w:val="00F95A27"/>
    <w:rsid w:val="00FF577C"/>
    <w:rsid w:val="499BD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B5C3A"/>
  <w15:chartTrackingRefBased/>
  <w15:docId w15:val="{EAD0C73E-028F-4982-9134-5460677AB5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eastAsia="Times New Roman" w:ascii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D2FD8"/>
    <w:pPr>
      <w:spacing w:after="0" w:line="480" w:lineRule="auto"/>
      <w:jc w:val="both"/>
    </w:pPr>
    <w:rPr>
      <w:rFonts w:ascii="Times New Roman" w:hAnsi="Times New Roman" w:cs="Times New Roman"/>
      <w:sz w:val="24"/>
      <w:szCs w:val="24"/>
    </w:rPr>
  </w:style>
  <w:style w:type="paragraph" w:styleId="Heading1">
    <w:name w:val="heading 1"/>
    <w:basedOn w:val="Normal"/>
    <w:next w:val="Normal"/>
    <w:link w:val="Heading1Char"/>
    <w:autoRedefine/>
    <w:uiPriority w:val="9"/>
    <w:qFormat/>
    <w:rsid w:val="005B6373"/>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A3A61"/>
    <w:pPr>
      <w:keepNext/>
      <w:keepLines/>
      <w:spacing w:before="40"/>
      <w:outlineLvl w:val="1"/>
    </w:pPr>
    <w:rPr>
      <w:rFonts w:eastAsiaTheme="majorEastAsia" w:cstheme="majorBidi"/>
      <w:b/>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B6373"/>
    <w:rPr>
      <w:rFonts w:ascii="Times New Roman" w:hAnsi="Times New Roman" w:eastAsiaTheme="majorEastAsia" w:cstheme="majorBidi"/>
      <w:b/>
      <w:sz w:val="24"/>
      <w:szCs w:val="32"/>
    </w:rPr>
  </w:style>
  <w:style w:type="character" w:styleId="Heading2Char" w:customStyle="1">
    <w:name w:val="Heading 2 Char"/>
    <w:basedOn w:val="DefaultParagraphFont"/>
    <w:link w:val="Heading2"/>
    <w:uiPriority w:val="9"/>
    <w:rsid w:val="00EA3A61"/>
    <w:rPr>
      <w:rFonts w:ascii="Times New Roman" w:hAnsi="Times New Roman" w:eastAsiaTheme="majorEastAsia" w:cstheme="majorBidi"/>
      <w:b/>
      <w:sz w:val="24"/>
      <w:szCs w:val="26"/>
    </w:rPr>
  </w:style>
  <w:style w:type="paragraph" w:styleId="ListParagraph">
    <w:name w:val="List Paragraph"/>
    <w:basedOn w:val="Normal"/>
    <w:uiPriority w:val="34"/>
    <w:qFormat/>
    <w:rsid w:val="00AD2688"/>
    <w:pPr>
      <w:ind w:left="720"/>
      <w:contextualSpacing/>
    </w:pPr>
  </w:style>
  <w:style w:type="paragraph" w:styleId="Bibliography">
    <w:name w:val="Bibliography"/>
    <w:basedOn w:val="Normal"/>
    <w:next w:val="Normal"/>
    <w:uiPriority w:val="37"/>
    <w:unhideWhenUsed/>
    <w:rsid w:val="00191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8604">
      <w:bodyDiv w:val="1"/>
      <w:marLeft w:val="0"/>
      <w:marRight w:val="0"/>
      <w:marTop w:val="0"/>
      <w:marBottom w:val="0"/>
      <w:divBdr>
        <w:top w:val="none" w:sz="0" w:space="0" w:color="auto"/>
        <w:left w:val="none" w:sz="0" w:space="0" w:color="auto"/>
        <w:bottom w:val="none" w:sz="0" w:space="0" w:color="auto"/>
        <w:right w:val="none" w:sz="0" w:space="0" w:color="auto"/>
      </w:divBdr>
    </w:div>
    <w:div w:id="61801808">
      <w:bodyDiv w:val="1"/>
      <w:marLeft w:val="0"/>
      <w:marRight w:val="0"/>
      <w:marTop w:val="0"/>
      <w:marBottom w:val="0"/>
      <w:divBdr>
        <w:top w:val="none" w:sz="0" w:space="0" w:color="auto"/>
        <w:left w:val="none" w:sz="0" w:space="0" w:color="auto"/>
        <w:bottom w:val="none" w:sz="0" w:space="0" w:color="auto"/>
        <w:right w:val="none" w:sz="0" w:space="0" w:color="auto"/>
      </w:divBdr>
    </w:div>
    <w:div w:id="96681696">
      <w:bodyDiv w:val="1"/>
      <w:marLeft w:val="0"/>
      <w:marRight w:val="0"/>
      <w:marTop w:val="0"/>
      <w:marBottom w:val="0"/>
      <w:divBdr>
        <w:top w:val="none" w:sz="0" w:space="0" w:color="auto"/>
        <w:left w:val="none" w:sz="0" w:space="0" w:color="auto"/>
        <w:bottom w:val="none" w:sz="0" w:space="0" w:color="auto"/>
        <w:right w:val="none" w:sz="0" w:space="0" w:color="auto"/>
      </w:divBdr>
    </w:div>
    <w:div w:id="179588452">
      <w:bodyDiv w:val="1"/>
      <w:marLeft w:val="0"/>
      <w:marRight w:val="0"/>
      <w:marTop w:val="0"/>
      <w:marBottom w:val="0"/>
      <w:divBdr>
        <w:top w:val="none" w:sz="0" w:space="0" w:color="auto"/>
        <w:left w:val="none" w:sz="0" w:space="0" w:color="auto"/>
        <w:bottom w:val="none" w:sz="0" w:space="0" w:color="auto"/>
        <w:right w:val="none" w:sz="0" w:space="0" w:color="auto"/>
      </w:divBdr>
    </w:div>
    <w:div w:id="278731640">
      <w:bodyDiv w:val="1"/>
      <w:marLeft w:val="0"/>
      <w:marRight w:val="0"/>
      <w:marTop w:val="0"/>
      <w:marBottom w:val="0"/>
      <w:divBdr>
        <w:top w:val="none" w:sz="0" w:space="0" w:color="auto"/>
        <w:left w:val="none" w:sz="0" w:space="0" w:color="auto"/>
        <w:bottom w:val="none" w:sz="0" w:space="0" w:color="auto"/>
        <w:right w:val="none" w:sz="0" w:space="0" w:color="auto"/>
      </w:divBdr>
    </w:div>
    <w:div w:id="398137910">
      <w:bodyDiv w:val="1"/>
      <w:marLeft w:val="0"/>
      <w:marRight w:val="0"/>
      <w:marTop w:val="0"/>
      <w:marBottom w:val="0"/>
      <w:divBdr>
        <w:top w:val="none" w:sz="0" w:space="0" w:color="auto"/>
        <w:left w:val="none" w:sz="0" w:space="0" w:color="auto"/>
        <w:bottom w:val="none" w:sz="0" w:space="0" w:color="auto"/>
        <w:right w:val="none" w:sz="0" w:space="0" w:color="auto"/>
      </w:divBdr>
    </w:div>
    <w:div w:id="514613828">
      <w:bodyDiv w:val="1"/>
      <w:marLeft w:val="0"/>
      <w:marRight w:val="0"/>
      <w:marTop w:val="0"/>
      <w:marBottom w:val="0"/>
      <w:divBdr>
        <w:top w:val="none" w:sz="0" w:space="0" w:color="auto"/>
        <w:left w:val="none" w:sz="0" w:space="0" w:color="auto"/>
        <w:bottom w:val="none" w:sz="0" w:space="0" w:color="auto"/>
        <w:right w:val="none" w:sz="0" w:space="0" w:color="auto"/>
      </w:divBdr>
    </w:div>
    <w:div w:id="617180064">
      <w:bodyDiv w:val="1"/>
      <w:marLeft w:val="0"/>
      <w:marRight w:val="0"/>
      <w:marTop w:val="0"/>
      <w:marBottom w:val="0"/>
      <w:divBdr>
        <w:top w:val="none" w:sz="0" w:space="0" w:color="auto"/>
        <w:left w:val="none" w:sz="0" w:space="0" w:color="auto"/>
        <w:bottom w:val="none" w:sz="0" w:space="0" w:color="auto"/>
        <w:right w:val="none" w:sz="0" w:space="0" w:color="auto"/>
      </w:divBdr>
    </w:div>
    <w:div w:id="1350060989">
      <w:bodyDiv w:val="1"/>
      <w:marLeft w:val="0"/>
      <w:marRight w:val="0"/>
      <w:marTop w:val="0"/>
      <w:marBottom w:val="0"/>
      <w:divBdr>
        <w:top w:val="none" w:sz="0" w:space="0" w:color="auto"/>
        <w:left w:val="none" w:sz="0" w:space="0" w:color="auto"/>
        <w:bottom w:val="none" w:sz="0" w:space="0" w:color="auto"/>
        <w:right w:val="none" w:sz="0" w:space="0" w:color="auto"/>
      </w:divBdr>
    </w:div>
    <w:div w:id="1399479009">
      <w:bodyDiv w:val="1"/>
      <w:marLeft w:val="0"/>
      <w:marRight w:val="0"/>
      <w:marTop w:val="0"/>
      <w:marBottom w:val="0"/>
      <w:divBdr>
        <w:top w:val="none" w:sz="0" w:space="0" w:color="auto"/>
        <w:left w:val="none" w:sz="0" w:space="0" w:color="auto"/>
        <w:bottom w:val="none" w:sz="0" w:space="0" w:color="auto"/>
        <w:right w:val="none" w:sz="0" w:space="0" w:color="auto"/>
      </w:divBdr>
    </w:div>
    <w:div w:id="1608613095">
      <w:bodyDiv w:val="1"/>
      <w:marLeft w:val="0"/>
      <w:marRight w:val="0"/>
      <w:marTop w:val="0"/>
      <w:marBottom w:val="0"/>
      <w:divBdr>
        <w:top w:val="none" w:sz="0" w:space="0" w:color="auto"/>
        <w:left w:val="none" w:sz="0" w:space="0" w:color="auto"/>
        <w:bottom w:val="none" w:sz="0" w:space="0" w:color="auto"/>
        <w:right w:val="none" w:sz="0" w:space="0" w:color="auto"/>
      </w:divBdr>
    </w:div>
    <w:div w:id="1624924837">
      <w:bodyDiv w:val="1"/>
      <w:marLeft w:val="0"/>
      <w:marRight w:val="0"/>
      <w:marTop w:val="0"/>
      <w:marBottom w:val="0"/>
      <w:divBdr>
        <w:top w:val="none" w:sz="0" w:space="0" w:color="auto"/>
        <w:left w:val="none" w:sz="0" w:space="0" w:color="auto"/>
        <w:bottom w:val="none" w:sz="0" w:space="0" w:color="auto"/>
        <w:right w:val="none" w:sz="0" w:space="0" w:color="auto"/>
      </w:divBdr>
    </w:div>
    <w:div w:id="1681617545">
      <w:bodyDiv w:val="1"/>
      <w:marLeft w:val="0"/>
      <w:marRight w:val="0"/>
      <w:marTop w:val="0"/>
      <w:marBottom w:val="0"/>
      <w:divBdr>
        <w:top w:val="none" w:sz="0" w:space="0" w:color="auto"/>
        <w:left w:val="none" w:sz="0" w:space="0" w:color="auto"/>
        <w:bottom w:val="none" w:sz="0" w:space="0" w:color="auto"/>
        <w:right w:val="none" w:sz="0" w:space="0" w:color="auto"/>
      </w:divBdr>
    </w:div>
    <w:div w:id="1756708890">
      <w:bodyDiv w:val="1"/>
      <w:marLeft w:val="0"/>
      <w:marRight w:val="0"/>
      <w:marTop w:val="0"/>
      <w:marBottom w:val="0"/>
      <w:divBdr>
        <w:top w:val="none" w:sz="0" w:space="0" w:color="auto"/>
        <w:left w:val="none" w:sz="0" w:space="0" w:color="auto"/>
        <w:bottom w:val="none" w:sz="0" w:space="0" w:color="auto"/>
        <w:right w:val="none" w:sz="0" w:space="0" w:color="auto"/>
      </w:divBdr>
    </w:div>
    <w:div w:id="1819691758">
      <w:bodyDiv w:val="1"/>
      <w:marLeft w:val="0"/>
      <w:marRight w:val="0"/>
      <w:marTop w:val="0"/>
      <w:marBottom w:val="0"/>
      <w:divBdr>
        <w:top w:val="none" w:sz="0" w:space="0" w:color="auto"/>
        <w:left w:val="none" w:sz="0" w:space="0" w:color="auto"/>
        <w:bottom w:val="none" w:sz="0" w:space="0" w:color="auto"/>
        <w:right w:val="none" w:sz="0" w:space="0" w:color="auto"/>
      </w:divBdr>
    </w:div>
    <w:div w:id="189762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5b2af2d65eb843b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7ec11c2-44b3-4c5c-bfbf-5bd7edd5e653}"/>
      </w:docPartPr>
      <w:docPartBody>
        <w:p w14:paraId="2F58689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Law18</b:Tag>
    <b:SourceType>ArticleInAPeriodical</b:SourceType>
    <b:Guid>{22CC07E1-26DD-4A10-8BC4-36C38A554289}</b:Guid>
    <b:Author>
      <b:Author>
        <b:NameList>
          <b:Person>
            <b:Last>LawTeacher</b:Last>
          </b:Person>
        </b:NameList>
      </b:Author>
    </b:Author>
    <b:Title>Property Offences Lecture</b:Title>
    <b:Year>2018</b:Year>
    <b:PeriodicalTitle>Property Offences</b:PeriodicalTitle>
    <b:Month>November</b:Month>
    <b:Day>27</b:Day>
    <b:RefOrder>1</b:RefOrder>
  </b:Source>
  <b:Source>
    <b:Tag>Law211</b:Tag>
    <b:SourceType>ArticleInAPeriodical</b:SourceType>
    <b:Guid>{398673A5-76F2-4D74-94C0-631DFACD67B7}</b:Guid>
    <b:Author>
      <b:Author>
        <b:NameList>
          <b:Person>
            <b:Last>Teacher</b:Last>
            <b:First>Law</b:First>
          </b:Person>
        </b:NameList>
      </b:Author>
    </b:Author>
    <b:Title>R v Brown - 1985</b:Title>
    <b:PeriodicalTitle>Legal Case Summary</b:PeriodicalTitle>
    <b:Year>2021</b:Year>
    <b:Month>October</b:Month>
    <b:Day>5</b:Day>
    <b:RefOrder>2</b:RefOrder>
  </b:Source>
  <b:Source>
    <b:Tag>IPS22</b:Tag>
    <b:SourceType>ArticleInAPeriodical</b:SourceType>
    <b:Guid>{FBA8A529-BEE3-4C40-A6EC-CA8F13DEB7C2}</b:Guid>
    <b:Author>
      <b:Author>
        <b:NameList>
          <b:Person>
            <b:Last>Loquitur</b:Last>
            <b:First>IPSA</b:First>
          </b:Person>
        </b:NameList>
      </b:Author>
    </b:Author>
    <b:Title>R v Davis</b:Title>
    <b:PeriodicalTitle>Russ &amp; Ry 499.</b:PeriodicalTitle>
    <b:Year>2022</b:Year>
    <b:Month>December</b:Month>
    <b:Day>28</b:Day>
    <b:RefOrder>3</b:RefOrder>
  </b:Source>
  <b:Source>
    <b:Tag>CPS22</b:Tag>
    <b:SourceType>ArticleInAPeriodical</b:SourceType>
    <b:Guid>{7BBFB6F3-6D19-4905-8C9D-CAB23118853B}</b:Guid>
    <b:Author>
      <b:Author>
        <b:NameList>
          <b:Person>
            <b:Last>CPS</b:Last>
          </b:Person>
        </b:NameList>
      </b:Author>
    </b:Author>
    <b:Title>Criminal Damage</b:Title>
    <b:PeriodicalTitle>Violent crime</b:PeriodicalTitle>
    <b:Year>2022</b:Year>
    <b:Month>July</b:Month>
    <b:Day>18</b:Day>
    <b:RefOrder>4</b:RefOrder>
  </b:Source>
  <b:Source>
    <b:Tag>Leg18</b:Tag>
    <b:SourceType>ArticleInAPeriodical</b:SourceType>
    <b:Guid>{2DF9BE9F-B87C-49D7-977C-76E2F74C4D1B}</b:Guid>
    <b:Author>
      <b:Author>
        <b:NameList>
          <b:Person>
            <b:Last>Guidance</b:Last>
            <b:First>Legal</b:First>
          </b:Person>
        </b:NameList>
      </b:Author>
    </b:Author>
    <b:Title>Intoxication</b:Title>
    <b:PeriodicalTitle>CPS</b:PeriodicalTitle>
    <b:Year>2018</b:Year>
    <b:Month>November</b:Month>
    <b:Day>19</b:Day>
    <b:RefOrder>5</b:RefOrder>
  </b:Source>
  <b:Source>
    <b:Tag>Law09</b:Tag>
    <b:SourceType>ArticleInAPeriodical</b:SourceType>
    <b:Guid>{854096B9-8FDB-4FE7-B254-9B80D26B183D}</b:Guid>
    <b:Author>
      <b:Author>
        <b:NameList>
          <b:Person>
            <b:Last>Commission</b:Last>
            <b:First>Law</b:First>
          </b:Person>
        </b:NameList>
      </b:Author>
    </b:Author>
    <b:Title>Intoxication and criminal liability</b:Title>
    <b:PeriodicalTitle>Intoxication</b:PeriodicalTitle>
    <b:Year>2009</b:Year>
    <b:Month>January</b:Month>
    <b:RefOrder>6</b:RefOrder>
  </b:Source>
  <b:Source>
    <b:Tag>Wil22</b:Tag>
    <b:SourceType>ArticleInAPeriodical</b:SourceType>
    <b:Guid>{774F32E3-C32E-416D-88C8-76732AB72163}</b:Guid>
    <b:Author>
      <b:Author>
        <b:NameList>
          <b:Person>
            <b:Last>Chen</b:Last>
            <b:First>Will</b:First>
          </b:Person>
        </b:NameList>
      </b:Author>
    </b:Author>
    <b:Title>R v Caldwell [1982] AC 341</b:Title>
    <b:PeriodicalTitle>Lawprof</b:PeriodicalTitle>
    <b:Year>2022</b:Year>
    <b:Month>December</b:Month>
    <b:Day>29</b:Day>
    <b:RefOrder>7</b:RefOrder>
  </b:Source>
  <b:Source>
    <b:Tag>Law222</b:Tag>
    <b:SourceType>ArticleInAPeriodical</b:SourceType>
    <b:Guid>{8CE7EFD6-D5AF-4661-BCCD-17ADE6DE72F1}</b:Guid>
    <b:Author>
      <b:Author>
        <b:NameList>
          <b:Person>
            <b:Last>Lawresources</b:Last>
          </b:Person>
        </b:NameList>
      </b:Author>
    </b:Author>
    <b:Title>Mens rea - Reckless</b:Title>
    <b:PeriodicalTitle>Criminal</b:PeriodicalTitle>
    <b:Year>2022</b:Year>
    <b:Month>December</b:Month>
    <b:Day>29</b:Day>
    <b:RefOrder>8</b:RefOrder>
  </b:Source>
  <b:Source>
    <b:Tag>Law181</b:Tag>
    <b:SourceType>InternetSite</b:SourceType>
    <b:Guid>{C8FBB9B7-3629-4C43-A22A-DAC4C54AE526}</b:Guid>
    <b:Title>Insanity, Automatism and Intoxication Criminal Law Lecture</b:Title>
    <b:Year>2018</b:Year>
    <b:Author>
      <b:Author>
        <b:NameList>
          <b:Person>
            <b:Last>LawTeacher.net</b:Last>
          </b:Person>
        </b:NameList>
      </b:Author>
    </b:Author>
    <b:YearAccessed>2022</b:YearAccessed>
    <b:MonthAccessed>December</b:MonthAccessed>
    <b:DayAccessed>29</b:DayAccessed>
    <b:URL>https://www.lawteacher.net/lectures/criminal-law/denials-defences/insanity-automatism-intoxication/#citethis</b:URL>
    <b:RefOrder>9</b:RefOrder>
  </b:Source>
</b:Sources>
</file>

<file path=customXml/itemProps1.xml><?xml version="1.0" encoding="utf-8"?>
<ds:datastoreItem xmlns:ds="http://schemas.openxmlformats.org/officeDocument/2006/customXml" ds:itemID="{DA1CA00B-E6A7-43C7-BDD6-237D6F51ADD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Laiba Aslam</dc:creator>
  <keywords/>
  <dc:description/>
  <lastModifiedBy>mohammed choudhury</lastModifiedBy>
  <revision>5</revision>
  <dcterms:created xsi:type="dcterms:W3CDTF">2023-01-01T14:11:00.0000000Z</dcterms:created>
  <dcterms:modified xsi:type="dcterms:W3CDTF">2023-01-03T23:25:54.5062084Z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47f81235-fbb3-47e2-8874-6fab330a1342</vt:lpwstr>
  </property>
</Properties>
</file>