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DD844" w14:textId="60DDE30F" w:rsidR="006F7D8E" w:rsidRDefault="006F7D8E"/>
    <w:p w14:paraId="3A4A785E" w14:textId="5C6880DD" w:rsidR="006F7D8E" w:rsidRDefault="006F7D8E"/>
    <w:p w14:paraId="3BF5B607" w14:textId="3B5C98D5" w:rsidR="006F7D8E" w:rsidRDefault="00F54C1D">
      <w:r w:rsidRPr="00EB45C1">
        <w:rPr>
          <w:rStyle w:val="Strong"/>
          <w:noProof/>
        </w:rPr>
        <w:drawing>
          <wp:anchor distT="0" distB="0" distL="114300" distR="114300" simplePos="0" relativeHeight="251658240" behindDoc="0" locked="0" layoutInCell="1" allowOverlap="1" wp14:anchorId="2CF87529" wp14:editId="271172BF">
            <wp:simplePos x="0" y="0"/>
            <wp:positionH relativeFrom="margin">
              <wp:posOffset>1331595</wp:posOffset>
            </wp:positionH>
            <wp:positionV relativeFrom="margin">
              <wp:posOffset>704850</wp:posOffset>
            </wp:positionV>
            <wp:extent cx="2371090" cy="1602105"/>
            <wp:effectExtent l="0" t="0" r="0" b="0"/>
            <wp:wrapSquare wrapText="bothSides"/>
            <wp:docPr id="934450100"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450100" name="Picture 1" descr="A logo of a university of wale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71090" cy="1602105"/>
                    </a:xfrm>
                    <a:prstGeom prst="rect">
                      <a:avLst/>
                    </a:prstGeom>
                  </pic:spPr>
                </pic:pic>
              </a:graphicData>
            </a:graphic>
            <wp14:sizeRelH relativeFrom="margin">
              <wp14:pctWidth>0</wp14:pctWidth>
            </wp14:sizeRelH>
            <wp14:sizeRelV relativeFrom="margin">
              <wp14:pctHeight>0</wp14:pctHeight>
            </wp14:sizeRelV>
          </wp:anchor>
        </w:drawing>
      </w:r>
    </w:p>
    <w:p w14:paraId="45F4A57F" w14:textId="77777777" w:rsidR="006F7D8E" w:rsidRDefault="006F7D8E"/>
    <w:p w14:paraId="56671A40" w14:textId="77777777" w:rsidR="006F7D8E" w:rsidRDefault="006F7D8E"/>
    <w:p w14:paraId="24A0DE52" w14:textId="77777777" w:rsidR="006F7D8E" w:rsidRDefault="006F7D8E"/>
    <w:p w14:paraId="51BC3010" w14:textId="77777777" w:rsidR="006F7D8E" w:rsidRDefault="006F7D8E"/>
    <w:p w14:paraId="600A07DB" w14:textId="44604376" w:rsidR="00F54C1D" w:rsidRDefault="00F54C1D" w:rsidP="00F54C1D"/>
    <w:p w14:paraId="3C08E327" w14:textId="77777777" w:rsidR="00F54C1D" w:rsidRDefault="00F54C1D" w:rsidP="00F54C1D"/>
    <w:p w14:paraId="48749EDE" w14:textId="24653E10" w:rsidR="00F54C1D" w:rsidRPr="00EB45C1" w:rsidRDefault="00F54C1D" w:rsidP="00F54C1D">
      <w:pPr>
        <w:rPr>
          <w:rStyle w:val="Strong"/>
        </w:rPr>
      </w:pPr>
      <w:r>
        <w:rPr>
          <w:rStyle w:val="Strong"/>
        </w:rPr>
        <w:t xml:space="preserve">                                       </w:t>
      </w:r>
      <w:r w:rsidRPr="00EB45C1">
        <w:rPr>
          <w:rStyle w:val="Strong"/>
        </w:rPr>
        <w:t>STUDENT NAME:</w:t>
      </w:r>
      <w:r>
        <w:rPr>
          <w:rStyle w:val="Strong"/>
        </w:rPr>
        <w:t xml:space="preserve"> SAMEENA HASSAN</w:t>
      </w:r>
    </w:p>
    <w:p w14:paraId="3CFF7ABF" w14:textId="7B1C4ECD" w:rsidR="00F54C1D" w:rsidRDefault="00F54C1D" w:rsidP="00F54C1D">
      <w:pPr>
        <w:ind w:left="1440" w:firstLine="720"/>
        <w:rPr>
          <w:rStyle w:val="Strong"/>
        </w:rPr>
      </w:pPr>
      <w:r>
        <w:rPr>
          <w:rStyle w:val="Strong"/>
        </w:rPr>
        <w:t xml:space="preserve">    </w:t>
      </w:r>
      <w:r w:rsidRPr="00EB45C1">
        <w:rPr>
          <w:rStyle w:val="Strong"/>
        </w:rPr>
        <w:t>MODULE CODE:</w:t>
      </w:r>
      <w:r>
        <w:rPr>
          <w:rStyle w:val="Strong"/>
        </w:rPr>
        <w:t xml:space="preserve"> LCBB5012 </w:t>
      </w:r>
    </w:p>
    <w:p w14:paraId="08081892" w14:textId="3B2638DD" w:rsidR="00F54C1D" w:rsidRPr="00EB45C1" w:rsidRDefault="00F54C1D" w:rsidP="00F54C1D">
      <w:pPr>
        <w:ind w:left="1440" w:firstLine="720"/>
        <w:rPr>
          <w:rStyle w:val="Strong"/>
        </w:rPr>
      </w:pPr>
      <w:r>
        <w:rPr>
          <w:rStyle w:val="Strong"/>
        </w:rPr>
        <w:t xml:space="preserve">                   Assignment 2</w:t>
      </w:r>
    </w:p>
    <w:p w14:paraId="3014D1E5" w14:textId="37DD7D80" w:rsidR="00F54C1D" w:rsidRPr="00EB45C1" w:rsidRDefault="00F54C1D" w:rsidP="00F54C1D">
      <w:pPr>
        <w:ind w:left="1440" w:firstLine="720"/>
        <w:rPr>
          <w:rStyle w:val="Strong"/>
        </w:rPr>
      </w:pPr>
      <w:r w:rsidRPr="00EB45C1">
        <w:rPr>
          <w:rStyle w:val="Strong"/>
        </w:rPr>
        <w:t>LECTURE NAME:</w:t>
      </w:r>
      <w:r>
        <w:rPr>
          <w:rStyle w:val="Strong"/>
        </w:rPr>
        <w:t xml:space="preserve"> </w:t>
      </w:r>
      <w:proofErr w:type="spellStart"/>
      <w:r>
        <w:rPr>
          <w:rStyle w:val="Strong"/>
        </w:rPr>
        <w:t>Liyanage</w:t>
      </w:r>
      <w:proofErr w:type="spellEnd"/>
      <w:r>
        <w:rPr>
          <w:rStyle w:val="Strong"/>
        </w:rPr>
        <w:t xml:space="preserve"> Rodrigo</w:t>
      </w:r>
    </w:p>
    <w:p w14:paraId="06B27273" w14:textId="1EC21DF0" w:rsidR="00F54C1D" w:rsidRDefault="00F54C1D" w:rsidP="00F54C1D">
      <w:pPr>
        <w:ind w:left="1440" w:firstLine="720"/>
        <w:rPr>
          <w:rStyle w:val="Strong"/>
        </w:rPr>
      </w:pPr>
      <w:r>
        <w:rPr>
          <w:rStyle w:val="Strong"/>
        </w:rPr>
        <w:t xml:space="preserve">         </w:t>
      </w:r>
      <w:r w:rsidRPr="00EB45C1">
        <w:rPr>
          <w:rStyle w:val="Strong"/>
        </w:rPr>
        <w:t>STUDENT ID:</w:t>
      </w:r>
      <w:r>
        <w:rPr>
          <w:rStyle w:val="Strong"/>
        </w:rPr>
        <w:t xml:space="preserve"> 2023264</w:t>
      </w:r>
    </w:p>
    <w:p w14:paraId="08F2BFB0" w14:textId="3849EA68" w:rsidR="00F54C1D" w:rsidRPr="00EB45C1" w:rsidRDefault="00F54C1D" w:rsidP="00F54C1D">
      <w:pPr>
        <w:ind w:left="1440" w:firstLine="720"/>
        <w:rPr>
          <w:rStyle w:val="Strong"/>
        </w:rPr>
      </w:pPr>
      <w:r>
        <w:rPr>
          <w:rStyle w:val="Strong"/>
        </w:rPr>
        <w:t>Principles of Human resource management</w:t>
      </w:r>
    </w:p>
    <w:p w14:paraId="013D6EE5" w14:textId="77777777" w:rsidR="00F54C1D" w:rsidRPr="00EB45C1" w:rsidRDefault="00F54C1D" w:rsidP="00F54C1D">
      <w:pPr>
        <w:rPr>
          <w:rStyle w:val="Strong"/>
        </w:rPr>
      </w:pPr>
    </w:p>
    <w:p w14:paraId="5BD53614" w14:textId="77777777" w:rsidR="00EB45C1" w:rsidRDefault="00EB45C1"/>
    <w:p w14:paraId="178A75C4" w14:textId="77777777" w:rsidR="00EB45C1" w:rsidRDefault="00EB45C1"/>
    <w:p w14:paraId="3B683B63" w14:textId="77777777" w:rsidR="00EB45C1" w:rsidRDefault="00EB45C1"/>
    <w:p w14:paraId="2BE78A0A" w14:textId="77777777" w:rsidR="00EB45C1" w:rsidRPr="00EB45C1" w:rsidRDefault="00EB45C1">
      <w:pPr>
        <w:rPr>
          <w:rStyle w:val="Strong"/>
        </w:rPr>
      </w:pPr>
    </w:p>
    <w:p w14:paraId="308CDC39" w14:textId="77777777" w:rsidR="006F7D8E" w:rsidRDefault="006F7D8E"/>
    <w:p w14:paraId="5E093072" w14:textId="77777777" w:rsidR="006F7D8E" w:rsidRDefault="006F7D8E"/>
    <w:p w14:paraId="4D91A05F" w14:textId="77777777" w:rsidR="006F7D8E" w:rsidRPr="00EB45C1" w:rsidRDefault="006F7D8E">
      <w:pPr>
        <w:rPr>
          <w:rStyle w:val="Strong"/>
        </w:rPr>
      </w:pPr>
    </w:p>
    <w:p w14:paraId="433BD169" w14:textId="77777777" w:rsidR="006F7D8E" w:rsidRDefault="006F7D8E"/>
    <w:p w14:paraId="15FC6374" w14:textId="77777777" w:rsidR="006F7D8E" w:rsidRDefault="006F7D8E"/>
    <w:p w14:paraId="62AA2CF9" w14:textId="77777777" w:rsidR="006F7D8E" w:rsidRDefault="006F7D8E"/>
    <w:p w14:paraId="5E4110C9" w14:textId="77777777" w:rsidR="006F7D8E" w:rsidRDefault="006F7D8E"/>
    <w:p w14:paraId="581A2814" w14:textId="77777777" w:rsidR="006F7D8E" w:rsidRDefault="006F7D8E"/>
    <w:p w14:paraId="2102A474" w14:textId="77777777" w:rsidR="006F7D8E" w:rsidRDefault="006F7D8E"/>
    <w:sdt>
      <w:sdtPr>
        <w:rPr>
          <w:rFonts w:asciiTheme="minorHAnsi" w:eastAsiaTheme="minorHAnsi" w:hAnsiTheme="minorHAnsi" w:cstheme="minorBidi"/>
          <w:b/>
          <w:bCs/>
          <w:color w:val="auto"/>
          <w:kern w:val="2"/>
          <w:sz w:val="24"/>
          <w:szCs w:val="24"/>
          <w:lang w:eastAsia="en-US"/>
          <w14:ligatures w14:val="standardContextual"/>
        </w:rPr>
        <w:id w:val="1240602169"/>
        <w:docPartObj>
          <w:docPartGallery w:val="Table of Contents"/>
          <w:docPartUnique/>
        </w:docPartObj>
      </w:sdtPr>
      <w:sdtEndPr/>
      <w:sdtContent>
        <w:p w14:paraId="12E76F9C" w14:textId="37892FBE" w:rsidR="00F73033" w:rsidRDefault="00F73033">
          <w:pPr>
            <w:pStyle w:val="TOCHeading"/>
          </w:pPr>
          <w:r>
            <w:t>Table of Contents</w:t>
          </w:r>
        </w:p>
        <w:p w14:paraId="438D35D0" w14:textId="699344B9" w:rsidR="00F73033" w:rsidRDefault="00F73033">
          <w:pPr>
            <w:pStyle w:val="TOC2"/>
            <w:tabs>
              <w:tab w:val="right" w:leader="dot" w:pos="9016"/>
            </w:tabs>
            <w:rPr>
              <w:noProof/>
            </w:rPr>
          </w:pPr>
          <w:r>
            <w:fldChar w:fldCharType="begin"/>
          </w:r>
          <w:r>
            <w:instrText xml:space="preserve"> TOC \o "1-3" \h \z \u </w:instrText>
          </w:r>
          <w:r>
            <w:fldChar w:fldCharType="separate"/>
          </w:r>
          <w:hyperlink w:anchor="_Toc213267257" w:history="1">
            <w:r w:rsidRPr="00A354A9">
              <w:rPr>
                <w:rStyle w:val="Hyperlink"/>
                <w:noProof/>
              </w:rPr>
              <w:t>Learning and Development (L&amp;D) in HRM, using the global organisation NESTLE</w:t>
            </w:r>
            <w:r>
              <w:rPr>
                <w:noProof/>
                <w:webHidden/>
              </w:rPr>
              <w:tab/>
            </w:r>
            <w:r>
              <w:rPr>
                <w:noProof/>
                <w:webHidden/>
              </w:rPr>
              <w:fldChar w:fldCharType="begin"/>
            </w:r>
            <w:r>
              <w:rPr>
                <w:noProof/>
                <w:webHidden/>
              </w:rPr>
              <w:instrText xml:space="preserve"> PAGEREF _Toc213267257 \h </w:instrText>
            </w:r>
            <w:r>
              <w:rPr>
                <w:noProof/>
                <w:webHidden/>
              </w:rPr>
            </w:r>
            <w:r>
              <w:rPr>
                <w:noProof/>
                <w:webHidden/>
              </w:rPr>
              <w:fldChar w:fldCharType="separate"/>
            </w:r>
            <w:r>
              <w:rPr>
                <w:noProof/>
                <w:webHidden/>
              </w:rPr>
              <w:t>3</w:t>
            </w:r>
            <w:r>
              <w:rPr>
                <w:noProof/>
                <w:webHidden/>
              </w:rPr>
              <w:fldChar w:fldCharType="end"/>
            </w:r>
          </w:hyperlink>
        </w:p>
        <w:p w14:paraId="1B564A4D" w14:textId="5E68C45C" w:rsidR="00F73033" w:rsidRDefault="00157572">
          <w:pPr>
            <w:pStyle w:val="TOC2"/>
            <w:tabs>
              <w:tab w:val="right" w:leader="dot" w:pos="9016"/>
            </w:tabs>
            <w:rPr>
              <w:noProof/>
            </w:rPr>
          </w:pPr>
          <w:hyperlink w:anchor="_Toc213267258" w:history="1">
            <w:r w:rsidR="00F73033" w:rsidRPr="00A354A9">
              <w:rPr>
                <w:rStyle w:val="Hyperlink"/>
                <w:noProof/>
              </w:rPr>
              <w:t>Introduction</w:t>
            </w:r>
            <w:r w:rsidR="00F73033">
              <w:rPr>
                <w:noProof/>
                <w:webHidden/>
              </w:rPr>
              <w:tab/>
            </w:r>
            <w:r w:rsidR="00F73033">
              <w:rPr>
                <w:noProof/>
                <w:webHidden/>
              </w:rPr>
              <w:fldChar w:fldCharType="begin"/>
            </w:r>
            <w:r w:rsidR="00F73033">
              <w:rPr>
                <w:noProof/>
                <w:webHidden/>
              </w:rPr>
              <w:instrText xml:space="preserve"> PAGEREF _Toc213267258 \h </w:instrText>
            </w:r>
            <w:r w:rsidR="00F73033">
              <w:rPr>
                <w:noProof/>
                <w:webHidden/>
              </w:rPr>
            </w:r>
            <w:r w:rsidR="00F73033">
              <w:rPr>
                <w:noProof/>
                <w:webHidden/>
              </w:rPr>
              <w:fldChar w:fldCharType="separate"/>
            </w:r>
            <w:r w:rsidR="00F73033">
              <w:rPr>
                <w:noProof/>
                <w:webHidden/>
              </w:rPr>
              <w:t>3</w:t>
            </w:r>
            <w:r w:rsidR="00F73033">
              <w:rPr>
                <w:noProof/>
                <w:webHidden/>
              </w:rPr>
              <w:fldChar w:fldCharType="end"/>
            </w:r>
          </w:hyperlink>
        </w:p>
        <w:p w14:paraId="586D285D" w14:textId="1C9E5A82" w:rsidR="00F73033" w:rsidRDefault="00157572">
          <w:pPr>
            <w:pStyle w:val="TOC2"/>
            <w:tabs>
              <w:tab w:val="right" w:leader="dot" w:pos="9016"/>
            </w:tabs>
            <w:rPr>
              <w:noProof/>
            </w:rPr>
          </w:pPr>
          <w:hyperlink w:anchor="_Toc213267259" w:history="1">
            <w:r w:rsidR="00F73033" w:rsidRPr="00A354A9">
              <w:rPr>
                <w:rStyle w:val="Hyperlink"/>
                <w:noProof/>
              </w:rPr>
              <w:t>Impact of Internal and External Forces on L&amp;D Design and Implementation</w:t>
            </w:r>
            <w:r w:rsidR="00F73033">
              <w:rPr>
                <w:noProof/>
                <w:webHidden/>
              </w:rPr>
              <w:tab/>
            </w:r>
            <w:r w:rsidR="00F73033">
              <w:rPr>
                <w:noProof/>
                <w:webHidden/>
              </w:rPr>
              <w:fldChar w:fldCharType="begin"/>
            </w:r>
            <w:r w:rsidR="00F73033">
              <w:rPr>
                <w:noProof/>
                <w:webHidden/>
              </w:rPr>
              <w:instrText xml:space="preserve"> PAGEREF _Toc213267259 \h </w:instrText>
            </w:r>
            <w:r w:rsidR="00F73033">
              <w:rPr>
                <w:noProof/>
                <w:webHidden/>
              </w:rPr>
            </w:r>
            <w:r w:rsidR="00F73033">
              <w:rPr>
                <w:noProof/>
                <w:webHidden/>
              </w:rPr>
              <w:fldChar w:fldCharType="separate"/>
            </w:r>
            <w:r w:rsidR="00F73033">
              <w:rPr>
                <w:noProof/>
                <w:webHidden/>
              </w:rPr>
              <w:t>4</w:t>
            </w:r>
            <w:r w:rsidR="00F73033">
              <w:rPr>
                <w:noProof/>
                <w:webHidden/>
              </w:rPr>
              <w:fldChar w:fldCharType="end"/>
            </w:r>
          </w:hyperlink>
        </w:p>
        <w:p w14:paraId="6EB2610F" w14:textId="42D2324E" w:rsidR="00F73033" w:rsidRDefault="00157572">
          <w:pPr>
            <w:pStyle w:val="TOC2"/>
            <w:tabs>
              <w:tab w:val="right" w:leader="dot" w:pos="9016"/>
            </w:tabs>
            <w:rPr>
              <w:noProof/>
            </w:rPr>
          </w:pPr>
          <w:hyperlink w:anchor="_Toc213267260" w:history="1">
            <w:r w:rsidR="00F73033" w:rsidRPr="00A354A9">
              <w:rPr>
                <w:rStyle w:val="Hyperlink"/>
                <w:b/>
                <w:bCs/>
                <w:noProof/>
              </w:rPr>
              <w:t>Internal Forces</w:t>
            </w:r>
            <w:r w:rsidR="00F73033">
              <w:rPr>
                <w:noProof/>
                <w:webHidden/>
              </w:rPr>
              <w:tab/>
            </w:r>
            <w:r w:rsidR="00F73033">
              <w:rPr>
                <w:noProof/>
                <w:webHidden/>
              </w:rPr>
              <w:fldChar w:fldCharType="begin"/>
            </w:r>
            <w:r w:rsidR="00F73033">
              <w:rPr>
                <w:noProof/>
                <w:webHidden/>
              </w:rPr>
              <w:instrText xml:space="preserve"> PAGEREF _Toc213267260 \h </w:instrText>
            </w:r>
            <w:r w:rsidR="00F73033">
              <w:rPr>
                <w:noProof/>
                <w:webHidden/>
              </w:rPr>
            </w:r>
            <w:r w:rsidR="00F73033">
              <w:rPr>
                <w:noProof/>
                <w:webHidden/>
              </w:rPr>
              <w:fldChar w:fldCharType="separate"/>
            </w:r>
            <w:r w:rsidR="00F73033">
              <w:rPr>
                <w:noProof/>
                <w:webHidden/>
              </w:rPr>
              <w:t>4</w:t>
            </w:r>
            <w:r w:rsidR="00F73033">
              <w:rPr>
                <w:noProof/>
                <w:webHidden/>
              </w:rPr>
              <w:fldChar w:fldCharType="end"/>
            </w:r>
          </w:hyperlink>
        </w:p>
        <w:p w14:paraId="4C425E28" w14:textId="0B72CAC4" w:rsidR="00F73033" w:rsidRDefault="00157572">
          <w:pPr>
            <w:pStyle w:val="TOC2"/>
            <w:tabs>
              <w:tab w:val="right" w:leader="dot" w:pos="9016"/>
            </w:tabs>
            <w:rPr>
              <w:noProof/>
            </w:rPr>
          </w:pPr>
          <w:hyperlink w:anchor="_Toc213267261" w:history="1">
            <w:r w:rsidR="00F73033" w:rsidRPr="00A354A9">
              <w:rPr>
                <w:rStyle w:val="Hyperlink"/>
                <w:noProof/>
              </w:rPr>
              <w:t>Learning and Development Enhancing Organisational Adaptability</w:t>
            </w:r>
            <w:r w:rsidR="00F73033">
              <w:rPr>
                <w:noProof/>
                <w:webHidden/>
              </w:rPr>
              <w:tab/>
            </w:r>
            <w:r w:rsidR="00F73033">
              <w:rPr>
                <w:noProof/>
                <w:webHidden/>
              </w:rPr>
              <w:fldChar w:fldCharType="begin"/>
            </w:r>
            <w:r w:rsidR="00F73033">
              <w:rPr>
                <w:noProof/>
                <w:webHidden/>
              </w:rPr>
              <w:instrText xml:space="preserve"> PAGEREF _Toc213267261 \h </w:instrText>
            </w:r>
            <w:r w:rsidR="00F73033">
              <w:rPr>
                <w:noProof/>
                <w:webHidden/>
              </w:rPr>
            </w:r>
            <w:r w:rsidR="00F73033">
              <w:rPr>
                <w:noProof/>
                <w:webHidden/>
              </w:rPr>
              <w:fldChar w:fldCharType="separate"/>
            </w:r>
            <w:r w:rsidR="00F73033">
              <w:rPr>
                <w:noProof/>
                <w:webHidden/>
              </w:rPr>
              <w:t>7</w:t>
            </w:r>
            <w:r w:rsidR="00F73033">
              <w:rPr>
                <w:noProof/>
                <w:webHidden/>
              </w:rPr>
              <w:fldChar w:fldCharType="end"/>
            </w:r>
          </w:hyperlink>
        </w:p>
        <w:p w14:paraId="2922F8FA" w14:textId="2D748552" w:rsidR="00F73033" w:rsidRDefault="00157572">
          <w:pPr>
            <w:pStyle w:val="TOC2"/>
            <w:tabs>
              <w:tab w:val="right" w:leader="dot" w:pos="9016"/>
            </w:tabs>
            <w:rPr>
              <w:noProof/>
            </w:rPr>
          </w:pPr>
          <w:hyperlink w:anchor="_Toc213267262" w:history="1">
            <w:r w:rsidR="00F73033" w:rsidRPr="00A354A9">
              <w:rPr>
                <w:rStyle w:val="Hyperlink"/>
                <w:noProof/>
              </w:rPr>
              <w:t>Learning and Development as a Driver of Competitive Advantage</w:t>
            </w:r>
            <w:r w:rsidR="00F73033">
              <w:rPr>
                <w:noProof/>
                <w:webHidden/>
              </w:rPr>
              <w:tab/>
            </w:r>
            <w:r w:rsidR="00F73033">
              <w:rPr>
                <w:noProof/>
                <w:webHidden/>
              </w:rPr>
              <w:fldChar w:fldCharType="begin"/>
            </w:r>
            <w:r w:rsidR="00F73033">
              <w:rPr>
                <w:noProof/>
                <w:webHidden/>
              </w:rPr>
              <w:instrText xml:space="preserve"> PAGEREF _Toc213267262 \h </w:instrText>
            </w:r>
            <w:r w:rsidR="00F73033">
              <w:rPr>
                <w:noProof/>
                <w:webHidden/>
              </w:rPr>
            </w:r>
            <w:r w:rsidR="00F73033">
              <w:rPr>
                <w:noProof/>
                <w:webHidden/>
              </w:rPr>
              <w:fldChar w:fldCharType="separate"/>
            </w:r>
            <w:r w:rsidR="00F73033">
              <w:rPr>
                <w:noProof/>
                <w:webHidden/>
              </w:rPr>
              <w:t>7</w:t>
            </w:r>
            <w:r w:rsidR="00F73033">
              <w:rPr>
                <w:noProof/>
                <w:webHidden/>
              </w:rPr>
              <w:fldChar w:fldCharType="end"/>
            </w:r>
          </w:hyperlink>
        </w:p>
        <w:p w14:paraId="3DB65D7F" w14:textId="1CF89AC3" w:rsidR="00F73033" w:rsidRDefault="00157572">
          <w:pPr>
            <w:pStyle w:val="TOC2"/>
            <w:tabs>
              <w:tab w:val="right" w:leader="dot" w:pos="9016"/>
            </w:tabs>
            <w:rPr>
              <w:noProof/>
            </w:rPr>
          </w:pPr>
          <w:hyperlink w:anchor="_Toc213267263" w:history="1">
            <w:r w:rsidR="00F73033" w:rsidRPr="00A354A9">
              <w:rPr>
                <w:rStyle w:val="Hyperlink"/>
                <w:noProof/>
              </w:rPr>
              <w:t>Promoting Inclusion for Employees of All Backgrounds</w:t>
            </w:r>
            <w:r w:rsidR="00F73033">
              <w:rPr>
                <w:noProof/>
                <w:webHidden/>
              </w:rPr>
              <w:tab/>
            </w:r>
            <w:r w:rsidR="00F73033">
              <w:rPr>
                <w:noProof/>
                <w:webHidden/>
              </w:rPr>
              <w:fldChar w:fldCharType="begin"/>
            </w:r>
            <w:r w:rsidR="00F73033">
              <w:rPr>
                <w:noProof/>
                <w:webHidden/>
              </w:rPr>
              <w:instrText xml:space="preserve"> PAGEREF _Toc213267263 \h </w:instrText>
            </w:r>
            <w:r w:rsidR="00F73033">
              <w:rPr>
                <w:noProof/>
                <w:webHidden/>
              </w:rPr>
            </w:r>
            <w:r w:rsidR="00F73033">
              <w:rPr>
                <w:noProof/>
                <w:webHidden/>
              </w:rPr>
              <w:fldChar w:fldCharType="separate"/>
            </w:r>
            <w:r w:rsidR="00F73033">
              <w:rPr>
                <w:noProof/>
                <w:webHidden/>
              </w:rPr>
              <w:t>8</w:t>
            </w:r>
            <w:r w:rsidR="00F73033">
              <w:rPr>
                <w:noProof/>
                <w:webHidden/>
              </w:rPr>
              <w:fldChar w:fldCharType="end"/>
            </w:r>
          </w:hyperlink>
        </w:p>
        <w:p w14:paraId="182DA057" w14:textId="637AA15C" w:rsidR="00F73033" w:rsidRDefault="00157572">
          <w:pPr>
            <w:pStyle w:val="TOC2"/>
            <w:tabs>
              <w:tab w:val="right" w:leader="dot" w:pos="9016"/>
            </w:tabs>
            <w:rPr>
              <w:noProof/>
            </w:rPr>
          </w:pPr>
          <w:hyperlink w:anchor="_Toc213267264" w:history="1">
            <w:r w:rsidR="00F73033" w:rsidRPr="00A354A9">
              <w:rPr>
                <w:rStyle w:val="Hyperlink"/>
                <w:noProof/>
              </w:rPr>
              <w:t>Application of a Relevant L&amp;D Model</w:t>
            </w:r>
            <w:r w:rsidR="00F73033">
              <w:rPr>
                <w:noProof/>
                <w:webHidden/>
              </w:rPr>
              <w:tab/>
            </w:r>
            <w:r w:rsidR="00F73033">
              <w:rPr>
                <w:noProof/>
                <w:webHidden/>
              </w:rPr>
              <w:fldChar w:fldCharType="begin"/>
            </w:r>
            <w:r w:rsidR="00F73033">
              <w:rPr>
                <w:noProof/>
                <w:webHidden/>
              </w:rPr>
              <w:instrText xml:space="preserve"> PAGEREF _Toc213267264 \h </w:instrText>
            </w:r>
            <w:r w:rsidR="00F73033">
              <w:rPr>
                <w:noProof/>
                <w:webHidden/>
              </w:rPr>
            </w:r>
            <w:r w:rsidR="00F73033">
              <w:rPr>
                <w:noProof/>
                <w:webHidden/>
              </w:rPr>
              <w:fldChar w:fldCharType="separate"/>
            </w:r>
            <w:r w:rsidR="00F73033">
              <w:rPr>
                <w:noProof/>
                <w:webHidden/>
              </w:rPr>
              <w:t>8</w:t>
            </w:r>
            <w:r w:rsidR="00F73033">
              <w:rPr>
                <w:noProof/>
                <w:webHidden/>
              </w:rPr>
              <w:fldChar w:fldCharType="end"/>
            </w:r>
          </w:hyperlink>
        </w:p>
        <w:p w14:paraId="296CDCDC" w14:textId="2E9F3389" w:rsidR="00F73033" w:rsidRDefault="00157572">
          <w:pPr>
            <w:pStyle w:val="TOC2"/>
            <w:tabs>
              <w:tab w:val="right" w:leader="dot" w:pos="9016"/>
            </w:tabs>
            <w:rPr>
              <w:noProof/>
            </w:rPr>
          </w:pPr>
          <w:hyperlink w:anchor="_Toc213267265" w:history="1">
            <w:r w:rsidR="00F73033" w:rsidRPr="00A354A9">
              <w:rPr>
                <w:rStyle w:val="Hyperlink"/>
                <w:noProof/>
              </w:rPr>
              <w:t>Challenges and Recommendations</w:t>
            </w:r>
            <w:r w:rsidR="00F73033">
              <w:rPr>
                <w:noProof/>
                <w:webHidden/>
              </w:rPr>
              <w:tab/>
            </w:r>
            <w:r w:rsidR="00F73033">
              <w:rPr>
                <w:noProof/>
                <w:webHidden/>
              </w:rPr>
              <w:fldChar w:fldCharType="begin"/>
            </w:r>
            <w:r w:rsidR="00F73033">
              <w:rPr>
                <w:noProof/>
                <w:webHidden/>
              </w:rPr>
              <w:instrText xml:space="preserve"> PAGEREF _Toc213267265 \h </w:instrText>
            </w:r>
            <w:r w:rsidR="00F73033">
              <w:rPr>
                <w:noProof/>
                <w:webHidden/>
              </w:rPr>
            </w:r>
            <w:r w:rsidR="00F73033">
              <w:rPr>
                <w:noProof/>
                <w:webHidden/>
              </w:rPr>
              <w:fldChar w:fldCharType="separate"/>
            </w:r>
            <w:r w:rsidR="00F73033">
              <w:rPr>
                <w:noProof/>
                <w:webHidden/>
              </w:rPr>
              <w:t>9</w:t>
            </w:r>
            <w:r w:rsidR="00F73033">
              <w:rPr>
                <w:noProof/>
                <w:webHidden/>
              </w:rPr>
              <w:fldChar w:fldCharType="end"/>
            </w:r>
          </w:hyperlink>
        </w:p>
        <w:p w14:paraId="5061A0B0" w14:textId="17AD2440" w:rsidR="00F73033" w:rsidRDefault="00157572">
          <w:pPr>
            <w:pStyle w:val="TOC2"/>
            <w:tabs>
              <w:tab w:val="right" w:leader="dot" w:pos="9016"/>
            </w:tabs>
            <w:rPr>
              <w:noProof/>
            </w:rPr>
          </w:pPr>
          <w:hyperlink w:anchor="_Toc213267266" w:history="1">
            <w:r w:rsidR="00F73033" w:rsidRPr="00A354A9">
              <w:rPr>
                <w:rStyle w:val="Hyperlink"/>
                <w:noProof/>
              </w:rPr>
              <w:t>Conclusion</w:t>
            </w:r>
            <w:r w:rsidR="00F73033">
              <w:rPr>
                <w:noProof/>
                <w:webHidden/>
              </w:rPr>
              <w:tab/>
            </w:r>
            <w:r w:rsidR="00F73033">
              <w:rPr>
                <w:noProof/>
                <w:webHidden/>
              </w:rPr>
              <w:fldChar w:fldCharType="begin"/>
            </w:r>
            <w:r w:rsidR="00F73033">
              <w:rPr>
                <w:noProof/>
                <w:webHidden/>
              </w:rPr>
              <w:instrText xml:space="preserve"> PAGEREF _Toc213267266 \h </w:instrText>
            </w:r>
            <w:r w:rsidR="00F73033">
              <w:rPr>
                <w:noProof/>
                <w:webHidden/>
              </w:rPr>
            </w:r>
            <w:r w:rsidR="00F73033">
              <w:rPr>
                <w:noProof/>
                <w:webHidden/>
              </w:rPr>
              <w:fldChar w:fldCharType="separate"/>
            </w:r>
            <w:r w:rsidR="00F73033">
              <w:rPr>
                <w:noProof/>
                <w:webHidden/>
              </w:rPr>
              <w:t>9</w:t>
            </w:r>
            <w:r w:rsidR="00F73033">
              <w:rPr>
                <w:noProof/>
                <w:webHidden/>
              </w:rPr>
              <w:fldChar w:fldCharType="end"/>
            </w:r>
          </w:hyperlink>
        </w:p>
        <w:p w14:paraId="4C5E65B1" w14:textId="069224F4" w:rsidR="00F73033" w:rsidRDefault="00157572">
          <w:pPr>
            <w:pStyle w:val="TOC2"/>
            <w:tabs>
              <w:tab w:val="right" w:leader="dot" w:pos="9016"/>
            </w:tabs>
            <w:rPr>
              <w:noProof/>
            </w:rPr>
          </w:pPr>
          <w:hyperlink w:anchor="_Toc213267267" w:history="1">
            <w:r w:rsidR="00F73033" w:rsidRPr="00A354A9">
              <w:rPr>
                <w:rStyle w:val="Hyperlink"/>
                <w:noProof/>
              </w:rPr>
              <w:t>Reference List (Harvard Style)</w:t>
            </w:r>
            <w:r w:rsidR="00F73033">
              <w:rPr>
                <w:noProof/>
                <w:webHidden/>
              </w:rPr>
              <w:tab/>
            </w:r>
            <w:r w:rsidR="00F73033">
              <w:rPr>
                <w:noProof/>
                <w:webHidden/>
              </w:rPr>
              <w:fldChar w:fldCharType="begin"/>
            </w:r>
            <w:r w:rsidR="00F73033">
              <w:rPr>
                <w:noProof/>
                <w:webHidden/>
              </w:rPr>
              <w:instrText xml:space="preserve"> PAGEREF _Toc213267267 \h </w:instrText>
            </w:r>
            <w:r w:rsidR="00F73033">
              <w:rPr>
                <w:noProof/>
                <w:webHidden/>
              </w:rPr>
            </w:r>
            <w:r w:rsidR="00F73033">
              <w:rPr>
                <w:noProof/>
                <w:webHidden/>
              </w:rPr>
              <w:fldChar w:fldCharType="separate"/>
            </w:r>
            <w:r w:rsidR="00F73033">
              <w:rPr>
                <w:noProof/>
                <w:webHidden/>
              </w:rPr>
              <w:t>10</w:t>
            </w:r>
            <w:r w:rsidR="00F73033">
              <w:rPr>
                <w:noProof/>
                <w:webHidden/>
              </w:rPr>
              <w:fldChar w:fldCharType="end"/>
            </w:r>
          </w:hyperlink>
        </w:p>
        <w:p w14:paraId="53B1736F" w14:textId="2FA06681" w:rsidR="00F73033" w:rsidRDefault="00F73033">
          <w:r>
            <w:rPr>
              <w:b/>
              <w:bCs/>
            </w:rPr>
            <w:fldChar w:fldCharType="end"/>
          </w:r>
        </w:p>
      </w:sdtContent>
    </w:sdt>
    <w:p w14:paraId="261D66A9" w14:textId="77777777" w:rsidR="006F7D8E" w:rsidRDefault="006F7D8E"/>
    <w:p w14:paraId="5914775F" w14:textId="77777777" w:rsidR="006F7D8E" w:rsidRDefault="006F7D8E"/>
    <w:p w14:paraId="50976A8E" w14:textId="77777777" w:rsidR="006F7D8E" w:rsidRDefault="006F7D8E"/>
    <w:p w14:paraId="2DAFE82F" w14:textId="77777777" w:rsidR="006F7D8E" w:rsidRDefault="006F7D8E"/>
    <w:p w14:paraId="37B8A06F" w14:textId="77777777" w:rsidR="006F7D8E" w:rsidRDefault="006F7D8E"/>
    <w:p w14:paraId="436C2740" w14:textId="77777777" w:rsidR="006F7D8E" w:rsidRDefault="006F7D8E"/>
    <w:p w14:paraId="265A2B0F" w14:textId="77777777" w:rsidR="006F7D8E" w:rsidRDefault="006F7D8E"/>
    <w:p w14:paraId="6D9BC5AB" w14:textId="77777777" w:rsidR="006F7D8E" w:rsidRDefault="006F7D8E"/>
    <w:p w14:paraId="3D979ACC" w14:textId="77777777" w:rsidR="006F7D8E" w:rsidRDefault="006F7D8E"/>
    <w:p w14:paraId="1AE0A176" w14:textId="77777777" w:rsidR="006F7D8E" w:rsidRDefault="006F7D8E"/>
    <w:p w14:paraId="086F3EB2" w14:textId="77777777" w:rsidR="006F7D8E" w:rsidRDefault="006F7D8E"/>
    <w:p w14:paraId="5302C1A5" w14:textId="77777777" w:rsidR="006F7D8E" w:rsidRDefault="006F7D8E"/>
    <w:p w14:paraId="2FAB0A9F" w14:textId="77777777" w:rsidR="006F7D8E" w:rsidRDefault="006F7D8E"/>
    <w:p w14:paraId="0E39ED84" w14:textId="77777777" w:rsidR="006F7D8E" w:rsidRDefault="006F7D8E"/>
    <w:p w14:paraId="47A3CAC5" w14:textId="77777777" w:rsidR="006F7D8E" w:rsidRDefault="006F7D8E"/>
    <w:p w14:paraId="6A6DCDBA" w14:textId="1A151418" w:rsidR="00932AC6" w:rsidRPr="003733BA" w:rsidRDefault="00932AC6" w:rsidP="003733BA">
      <w:pPr>
        <w:pStyle w:val="Heading2"/>
      </w:pPr>
      <w:r w:rsidRPr="003733BA">
        <w:lastRenderedPageBreak/>
        <w:t xml:space="preserve"> </w:t>
      </w:r>
      <w:bookmarkStart w:id="0" w:name="_Toc213267257"/>
      <w:r w:rsidRPr="003733BA">
        <w:t xml:space="preserve">Learning and Development (L&amp;D) in HRM, using the global organisation </w:t>
      </w:r>
      <w:r w:rsidR="003733BA">
        <w:t>NESTLE</w:t>
      </w:r>
      <w:bookmarkEnd w:id="0"/>
      <w:r w:rsidR="003733BA">
        <w:t xml:space="preserve"> </w:t>
      </w:r>
    </w:p>
    <w:p w14:paraId="4416BB37" w14:textId="31760C62" w:rsidR="00EB45C1" w:rsidRPr="003733BA" w:rsidRDefault="00EB45C1" w:rsidP="003733BA">
      <w:pPr>
        <w:spacing w:line="360" w:lineRule="auto"/>
        <w:jc w:val="both"/>
        <w:rPr>
          <w:rFonts w:ascii="Times New Roman" w:hAnsi="Times New Roman" w:cs="Times New Roman"/>
        </w:rPr>
      </w:pPr>
      <w:r w:rsidRPr="003733BA">
        <w:rPr>
          <w:rFonts w:ascii="Times New Roman" w:hAnsi="Times New Roman" w:cs="Times New Roman"/>
          <w:noProof/>
        </w:rPr>
        <w:drawing>
          <wp:anchor distT="0" distB="0" distL="114300" distR="114300" simplePos="0" relativeHeight="251659264" behindDoc="0" locked="0" layoutInCell="1" allowOverlap="1" wp14:anchorId="39D840E7" wp14:editId="7D0B317A">
            <wp:simplePos x="914400" y="1866900"/>
            <wp:positionH relativeFrom="margin">
              <wp:align>right</wp:align>
            </wp:positionH>
            <wp:positionV relativeFrom="margin">
              <wp:align>top</wp:align>
            </wp:positionV>
            <wp:extent cx="2757170" cy="1810425"/>
            <wp:effectExtent l="0" t="0" r="5080" b="0"/>
            <wp:wrapSquare wrapText="bothSides"/>
            <wp:docPr id="1051690095" name="Picture 2" descr="A red logo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690095" name="Picture 2" descr="A red logo with white text&#10;&#10;AI-generated content may be incorrect."/>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757170" cy="1810425"/>
                    </a:xfrm>
                    <a:prstGeom prst="rect">
                      <a:avLst/>
                    </a:prstGeom>
                  </pic:spPr>
                </pic:pic>
              </a:graphicData>
            </a:graphic>
          </wp:anchor>
        </w:drawing>
      </w:r>
    </w:p>
    <w:p w14:paraId="56A8D224" w14:textId="3BFF2E7A" w:rsidR="00EB45C1" w:rsidRDefault="00EB45C1" w:rsidP="003733BA">
      <w:pPr>
        <w:spacing w:line="360" w:lineRule="auto"/>
        <w:jc w:val="both"/>
        <w:rPr>
          <w:rFonts w:ascii="Times New Roman" w:hAnsi="Times New Roman" w:cs="Times New Roman"/>
        </w:rPr>
      </w:pPr>
    </w:p>
    <w:p w14:paraId="47A6D9F5" w14:textId="67046B76" w:rsidR="00F54C1D" w:rsidRDefault="00F54C1D" w:rsidP="003733BA">
      <w:pPr>
        <w:spacing w:line="360" w:lineRule="auto"/>
        <w:jc w:val="both"/>
        <w:rPr>
          <w:rFonts w:ascii="Times New Roman" w:hAnsi="Times New Roman" w:cs="Times New Roman"/>
        </w:rPr>
      </w:pPr>
    </w:p>
    <w:p w14:paraId="2F9B7771" w14:textId="77777777" w:rsidR="00F54C1D" w:rsidRPr="003733BA" w:rsidRDefault="00F54C1D" w:rsidP="003733BA">
      <w:pPr>
        <w:spacing w:line="360" w:lineRule="auto"/>
        <w:jc w:val="both"/>
        <w:rPr>
          <w:rFonts w:ascii="Times New Roman" w:hAnsi="Times New Roman" w:cs="Times New Roman"/>
        </w:rPr>
      </w:pPr>
    </w:p>
    <w:p w14:paraId="617A3968" w14:textId="77777777" w:rsidR="00EB45C1" w:rsidRPr="00F54C1D" w:rsidRDefault="00EB45C1" w:rsidP="003733BA">
      <w:pPr>
        <w:pStyle w:val="Heading2"/>
        <w:rPr>
          <w:rFonts w:ascii="Arial" w:hAnsi="Arial" w:cs="Arial"/>
          <w:sz w:val="24"/>
          <w:szCs w:val="24"/>
        </w:rPr>
      </w:pPr>
      <w:bookmarkStart w:id="1" w:name="_Toc213267258"/>
      <w:r w:rsidRPr="00F54C1D">
        <w:rPr>
          <w:rFonts w:ascii="Arial" w:hAnsi="Arial" w:cs="Arial"/>
          <w:sz w:val="24"/>
          <w:szCs w:val="24"/>
        </w:rPr>
        <w:t>Introduction</w:t>
      </w:r>
      <w:bookmarkEnd w:id="1"/>
    </w:p>
    <w:p w14:paraId="27488973" w14:textId="03C0C41B" w:rsidR="00EB45C1" w:rsidRPr="00F54C1D" w:rsidRDefault="0002620A" w:rsidP="003733BA">
      <w:pPr>
        <w:spacing w:line="360" w:lineRule="auto"/>
        <w:jc w:val="both"/>
        <w:rPr>
          <w:rFonts w:ascii="Arial" w:hAnsi="Arial" w:cs="Arial"/>
        </w:rPr>
      </w:pPr>
      <w:r w:rsidRPr="00F54C1D">
        <w:rPr>
          <w:rFonts w:ascii="Arial" w:hAnsi="Arial" w:cs="Arial"/>
        </w:rPr>
        <w:t>The Role of Learning and Development within Human Resource Management</w:t>
      </w:r>
      <w:r w:rsidR="00F54C1D">
        <w:rPr>
          <w:rFonts w:ascii="Arial" w:hAnsi="Arial" w:cs="Arial"/>
        </w:rPr>
        <w:t xml:space="preserve"> </w:t>
      </w:r>
      <w:r w:rsidR="00EB45C1" w:rsidRPr="00F54C1D">
        <w:rPr>
          <w:rFonts w:ascii="Arial" w:hAnsi="Arial" w:cs="Arial"/>
        </w:rPr>
        <w:t>planned process for improving employees’ knowledge, skills and competencies with the aim of increasing their performance alongside that of their firm. It includes all forms of formal transmission, informal</w:t>
      </w:r>
      <w:r w:rsidR="00EB45C1" w:rsidRPr="00F54C1D">
        <w:rPr>
          <w:rFonts w:ascii="Arial" w:hAnsi="Arial" w:cs="Arial"/>
        </w:rPr>
        <w:t> </w:t>
      </w:r>
      <w:r w:rsidR="00EB45C1" w:rsidRPr="00F54C1D">
        <w:rPr>
          <w:rFonts w:ascii="Arial" w:hAnsi="Arial" w:cs="Arial"/>
        </w:rPr>
        <w:t xml:space="preserve">learning and career development methods that are intended to develop their capacity and to keep the organisation flexible </w:t>
      </w:r>
      <w:r w:rsidRPr="00F54C1D">
        <w:rPr>
          <w:rFonts w:ascii="Arial" w:hAnsi="Arial" w:cs="Arial"/>
        </w:rPr>
        <w:t>to</w:t>
      </w:r>
      <w:r w:rsidR="00EB45C1" w:rsidRPr="00F54C1D">
        <w:rPr>
          <w:rFonts w:ascii="Arial" w:hAnsi="Arial" w:cs="Arial"/>
        </w:rPr>
        <w:t xml:space="preserve"> remain competitive in rapidly changing business conditions (Noe et al., 2021).</w:t>
      </w:r>
    </w:p>
    <w:p w14:paraId="24CDD05A" w14:textId="77777777" w:rsidR="00EB45C1" w:rsidRPr="00F54C1D" w:rsidRDefault="00EB45C1" w:rsidP="003733BA">
      <w:pPr>
        <w:spacing w:line="360" w:lineRule="auto"/>
        <w:jc w:val="both"/>
        <w:rPr>
          <w:rFonts w:ascii="Arial" w:hAnsi="Arial" w:cs="Arial"/>
        </w:rPr>
      </w:pPr>
      <w:r w:rsidRPr="00F54C1D">
        <w:rPr>
          <w:rFonts w:ascii="Arial" w:hAnsi="Arial" w:cs="Arial"/>
        </w:rPr>
        <w:t>The importance of L&amp;D is that it</w:t>
      </w:r>
      <w:r w:rsidRPr="00F54C1D">
        <w:rPr>
          <w:rFonts w:ascii="Arial" w:hAnsi="Arial" w:cs="Arial"/>
        </w:rPr>
        <w:t> </w:t>
      </w:r>
      <w:r w:rsidRPr="00F54C1D">
        <w:rPr>
          <w:rFonts w:ascii="Arial" w:hAnsi="Arial" w:cs="Arial"/>
        </w:rPr>
        <w:t>enables companies to respond to environmental changes such as technological advancement, digital revolution, and global altered trends. Continuous investment in developing our workforce is the only way businesses can ensure that they have an</w:t>
      </w:r>
      <w:r w:rsidRPr="00F54C1D">
        <w:rPr>
          <w:rFonts w:ascii="Arial" w:hAnsi="Arial" w:cs="Arial"/>
        </w:rPr>
        <w:t> </w:t>
      </w:r>
      <w:r w:rsidRPr="00F54C1D">
        <w:rPr>
          <w:rFonts w:ascii="Arial" w:hAnsi="Arial" w:cs="Arial"/>
        </w:rPr>
        <w:t>innovative and resilient workforce (</w:t>
      </w:r>
      <w:proofErr w:type="spellStart"/>
      <w:r w:rsidRPr="00F54C1D">
        <w:rPr>
          <w:rFonts w:ascii="Arial" w:hAnsi="Arial" w:cs="Arial"/>
        </w:rPr>
        <w:t>Garavan</w:t>
      </w:r>
      <w:proofErr w:type="spellEnd"/>
      <w:r w:rsidRPr="00F54C1D">
        <w:rPr>
          <w:rFonts w:ascii="Arial" w:hAnsi="Arial" w:cs="Arial"/>
        </w:rPr>
        <w:t xml:space="preserve"> et al., 2019). It</w:t>
      </w:r>
      <w:r w:rsidRPr="00F54C1D">
        <w:rPr>
          <w:rFonts w:ascii="Arial" w:hAnsi="Arial" w:cs="Arial"/>
        </w:rPr>
        <w:t> </w:t>
      </w:r>
      <w:r w:rsidRPr="00F54C1D">
        <w:rPr>
          <w:rFonts w:ascii="Arial" w:hAnsi="Arial" w:cs="Arial"/>
        </w:rPr>
        <w:t>also helps organisations stay competitive, with levels of employee productivity and engagement boosted by L&amp;D initiatives. Crucially, strong L&amp;D also serves diversity and inclusion by</w:t>
      </w:r>
      <w:r w:rsidRPr="00F54C1D">
        <w:rPr>
          <w:rFonts w:ascii="Arial" w:hAnsi="Arial" w:cs="Arial"/>
        </w:rPr>
        <w:t> </w:t>
      </w:r>
      <w:r w:rsidRPr="00F54C1D">
        <w:rPr>
          <w:rFonts w:ascii="Arial" w:hAnsi="Arial" w:cs="Arial"/>
        </w:rPr>
        <w:t>making learning opportunities equally accessible.</w:t>
      </w:r>
    </w:p>
    <w:p w14:paraId="06BEE2CB" w14:textId="77777777" w:rsidR="00EB45C1" w:rsidRPr="00F54C1D" w:rsidRDefault="00EB45C1" w:rsidP="003733BA">
      <w:pPr>
        <w:spacing w:line="360" w:lineRule="auto"/>
        <w:jc w:val="both"/>
        <w:rPr>
          <w:rFonts w:ascii="Arial" w:hAnsi="Arial" w:cs="Arial"/>
        </w:rPr>
      </w:pPr>
      <w:r w:rsidRPr="00F54C1D">
        <w:rPr>
          <w:rFonts w:ascii="Arial" w:hAnsi="Arial" w:cs="Arial"/>
        </w:rPr>
        <w:t>To assess the efficiency of training and development programmes, many companies use Kirkpatrick’s Four-Level Evaluation</w:t>
      </w:r>
      <w:r w:rsidRPr="00F54C1D">
        <w:rPr>
          <w:rFonts w:ascii="Arial" w:hAnsi="Arial" w:cs="Arial"/>
        </w:rPr>
        <w:t> </w:t>
      </w:r>
      <w:r w:rsidRPr="00F54C1D">
        <w:rPr>
          <w:rFonts w:ascii="Arial" w:hAnsi="Arial" w:cs="Arial"/>
        </w:rPr>
        <w:t>Model (Kirkpatrick &amp; Kirkpatrick, 2016). This model tests learning at four levels: Reaction to check if participants are satisfied with the training; Learning to</w:t>
      </w:r>
      <w:r w:rsidRPr="00F54C1D">
        <w:rPr>
          <w:rFonts w:ascii="Arial" w:hAnsi="Arial" w:cs="Arial"/>
        </w:rPr>
        <w:t> </w:t>
      </w:r>
      <w:r w:rsidRPr="00F54C1D">
        <w:rPr>
          <w:rFonts w:ascii="Arial" w:hAnsi="Arial" w:cs="Arial"/>
        </w:rPr>
        <w:t>test knowledge and skill acquisition; Behaviour to see how learning is applied on the job; and Results to assess impact on organisation performance. The model gives holistic view</w:t>
      </w:r>
      <w:r w:rsidRPr="00F54C1D">
        <w:rPr>
          <w:rFonts w:ascii="Arial" w:hAnsi="Arial" w:cs="Arial"/>
        </w:rPr>
        <w:t> </w:t>
      </w:r>
      <w:r w:rsidRPr="00F54C1D">
        <w:rPr>
          <w:rFonts w:ascii="Arial" w:hAnsi="Arial" w:cs="Arial"/>
        </w:rPr>
        <w:t>to track short-term as well as the long-term effects of L&amp;D training practices / results leading to more alignment of programs with business outcomes.</w:t>
      </w:r>
    </w:p>
    <w:p w14:paraId="640F2DE8" w14:textId="5C4B0CD4" w:rsidR="00EB45C1" w:rsidRPr="00F54C1D" w:rsidRDefault="00EB45C1" w:rsidP="003733BA">
      <w:pPr>
        <w:spacing w:line="360" w:lineRule="auto"/>
        <w:jc w:val="both"/>
        <w:rPr>
          <w:rFonts w:ascii="Arial" w:hAnsi="Arial" w:cs="Arial"/>
        </w:rPr>
      </w:pPr>
      <w:r w:rsidRPr="00F54C1D">
        <w:rPr>
          <w:rFonts w:ascii="Arial" w:hAnsi="Arial" w:cs="Arial"/>
        </w:rPr>
        <w:lastRenderedPageBreak/>
        <w:t>The multinational food and beverage company based in Vevey, Switzerland is a world leader for it focus on the training and career development</w:t>
      </w:r>
      <w:r w:rsidRPr="00F54C1D">
        <w:rPr>
          <w:rFonts w:ascii="Arial" w:hAnsi="Arial" w:cs="Arial"/>
        </w:rPr>
        <w:t> </w:t>
      </w:r>
      <w:r w:rsidRPr="00F54C1D">
        <w:rPr>
          <w:rFonts w:ascii="Arial" w:hAnsi="Arial" w:cs="Arial"/>
        </w:rPr>
        <w:t>of staff. Multinational enterprise: Established in 1866, Nestlé operates in 180 countries and endorses lifelong learning culture based on initiatives like The Nestle Continuous Excellence and The Nestle Leadership Framework thinking about leadership skills,</w:t>
      </w:r>
      <w:r w:rsidRPr="00F54C1D">
        <w:rPr>
          <w:rFonts w:ascii="Arial" w:hAnsi="Arial" w:cs="Arial"/>
        </w:rPr>
        <w:t> </w:t>
      </w:r>
      <w:r w:rsidRPr="00F54C1D">
        <w:rPr>
          <w:rFonts w:ascii="Arial" w:hAnsi="Arial" w:cs="Arial"/>
        </w:rPr>
        <w:t>digital literacy, and technical capability (Nestlé, 2024). Based on Kirkpatrick</w:t>
      </w:r>
      <w:r w:rsidRPr="00F54C1D">
        <w:rPr>
          <w:rFonts w:ascii="Arial" w:hAnsi="Arial" w:cs="Arial"/>
        </w:rPr>
        <w:t> </w:t>
      </w:r>
      <w:r w:rsidRPr="00F54C1D">
        <w:rPr>
          <w:rFonts w:ascii="Arial" w:hAnsi="Arial" w:cs="Arial"/>
        </w:rPr>
        <w:t>model, the organization implicate rigorous assessment models to evaluate training effectiveness for learning outcomes to result in higher performance, reengineer and inclusiveness throughout its diverse global workforce.</w:t>
      </w:r>
    </w:p>
    <w:p w14:paraId="711B5F0E" w14:textId="77777777" w:rsidR="00EB45C1" w:rsidRPr="00F54C1D" w:rsidRDefault="00EB45C1" w:rsidP="003733BA">
      <w:pPr>
        <w:spacing w:line="360" w:lineRule="auto"/>
        <w:jc w:val="both"/>
        <w:rPr>
          <w:rFonts w:ascii="Arial" w:hAnsi="Arial" w:cs="Arial"/>
        </w:rPr>
      </w:pPr>
    </w:p>
    <w:p w14:paraId="4A3904EC" w14:textId="3DC95DAC" w:rsidR="00932AC6" w:rsidRPr="00F54C1D" w:rsidRDefault="00932AC6" w:rsidP="003733BA">
      <w:pPr>
        <w:pStyle w:val="Heading2"/>
        <w:rPr>
          <w:rFonts w:ascii="Arial" w:hAnsi="Arial" w:cs="Arial"/>
          <w:sz w:val="24"/>
          <w:szCs w:val="24"/>
        </w:rPr>
      </w:pPr>
      <w:bookmarkStart w:id="2" w:name="_Toc213267259"/>
      <w:r w:rsidRPr="00F54C1D">
        <w:rPr>
          <w:rFonts w:ascii="Arial" w:hAnsi="Arial" w:cs="Arial"/>
          <w:sz w:val="24"/>
          <w:szCs w:val="24"/>
        </w:rPr>
        <w:t>Impact of Internal and External Forces on L&amp;D Design and Implementation</w:t>
      </w:r>
      <w:bookmarkEnd w:id="2"/>
    </w:p>
    <w:p w14:paraId="087EAAE7" w14:textId="77777777" w:rsidR="00932AC6" w:rsidRPr="00F54C1D" w:rsidRDefault="00932AC6" w:rsidP="003733BA">
      <w:pPr>
        <w:spacing w:line="360" w:lineRule="auto"/>
        <w:jc w:val="both"/>
        <w:rPr>
          <w:rFonts w:ascii="Arial" w:hAnsi="Arial" w:cs="Arial"/>
        </w:rPr>
      </w:pPr>
    </w:p>
    <w:p w14:paraId="4EFEF463" w14:textId="42110A60" w:rsidR="00932AC6" w:rsidRPr="00F54C1D" w:rsidRDefault="00932AC6" w:rsidP="003733BA">
      <w:pPr>
        <w:spacing w:line="360" w:lineRule="auto"/>
        <w:jc w:val="both"/>
        <w:rPr>
          <w:rFonts w:ascii="Arial" w:hAnsi="Arial" w:cs="Arial"/>
        </w:rPr>
      </w:pPr>
    </w:p>
    <w:p w14:paraId="25F265F0" w14:textId="77777777" w:rsidR="00932AC6" w:rsidRPr="00F54C1D" w:rsidRDefault="00932AC6" w:rsidP="003733BA">
      <w:pPr>
        <w:pStyle w:val="Heading2"/>
        <w:rPr>
          <w:rStyle w:val="Strong"/>
          <w:rFonts w:ascii="Arial" w:hAnsi="Arial" w:cs="Arial"/>
          <w:sz w:val="24"/>
          <w:szCs w:val="24"/>
        </w:rPr>
      </w:pPr>
      <w:bookmarkStart w:id="3" w:name="_Toc213267260"/>
      <w:r w:rsidRPr="00F54C1D">
        <w:rPr>
          <w:rStyle w:val="Strong"/>
          <w:rFonts w:ascii="Arial" w:hAnsi="Arial" w:cs="Arial"/>
          <w:sz w:val="24"/>
          <w:szCs w:val="24"/>
        </w:rPr>
        <w:t>Internal Forces</w:t>
      </w:r>
      <w:bookmarkEnd w:id="3"/>
    </w:p>
    <w:p w14:paraId="164BCB12" w14:textId="77777777" w:rsidR="00932AC6" w:rsidRPr="00F54C1D" w:rsidRDefault="00932AC6" w:rsidP="003733BA">
      <w:pPr>
        <w:spacing w:line="360" w:lineRule="auto"/>
        <w:jc w:val="both"/>
        <w:rPr>
          <w:rFonts w:ascii="Arial" w:hAnsi="Arial" w:cs="Arial"/>
        </w:rPr>
      </w:pPr>
    </w:p>
    <w:p w14:paraId="2D47A905" w14:textId="334B7E20" w:rsidR="0002620A" w:rsidRPr="00F54C1D" w:rsidRDefault="0002620A" w:rsidP="003733BA">
      <w:pPr>
        <w:spacing w:line="360" w:lineRule="auto"/>
        <w:jc w:val="both"/>
        <w:rPr>
          <w:rFonts w:ascii="Arial" w:hAnsi="Arial" w:cs="Arial"/>
        </w:rPr>
      </w:pPr>
      <w:r w:rsidRPr="00F54C1D">
        <w:rPr>
          <w:rFonts w:ascii="Arial" w:hAnsi="Arial" w:cs="Arial"/>
        </w:rPr>
        <w:t>Organisational Culture: Learning and development (L&amp;D) at Nestlé Nestlé’s corporate culture is characterised</w:t>
      </w:r>
      <w:r w:rsidRPr="00F54C1D">
        <w:rPr>
          <w:rFonts w:ascii="Arial" w:hAnsi="Arial" w:cs="Arial"/>
        </w:rPr>
        <w:t> </w:t>
      </w:r>
      <w:r w:rsidRPr="00F54C1D">
        <w:rPr>
          <w:rFonts w:ascii="Arial" w:hAnsi="Arial" w:cs="Arial"/>
        </w:rPr>
        <w:t>by continuous expansion, common values and lifelong learning, all of which are reflected in its L&amp;D strategy. The organisation values the potential contribution of its employees and the impact it has on them in nurturing their professional advancement indicating its Organisational focus</w:t>
      </w:r>
      <w:r w:rsidRPr="00F54C1D">
        <w:rPr>
          <w:rFonts w:ascii="Arial" w:hAnsi="Arial" w:cs="Arial"/>
        </w:rPr>
        <w:t> </w:t>
      </w:r>
      <w:r w:rsidRPr="00F54C1D">
        <w:rPr>
          <w:rFonts w:ascii="Arial" w:hAnsi="Arial" w:cs="Arial"/>
        </w:rPr>
        <w:t>-Empowering People, which reflects respect for people (Nestlé, 2024). Learning is part of work itself, and all are encouraged</w:t>
      </w:r>
      <w:r w:rsidRPr="00F54C1D">
        <w:rPr>
          <w:rFonts w:ascii="Arial" w:hAnsi="Arial" w:cs="Arial"/>
        </w:rPr>
        <w:t> </w:t>
      </w:r>
      <w:r w:rsidRPr="00F54C1D">
        <w:rPr>
          <w:rFonts w:ascii="Arial" w:hAnsi="Arial" w:cs="Arial"/>
        </w:rPr>
        <w:t>to personalise their development which aligns with overall organisational objectives. This way of doing things means learning</w:t>
      </w:r>
      <w:r w:rsidRPr="00F54C1D">
        <w:rPr>
          <w:rFonts w:ascii="Arial" w:hAnsi="Arial" w:cs="Arial"/>
        </w:rPr>
        <w:t> </w:t>
      </w:r>
      <w:r w:rsidRPr="00F54C1D">
        <w:rPr>
          <w:rFonts w:ascii="Arial" w:hAnsi="Arial" w:cs="Arial"/>
        </w:rPr>
        <w:t xml:space="preserve">is not something separate, but part of the fabric of how we do things at Nestlé   motivating, inspiring or challenging us to achieve more. </w:t>
      </w:r>
    </w:p>
    <w:p w14:paraId="4081F079" w14:textId="1403BDE3" w:rsidR="0002620A" w:rsidRPr="00F54C1D" w:rsidRDefault="0002620A" w:rsidP="003733BA">
      <w:pPr>
        <w:spacing w:line="360" w:lineRule="auto"/>
        <w:jc w:val="both"/>
        <w:rPr>
          <w:rFonts w:ascii="Arial" w:hAnsi="Arial" w:cs="Arial"/>
        </w:rPr>
      </w:pPr>
      <w:r w:rsidRPr="00F54C1D">
        <w:rPr>
          <w:rFonts w:ascii="Arial" w:hAnsi="Arial" w:cs="Arial"/>
        </w:rPr>
        <w:t>Leadership Commitment: The</w:t>
      </w:r>
      <w:r w:rsidRPr="00F54C1D">
        <w:rPr>
          <w:rFonts w:ascii="Arial" w:hAnsi="Arial" w:cs="Arial"/>
        </w:rPr>
        <w:t> </w:t>
      </w:r>
      <w:r w:rsidRPr="00F54C1D">
        <w:rPr>
          <w:rFonts w:ascii="Arial" w:hAnsi="Arial" w:cs="Arial"/>
        </w:rPr>
        <w:t>involvement of executives is a major factor in Nestlé’s L&amp;D success. The company encourages and actively engages its leaders to development programs, such as the Nestle Leadership Framework an initiative aimed in shaping determined leaders capable on steering with challenges of complex and dynamic global business settings (</w:t>
      </w:r>
      <w:proofErr w:type="spellStart"/>
      <w:r w:rsidRPr="00F54C1D">
        <w:rPr>
          <w:rFonts w:ascii="Arial" w:hAnsi="Arial" w:cs="Arial"/>
        </w:rPr>
        <w:t>Garavan</w:t>
      </w:r>
      <w:proofErr w:type="spellEnd"/>
      <w:r w:rsidRPr="00F54C1D">
        <w:rPr>
          <w:rFonts w:ascii="Arial" w:hAnsi="Arial" w:cs="Arial"/>
        </w:rPr>
        <w:t xml:space="preserve"> et al.,</w:t>
      </w:r>
      <w:r w:rsidRPr="00F54C1D">
        <w:rPr>
          <w:rFonts w:ascii="Arial" w:hAnsi="Arial" w:cs="Arial"/>
        </w:rPr>
        <w:t> </w:t>
      </w:r>
      <w:r w:rsidRPr="00F54C1D">
        <w:rPr>
          <w:rFonts w:ascii="Arial" w:hAnsi="Arial" w:cs="Arial"/>
        </w:rPr>
        <w:t>2019). That kind of leadership commitment means ongoing funding, resources,</w:t>
      </w:r>
      <w:r w:rsidRPr="00F54C1D">
        <w:rPr>
          <w:rFonts w:ascii="Arial" w:hAnsi="Arial" w:cs="Arial"/>
        </w:rPr>
        <w:t> </w:t>
      </w:r>
      <w:r w:rsidRPr="00F54C1D">
        <w:rPr>
          <w:rFonts w:ascii="Arial" w:hAnsi="Arial" w:cs="Arial"/>
        </w:rPr>
        <w:t xml:space="preserve">and the culture of improvement will </w:t>
      </w:r>
      <w:r w:rsidRPr="00F54C1D">
        <w:rPr>
          <w:rFonts w:ascii="Arial" w:hAnsi="Arial" w:cs="Arial"/>
        </w:rPr>
        <w:lastRenderedPageBreak/>
        <w:t>continue to be valued. It further promotes an education mentality throughout the organization that is conducive to knowledge sharing and</w:t>
      </w:r>
      <w:r w:rsidRPr="00F54C1D">
        <w:rPr>
          <w:rFonts w:ascii="Arial" w:hAnsi="Arial" w:cs="Arial"/>
        </w:rPr>
        <w:t> </w:t>
      </w:r>
      <w:r w:rsidRPr="00F54C1D">
        <w:rPr>
          <w:rFonts w:ascii="Arial" w:hAnsi="Arial" w:cs="Arial"/>
        </w:rPr>
        <w:t>mentoring.</w:t>
      </w:r>
    </w:p>
    <w:p w14:paraId="51CE8F9B" w14:textId="7C681887" w:rsidR="0002620A" w:rsidRPr="00F54C1D" w:rsidRDefault="0002620A" w:rsidP="003733BA">
      <w:pPr>
        <w:spacing w:line="360" w:lineRule="auto"/>
        <w:jc w:val="both"/>
        <w:rPr>
          <w:rFonts w:ascii="Arial" w:hAnsi="Arial" w:cs="Arial"/>
        </w:rPr>
      </w:pPr>
      <w:r w:rsidRPr="00F54C1D">
        <w:rPr>
          <w:rFonts w:ascii="Arial" w:hAnsi="Arial" w:cs="Arial"/>
        </w:rPr>
        <w:t xml:space="preserve"> Employee Skill Gaps: Nestlé regularly assess competency models for the workforce to identify present and future skills gaps, such as in</w:t>
      </w:r>
      <w:r w:rsidRPr="00F54C1D">
        <w:rPr>
          <w:rFonts w:ascii="Arial" w:hAnsi="Arial" w:cs="Arial"/>
        </w:rPr>
        <w:t> </w:t>
      </w:r>
      <w:r w:rsidRPr="00F54C1D">
        <w:rPr>
          <w:rFonts w:ascii="Arial" w:hAnsi="Arial" w:cs="Arial"/>
        </w:rPr>
        <w:t>areas of digital innovation, sustainability and decision-making based on data. The company makes efforts to cover these gaps by planned training</w:t>
      </w:r>
      <w:r w:rsidRPr="00F54C1D">
        <w:rPr>
          <w:rFonts w:ascii="Arial" w:hAnsi="Arial" w:cs="Arial"/>
        </w:rPr>
        <w:t> </w:t>
      </w:r>
      <w:r w:rsidRPr="00F54C1D">
        <w:rPr>
          <w:rFonts w:ascii="Arial" w:hAnsi="Arial" w:cs="Arial"/>
        </w:rPr>
        <w:t xml:space="preserve">interventions to upgrade the workforce's ability, keep productivity and guarantee future-proof the organisation towards shifts of needs in industry (CIPD, 2023). </w:t>
      </w:r>
    </w:p>
    <w:p w14:paraId="24953758" w14:textId="456F16E8" w:rsidR="00932AC6" w:rsidRPr="00F54C1D" w:rsidRDefault="0002620A" w:rsidP="003733BA">
      <w:pPr>
        <w:spacing w:line="360" w:lineRule="auto"/>
        <w:jc w:val="both"/>
        <w:rPr>
          <w:rFonts w:ascii="Arial" w:hAnsi="Arial" w:cs="Arial"/>
        </w:rPr>
      </w:pPr>
      <w:r w:rsidRPr="00F54C1D">
        <w:rPr>
          <w:rFonts w:ascii="Arial" w:hAnsi="Arial" w:cs="Arial"/>
        </w:rPr>
        <w:t>Technological Advancements: The company’s journey to</w:t>
      </w:r>
      <w:r w:rsidRPr="00F54C1D">
        <w:rPr>
          <w:rFonts w:ascii="Arial" w:hAnsi="Arial" w:cs="Arial"/>
        </w:rPr>
        <w:t> </w:t>
      </w:r>
      <w:r w:rsidRPr="00F54C1D">
        <w:rPr>
          <w:rFonts w:ascii="Arial" w:hAnsi="Arial" w:cs="Arial"/>
        </w:rPr>
        <w:t>the digital space revolutionized the way learning is imparted. Nestlé uses online channels, mobile learning apps and</w:t>
      </w:r>
      <w:r w:rsidRPr="00F54C1D">
        <w:rPr>
          <w:rFonts w:ascii="Arial" w:hAnsi="Arial" w:cs="Arial"/>
        </w:rPr>
        <w:t> </w:t>
      </w:r>
      <w:r w:rsidRPr="00F54C1D">
        <w:rPr>
          <w:rFonts w:ascii="Arial" w:hAnsi="Arial" w:cs="Arial"/>
        </w:rPr>
        <w:t>analytics to personalise learning experiences and increase engagement. These are technologies that create consistent, on-demand learning</w:t>
      </w:r>
      <w:r w:rsidRPr="00F54C1D">
        <w:rPr>
          <w:rFonts w:ascii="Arial" w:hAnsi="Arial" w:cs="Arial"/>
        </w:rPr>
        <w:t> </w:t>
      </w:r>
      <w:r w:rsidRPr="00F54C1D">
        <w:rPr>
          <w:rFonts w:ascii="Arial" w:hAnsi="Arial" w:cs="Arial"/>
        </w:rPr>
        <w:t>opportunities for people around the world, helping build a globally connected and agile workforce.</w:t>
      </w:r>
    </w:p>
    <w:p w14:paraId="0B78DF0C" w14:textId="77777777" w:rsidR="00932AC6" w:rsidRPr="00F54C1D" w:rsidRDefault="00932AC6" w:rsidP="003733BA">
      <w:pPr>
        <w:spacing w:line="360" w:lineRule="auto"/>
        <w:jc w:val="both"/>
        <w:rPr>
          <w:rStyle w:val="Strong"/>
          <w:rFonts w:ascii="Arial" w:hAnsi="Arial" w:cs="Arial"/>
        </w:rPr>
      </w:pPr>
      <w:r w:rsidRPr="00F54C1D">
        <w:rPr>
          <w:rStyle w:val="Strong"/>
          <w:rFonts w:ascii="Arial" w:hAnsi="Arial" w:cs="Arial"/>
        </w:rPr>
        <w:t>External Forces</w:t>
      </w:r>
    </w:p>
    <w:p w14:paraId="37118C0D" w14:textId="77777777" w:rsidR="00932AC6" w:rsidRPr="00F54C1D" w:rsidRDefault="00932AC6" w:rsidP="003733BA">
      <w:pPr>
        <w:spacing w:line="360" w:lineRule="auto"/>
        <w:jc w:val="both"/>
        <w:rPr>
          <w:rFonts w:ascii="Arial" w:hAnsi="Arial" w:cs="Arial"/>
        </w:rPr>
      </w:pPr>
    </w:p>
    <w:p w14:paraId="0926DE55" w14:textId="77777777" w:rsidR="0002620A" w:rsidRPr="00F54C1D" w:rsidRDefault="0002620A" w:rsidP="003733BA">
      <w:pPr>
        <w:spacing w:line="360" w:lineRule="auto"/>
        <w:jc w:val="both"/>
        <w:rPr>
          <w:rFonts w:ascii="Arial" w:hAnsi="Arial" w:cs="Arial"/>
        </w:rPr>
      </w:pPr>
      <w:r w:rsidRPr="00F54C1D">
        <w:rPr>
          <w:rFonts w:ascii="Arial" w:hAnsi="Arial" w:cs="Arial"/>
        </w:rPr>
        <w:t>Globalisation: Being a worldwide group operating in 186 countries, Nestlé finds itself challenged to develop L&amp;D activities that are</w:t>
      </w:r>
      <w:r w:rsidRPr="00F54C1D">
        <w:rPr>
          <w:rFonts w:ascii="Arial" w:hAnsi="Arial" w:cs="Arial"/>
        </w:rPr>
        <w:t> </w:t>
      </w:r>
      <w:r w:rsidRPr="00F54C1D">
        <w:rPr>
          <w:rFonts w:ascii="Arial" w:hAnsi="Arial" w:cs="Arial"/>
        </w:rPr>
        <w:t>respectful of the cultural, linguistic and legal differences across its business environment. Global differentiation needs to strike a balance between global commonality and local</w:t>
      </w:r>
      <w:r w:rsidRPr="00F54C1D">
        <w:rPr>
          <w:rFonts w:ascii="Arial" w:hAnsi="Arial" w:cs="Arial"/>
        </w:rPr>
        <w:t> </w:t>
      </w:r>
      <w:r w:rsidRPr="00F54C1D">
        <w:rPr>
          <w:rFonts w:ascii="Arial" w:hAnsi="Arial" w:cs="Arial"/>
        </w:rPr>
        <w:t>variability. Thus, this campus model L&amp;D framework in Nestlé aims at ensuring standardised application of core competencies and overlapping the training design and delivery according to local needs and cultural</w:t>
      </w:r>
      <w:r w:rsidRPr="00F54C1D">
        <w:rPr>
          <w:rFonts w:ascii="Arial" w:hAnsi="Arial" w:cs="Arial"/>
        </w:rPr>
        <w:t> </w:t>
      </w:r>
      <w:r w:rsidRPr="00F54C1D">
        <w:rPr>
          <w:rFonts w:ascii="Arial" w:hAnsi="Arial" w:cs="Arial"/>
        </w:rPr>
        <w:t>differences (Noe et al., 2021). It ensures learning remains current, global and</w:t>
      </w:r>
      <w:r w:rsidRPr="00F54C1D">
        <w:rPr>
          <w:rFonts w:ascii="Arial" w:hAnsi="Arial" w:cs="Arial"/>
        </w:rPr>
        <w:t> </w:t>
      </w:r>
      <w:r w:rsidRPr="00F54C1D">
        <w:rPr>
          <w:rFonts w:ascii="Arial" w:hAnsi="Arial" w:cs="Arial"/>
        </w:rPr>
        <w:t xml:space="preserve">relevant to a highly diverse international workforce. </w:t>
      </w:r>
    </w:p>
    <w:p w14:paraId="3B34CBD2" w14:textId="324B2AAB" w:rsidR="0002620A" w:rsidRPr="00F54C1D" w:rsidRDefault="0002620A" w:rsidP="003733BA">
      <w:pPr>
        <w:spacing w:line="360" w:lineRule="auto"/>
        <w:jc w:val="both"/>
        <w:rPr>
          <w:rFonts w:ascii="Arial" w:hAnsi="Arial" w:cs="Arial"/>
        </w:rPr>
      </w:pPr>
      <w:r w:rsidRPr="00F54C1D">
        <w:rPr>
          <w:rFonts w:ascii="Arial" w:hAnsi="Arial" w:cs="Arial"/>
        </w:rPr>
        <w:t xml:space="preserve"> Technological Disruptions: The growing influence of digital technology, automation and AI mean the jobs landscape</w:t>
      </w:r>
      <w:r w:rsidRPr="00F54C1D">
        <w:rPr>
          <w:rFonts w:ascii="Arial" w:hAnsi="Arial" w:cs="Arial"/>
        </w:rPr>
        <w:t> </w:t>
      </w:r>
      <w:r w:rsidRPr="00F54C1D">
        <w:rPr>
          <w:rFonts w:ascii="Arial" w:hAnsi="Arial" w:cs="Arial"/>
        </w:rPr>
        <w:t>is evolving ever more rapidly, with new skills required and some declining in value. Nestlé is responding to these changes in its L&amp;D approach with pre-emptive reskilling and up-skilling programs that provide</w:t>
      </w:r>
      <w:r w:rsidRPr="00F54C1D">
        <w:rPr>
          <w:rFonts w:ascii="Arial" w:hAnsi="Arial" w:cs="Arial"/>
        </w:rPr>
        <w:t> </w:t>
      </w:r>
      <w:r w:rsidRPr="00F54C1D">
        <w:rPr>
          <w:rFonts w:ascii="Arial" w:hAnsi="Arial" w:cs="Arial"/>
        </w:rPr>
        <w:t>employees with the digital skills needed (</w:t>
      </w:r>
      <w:proofErr w:type="spellStart"/>
      <w:r w:rsidRPr="00F54C1D">
        <w:rPr>
          <w:rFonts w:ascii="Arial" w:hAnsi="Arial" w:cs="Arial"/>
        </w:rPr>
        <w:t>Garavan</w:t>
      </w:r>
      <w:proofErr w:type="spellEnd"/>
      <w:r w:rsidRPr="00F54C1D">
        <w:rPr>
          <w:rFonts w:ascii="Arial" w:hAnsi="Arial" w:cs="Arial"/>
        </w:rPr>
        <w:t xml:space="preserve"> et al., 2019) for future work. Addressing digital literacy and</w:t>
      </w:r>
      <w:r w:rsidRPr="00F54C1D">
        <w:rPr>
          <w:rFonts w:ascii="Arial" w:hAnsi="Arial" w:cs="Arial"/>
        </w:rPr>
        <w:t> </w:t>
      </w:r>
      <w:r w:rsidRPr="00F54C1D">
        <w:rPr>
          <w:rFonts w:ascii="Arial" w:hAnsi="Arial" w:cs="Arial"/>
        </w:rPr>
        <w:t xml:space="preserve">promoting lifelong learning enable Nestlé’s employees to be agile, innovative, and competitive in an ever-changing business world. </w:t>
      </w:r>
    </w:p>
    <w:p w14:paraId="78ACFC0A" w14:textId="27793AF3" w:rsidR="0002620A" w:rsidRPr="00F54C1D" w:rsidRDefault="0002620A" w:rsidP="003733BA">
      <w:pPr>
        <w:spacing w:line="360" w:lineRule="auto"/>
        <w:jc w:val="both"/>
        <w:rPr>
          <w:rFonts w:ascii="Arial" w:hAnsi="Arial" w:cs="Arial"/>
        </w:rPr>
      </w:pPr>
      <w:r w:rsidRPr="00F54C1D">
        <w:rPr>
          <w:rFonts w:ascii="Arial" w:hAnsi="Arial" w:cs="Arial"/>
        </w:rPr>
        <w:lastRenderedPageBreak/>
        <w:t>Regulatory Changes: As a business that operates in different countries and jurisdictions, Nestlé is subject to differing</w:t>
      </w:r>
      <w:r w:rsidRPr="00F54C1D">
        <w:rPr>
          <w:rFonts w:ascii="Arial" w:hAnsi="Arial" w:cs="Arial"/>
        </w:rPr>
        <w:t> </w:t>
      </w:r>
      <w:r w:rsidRPr="00F54C1D">
        <w:rPr>
          <w:rFonts w:ascii="Arial" w:hAnsi="Arial" w:cs="Arial"/>
        </w:rPr>
        <w:t>employment legislation, health and safety regulation and ethical benchmarks. Such differences in regulation, in turn affect</w:t>
      </w:r>
      <w:r w:rsidRPr="00F54C1D">
        <w:rPr>
          <w:rFonts w:ascii="Arial" w:hAnsi="Arial" w:cs="Arial"/>
        </w:rPr>
        <w:t> </w:t>
      </w:r>
      <w:r w:rsidRPr="00F54C1D">
        <w:rPr>
          <w:rFonts w:ascii="Arial" w:hAnsi="Arial" w:cs="Arial"/>
        </w:rPr>
        <w:t>the design and conduct of a training program. The organization integrates rules and ethics training into their onboarding process, so employees clearly understand and</w:t>
      </w:r>
      <w:r w:rsidRPr="00F54C1D">
        <w:rPr>
          <w:rFonts w:ascii="Arial" w:hAnsi="Arial" w:cs="Arial"/>
        </w:rPr>
        <w:t> </w:t>
      </w:r>
      <w:r w:rsidRPr="00F54C1D">
        <w:rPr>
          <w:rFonts w:ascii="Arial" w:hAnsi="Arial" w:cs="Arial"/>
        </w:rPr>
        <w:t>stay committed to global policies in addition to local legal guidelines.</w:t>
      </w:r>
    </w:p>
    <w:p w14:paraId="260603A4" w14:textId="10182E30" w:rsidR="00932AC6" w:rsidRPr="00F54C1D" w:rsidRDefault="0002620A" w:rsidP="003733BA">
      <w:pPr>
        <w:spacing w:line="360" w:lineRule="auto"/>
        <w:jc w:val="both"/>
        <w:rPr>
          <w:rFonts w:ascii="Arial" w:hAnsi="Arial" w:cs="Arial"/>
        </w:rPr>
      </w:pPr>
      <w:r w:rsidRPr="00F54C1D">
        <w:rPr>
          <w:rFonts w:ascii="Arial" w:hAnsi="Arial" w:cs="Arial"/>
        </w:rPr>
        <w:t xml:space="preserve">  Labour Market Trends: The demand for energy from individuals forces greater flexibility and creativity in work arrangements, while expectations regarding</w:t>
      </w:r>
      <w:r w:rsidRPr="00F54C1D">
        <w:rPr>
          <w:rFonts w:ascii="Arial" w:hAnsi="Arial" w:cs="Arial"/>
        </w:rPr>
        <w:t> </w:t>
      </w:r>
      <w:r w:rsidRPr="00F54C1D">
        <w:rPr>
          <w:rFonts w:ascii="Arial" w:hAnsi="Arial" w:cs="Arial"/>
        </w:rPr>
        <w:t>career development directly affect Nestlé talent management strategy. To continue to attract the best talent</w:t>
      </w:r>
      <w:r w:rsidRPr="00F54C1D">
        <w:rPr>
          <w:rFonts w:ascii="Arial" w:hAnsi="Arial" w:cs="Arial"/>
        </w:rPr>
        <w:t> </w:t>
      </w:r>
      <w:r w:rsidRPr="00F54C1D">
        <w:rPr>
          <w:rFonts w:ascii="Arial" w:hAnsi="Arial" w:cs="Arial"/>
        </w:rPr>
        <w:t>and achieve its own growth goals, Nestlé develops L&amp;D programmes that encourage employees’ growing careers, learning journeys and personal satisfaction. This methodology aids the organization in recruiting, training and retaining a talented and</w:t>
      </w:r>
      <w:r w:rsidRPr="00F54C1D">
        <w:rPr>
          <w:rFonts w:ascii="Arial" w:hAnsi="Arial" w:cs="Arial"/>
        </w:rPr>
        <w:t> </w:t>
      </w:r>
      <w:r w:rsidRPr="00F54C1D">
        <w:rPr>
          <w:rFonts w:ascii="Arial" w:hAnsi="Arial" w:cs="Arial"/>
        </w:rPr>
        <w:t>motivated worldwide work force.</w:t>
      </w:r>
    </w:p>
    <w:p w14:paraId="7710519A" w14:textId="77777777" w:rsidR="009B4A75" w:rsidRPr="00F54C1D" w:rsidRDefault="009B4A75" w:rsidP="003733BA">
      <w:pPr>
        <w:spacing w:line="360" w:lineRule="auto"/>
        <w:jc w:val="both"/>
        <w:rPr>
          <w:rFonts w:ascii="Arial" w:hAnsi="Arial" w:cs="Arial"/>
        </w:rPr>
      </w:pPr>
    </w:p>
    <w:p w14:paraId="09B3DE02" w14:textId="772A71F2" w:rsidR="00932AC6" w:rsidRPr="00F54C1D" w:rsidRDefault="0002620A" w:rsidP="0002620A">
      <w:pPr>
        <w:pStyle w:val="Subtitle"/>
        <w:rPr>
          <w:rStyle w:val="Strong"/>
          <w:rFonts w:ascii="Arial" w:hAnsi="Arial" w:cs="Arial"/>
          <w:sz w:val="24"/>
          <w:szCs w:val="24"/>
        </w:rPr>
      </w:pPr>
      <w:r w:rsidRPr="00F54C1D">
        <w:rPr>
          <w:rFonts w:ascii="Arial" w:hAnsi="Arial" w:cs="Arial"/>
          <w:sz w:val="24"/>
          <w:szCs w:val="24"/>
        </w:rPr>
        <w:t xml:space="preserve">                                                     </w:t>
      </w:r>
      <w:r w:rsidR="00932AC6" w:rsidRPr="00F54C1D">
        <w:rPr>
          <w:rStyle w:val="Strong"/>
          <w:rFonts w:ascii="Arial" w:hAnsi="Arial" w:cs="Arial"/>
          <w:sz w:val="24"/>
          <w:szCs w:val="24"/>
        </w:rPr>
        <w:t xml:space="preserve">PESTEL ANALYSIS FOR NESTLE </w:t>
      </w:r>
    </w:p>
    <w:tbl>
      <w:tblPr>
        <w:tblStyle w:val="TableGridLight"/>
        <w:tblW w:w="0" w:type="auto"/>
        <w:tblLook w:val="04A0" w:firstRow="1" w:lastRow="0" w:firstColumn="1" w:lastColumn="0" w:noHBand="0" w:noVBand="1"/>
      </w:tblPr>
      <w:tblGrid>
        <w:gridCol w:w="4508"/>
        <w:gridCol w:w="4508"/>
      </w:tblGrid>
      <w:tr w:rsidR="00932AC6" w:rsidRPr="00F54C1D" w14:paraId="75EB0BC7" w14:textId="77777777" w:rsidTr="009B4A75">
        <w:tc>
          <w:tcPr>
            <w:tcW w:w="4508" w:type="dxa"/>
            <w:shd w:val="clear" w:color="auto" w:fill="83CAEB" w:themeFill="accent1" w:themeFillTint="66"/>
          </w:tcPr>
          <w:p w14:paraId="33DB2170" w14:textId="05208ED5" w:rsidR="00932AC6" w:rsidRPr="00F54C1D" w:rsidRDefault="00932AC6" w:rsidP="00932AC6">
            <w:pPr>
              <w:rPr>
                <w:rFonts w:ascii="Arial" w:hAnsi="Arial" w:cs="Arial"/>
              </w:rPr>
            </w:pPr>
            <w:r w:rsidRPr="00F54C1D">
              <w:rPr>
                <w:rFonts w:ascii="Arial" w:hAnsi="Arial" w:cs="Arial"/>
              </w:rPr>
              <w:t xml:space="preserve">POLITICAL </w:t>
            </w:r>
          </w:p>
        </w:tc>
        <w:tc>
          <w:tcPr>
            <w:tcW w:w="4508" w:type="dxa"/>
            <w:shd w:val="clear" w:color="auto" w:fill="D1D1D1" w:themeFill="background2" w:themeFillShade="E6"/>
          </w:tcPr>
          <w:p w14:paraId="789E8F44" w14:textId="13D46CE1" w:rsidR="00932AC6" w:rsidRPr="00F54C1D" w:rsidRDefault="00932AC6" w:rsidP="00932AC6">
            <w:pPr>
              <w:rPr>
                <w:rFonts w:ascii="Arial" w:hAnsi="Arial" w:cs="Arial"/>
              </w:rPr>
            </w:pPr>
            <w:r w:rsidRPr="00F54C1D">
              <w:rPr>
                <w:rFonts w:ascii="Arial" w:hAnsi="Arial" w:cs="Arial"/>
              </w:rPr>
              <w:t>From a political perspective, government stability, trade policies, and labour regulations across the 180 countries in which Nestlé operates directly affect its HR and training strategies. Political factors influence decisions about where and how to deliver training, as well as compliance with local employment laws and ethical business standards. Furthermore, some governments provide incentives for employee training and development, encouraging Nestlé to invest in national workforce skills.</w:t>
            </w:r>
          </w:p>
        </w:tc>
      </w:tr>
      <w:tr w:rsidR="00932AC6" w:rsidRPr="00F54C1D" w14:paraId="1856979B" w14:textId="77777777" w:rsidTr="009B4A75">
        <w:tc>
          <w:tcPr>
            <w:tcW w:w="4508" w:type="dxa"/>
            <w:shd w:val="clear" w:color="auto" w:fill="FFFF00"/>
          </w:tcPr>
          <w:p w14:paraId="552FB6AC" w14:textId="2B6A0A5B" w:rsidR="00932AC6" w:rsidRPr="00F54C1D" w:rsidRDefault="00932AC6" w:rsidP="00932AC6">
            <w:pPr>
              <w:rPr>
                <w:rFonts w:ascii="Arial" w:hAnsi="Arial" w:cs="Arial"/>
              </w:rPr>
            </w:pPr>
            <w:r w:rsidRPr="00F54C1D">
              <w:rPr>
                <w:rFonts w:ascii="Arial" w:hAnsi="Arial" w:cs="Arial"/>
              </w:rPr>
              <w:t xml:space="preserve">ECONOMIC </w:t>
            </w:r>
          </w:p>
        </w:tc>
        <w:tc>
          <w:tcPr>
            <w:tcW w:w="4508" w:type="dxa"/>
            <w:shd w:val="clear" w:color="auto" w:fill="D1D1D1" w:themeFill="background2" w:themeFillShade="E6"/>
          </w:tcPr>
          <w:p w14:paraId="227FB52F" w14:textId="09462D60" w:rsidR="00932AC6" w:rsidRPr="00F54C1D" w:rsidRDefault="00932AC6" w:rsidP="00932AC6">
            <w:pPr>
              <w:rPr>
                <w:rFonts w:ascii="Arial" w:hAnsi="Arial" w:cs="Arial"/>
              </w:rPr>
            </w:pPr>
            <w:r w:rsidRPr="00F54C1D">
              <w:rPr>
                <w:rFonts w:ascii="Arial" w:hAnsi="Arial" w:cs="Arial"/>
              </w:rPr>
              <w:t>Economic conditions such as inflation, exchange rate fluctuations, and global market growth have a direct impact on L&amp;D budgets and resource allocation. During periods of economic expansion, Nestlé tends to increase investment in employee development to support innovation and market growth, whereas economic downturns may require a focus on cost-efficient digital learning platforms.</w:t>
            </w:r>
          </w:p>
        </w:tc>
      </w:tr>
      <w:tr w:rsidR="00932AC6" w:rsidRPr="00F54C1D" w14:paraId="436B7271" w14:textId="77777777" w:rsidTr="009B4A75">
        <w:tc>
          <w:tcPr>
            <w:tcW w:w="4508" w:type="dxa"/>
            <w:shd w:val="clear" w:color="auto" w:fill="FAE2D5" w:themeFill="accent2" w:themeFillTint="33"/>
          </w:tcPr>
          <w:p w14:paraId="4D02CC61" w14:textId="1ECDB23C" w:rsidR="00932AC6" w:rsidRPr="00F54C1D" w:rsidRDefault="00932AC6" w:rsidP="00932AC6">
            <w:pPr>
              <w:rPr>
                <w:rFonts w:ascii="Arial" w:hAnsi="Arial" w:cs="Arial"/>
              </w:rPr>
            </w:pPr>
            <w:r w:rsidRPr="00F54C1D">
              <w:rPr>
                <w:rFonts w:ascii="Arial" w:hAnsi="Arial" w:cs="Arial"/>
              </w:rPr>
              <w:lastRenderedPageBreak/>
              <w:t xml:space="preserve">SOCIAL </w:t>
            </w:r>
          </w:p>
        </w:tc>
        <w:tc>
          <w:tcPr>
            <w:tcW w:w="4508" w:type="dxa"/>
            <w:shd w:val="clear" w:color="auto" w:fill="D1D1D1" w:themeFill="background2" w:themeFillShade="E6"/>
          </w:tcPr>
          <w:p w14:paraId="7F67927B" w14:textId="238AD214" w:rsidR="00932AC6" w:rsidRPr="00F54C1D" w:rsidRDefault="009B4A75" w:rsidP="00932AC6">
            <w:pPr>
              <w:rPr>
                <w:rFonts w:ascii="Arial" w:hAnsi="Arial" w:cs="Arial"/>
              </w:rPr>
            </w:pPr>
            <w:r w:rsidRPr="00F54C1D">
              <w:rPr>
                <w:rFonts w:ascii="Arial" w:hAnsi="Arial" w:cs="Arial"/>
              </w:rPr>
              <w:t>The social dimension of the PESTEL framework also shapes Nestlé’s L&amp;D design. Changing workforce demographics, generational diversity, and evolving employee expectations have led the company to prioritise inclusion, well-being, and work-life balance. Nestlé integrates diversity and inclusion training into its development programmes to ensure equal opportunities for all employees and to strengthen collaboration across cultures.</w:t>
            </w:r>
          </w:p>
        </w:tc>
      </w:tr>
      <w:tr w:rsidR="00932AC6" w:rsidRPr="00F54C1D" w14:paraId="3774687D" w14:textId="77777777" w:rsidTr="009B4A75">
        <w:tc>
          <w:tcPr>
            <w:tcW w:w="4508" w:type="dxa"/>
            <w:shd w:val="clear" w:color="auto" w:fill="C1F0C7" w:themeFill="accent3" w:themeFillTint="33"/>
          </w:tcPr>
          <w:p w14:paraId="0C123956" w14:textId="4B9FFC9C" w:rsidR="00932AC6" w:rsidRPr="00F54C1D" w:rsidRDefault="00932AC6" w:rsidP="00932AC6">
            <w:pPr>
              <w:rPr>
                <w:rFonts w:ascii="Arial" w:hAnsi="Arial" w:cs="Arial"/>
              </w:rPr>
            </w:pPr>
            <w:r w:rsidRPr="00F54C1D">
              <w:rPr>
                <w:rFonts w:ascii="Arial" w:hAnsi="Arial" w:cs="Arial"/>
              </w:rPr>
              <w:t xml:space="preserve">TECHNOLOGICAL </w:t>
            </w:r>
          </w:p>
        </w:tc>
        <w:tc>
          <w:tcPr>
            <w:tcW w:w="4508" w:type="dxa"/>
            <w:shd w:val="clear" w:color="auto" w:fill="D1D1D1" w:themeFill="background2" w:themeFillShade="E6"/>
          </w:tcPr>
          <w:p w14:paraId="5ADB4DF5" w14:textId="77777777" w:rsidR="00932AC6" w:rsidRPr="00F54C1D" w:rsidRDefault="00932AC6" w:rsidP="00932AC6">
            <w:pPr>
              <w:rPr>
                <w:rFonts w:ascii="Arial" w:hAnsi="Arial" w:cs="Arial"/>
              </w:rPr>
            </w:pPr>
          </w:p>
          <w:p w14:paraId="322E5B61" w14:textId="45BE063F" w:rsidR="009B4A75" w:rsidRPr="00F54C1D" w:rsidRDefault="009B4A75" w:rsidP="00932AC6">
            <w:pPr>
              <w:rPr>
                <w:rFonts w:ascii="Arial" w:hAnsi="Arial" w:cs="Arial"/>
              </w:rPr>
            </w:pPr>
            <w:r w:rsidRPr="00F54C1D">
              <w:rPr>
                <w:rFonts w:ascii="Arial" w:hAnsi="Arial" w:cs="Arial"/>
              </w:rPr>
              <w:t>The technological environment has perhaps the most transformative effect on Nestlé’s HR and L&amp;D practices. Rapid advancements in digital tools, artificial intelligence, and automation have prompted Nestlé to invest heavily in digital learning solutions and continuous reskilling. The company uses e-learning platforms and virtual training to deliver flexible, accessible development opportunities to employees globally, ensuring that they can adapt to technological changes within the food and beverage industry.</w:t>
            </w:r>
          </w:p>
        </w:tc>
      </w:tr>
      <w:tr w:rsidR="00932AC6" w:rsidRPr="00F54C1D" w14:paraId="34E6FC0A" w14:textId="77777777" w:rsidTr="009B4A75">
        <w:tc>
          <w:tcPr>
            <w:tcW w:w="4508" w:type="dxa"/>
            <w:shd w:val="clear" w:color="auto" w:fill="C1F0C7" w:themeFill="accent3" w:themeFillTint="33"/>
          </w:tcPr>
          <w:p w14:paraId="07D94B7F" w14:textId="7173A13C" w:rsidR="00932AC6" w:rsidRPr="00F54C1D" w:rsidRDefault="00932AC6" w:rsidP="00932AC6">
            <w:pPr>
              <w:rPr>
                <w:rFonts w:ascii="Arial" w:hAnsi="Arial" w:cs="Arial"/>
              </w:rPr>
            </w:pPr>
            <w:r w:rsidRPr="00F54C1D">
              <w:rPr>
                <w:rFonts w:ascii="Arial" w:hAnsi="Arial" w:cs="Arial"/>
              </w:rPr>
              <w:t xml:space="preserve">ENVIROMENT </w:t>
            </w:r>
          </w:p>
        </w:tc>
        <w:tc>
          <w:tcPr>
            <w:tcW w:w="4508" w:type="dxa"/>
            <w:shd w:val="clear" w:color="auto" w:fill="D1D1D1" w:themeFill="background2" w:themeFillShade="E6"/>
          </w:tcPr>
          <w:p w14:paraId="3631F093" w14:textId="480E11F8" w:rsidR="009B4A75" w:rsidRPr="00F54C1D" w:rsidRDefault="009B4A75" w:rsidP="00932AC6">
            <w:pPr>
              <w:rPr>
                <w:rFonts w:ascii="Arial" w:hAnsi="Arial" w:cs="Arial"/>
              </w:rPr>
            </w:pPr>
            <w:r w:rsidRPr="00F54C1D">
              <w:rPr>
                <w:rFonts w:ascii="Arial" w:hAnsi="Arial" w:cs="Arial"/>
              </w:rPr>
              <w:t>environmental factor, growing awareness of sustainability and corporate social responsibility influences the content of Nestlé’s training programmes. The organisation incorporates sustainability education, environmental awareness, and resource efficiency into its employee development initiatives, aligning L&amp;D with its wider sustainability commitments and global environmental goals.</w:t>
            </w:r>
          </w:p>
        </w:tc>
      </w:tr>
      <w:tr w:rsidR="00932AC6" w:rsidRPr="00F54C1D" w14:paraId="5CE6586D" w14:textId="77777777" w:rsidTr="009B4A75">
        <w:tc>
          <w:tcPr>
            <w:tcW w:w="4508" w:type="dxa"/>
            <w:shd w:val="clear" w:color="auto" w:fill="84E290" w:themeFill="accent3" w:themeFillTint="66"/>
          </w:tcPr>
          <w:p w14:paraId="1C5FCDCC" w14:textId="6B210435" w:rsidR="00932AC6" w:rsidRPr="00F54C1D" w:rsidRDefault="00932AC6" w:rsidP="00932AC6">
            <w:pPr>
              <w:rPr>
                <w:rFonts w:ascii="Arial" w:hAnsi="Arial" w:cs="Arial"/>
              </w:rPr>
            </w:pPr>
            <w:r w:rsidRPr="00F54C1D">
              <w:rPr>
                <w:rFonts w:ascii="Arial" w:hAnsi="Arial" w:cs="Arial"/>
              </w:rPr>
              <w:t xml:space="preserve">LEGAL </w:t>
            </w:r>
          </w:p>
        </w:tc>
        <w:tc>
          <w:tcPr>
            <w:tcW w:w="4508" w:type="dxa"/>
            <w:shd w:val="clear" w:color="auto" w:fill="D1D1D1" w:themeFill="background2" w:themeFillShade="E6"/>
          </w:tcPr>
          <w:p w14:paraId="2266CD7F" w14:textId="4D19A79E" w:rsidR="009B4A75" w:rsidRPr="00F54C1D" w:rsidRDefault="009B4A75" w:rsidP="00932AC6">
            <w:pPr>
              <w:rPr>
                <w:rFonts w:ascii="Arial" w:hAnsi="Arial" w:cs="Arial"/>
              </w:rPr>
            </w:pPr>
            <w:r w:rsidRPr="00F54C1D">
              <w:rPr>
                <w:rFonts w:ascii="Arial" w:hAnsi="Arial" w:cs="Arial"/>
              </w:rPr>
              <w:t xml:space="preserve">legal factors, including employment laws, workplace safety regulations, and data protection policies such as the General Data Protection Regulation (GDPR), strongly impact HRM and L&amp;D design. Nestlé ensures that its training programmes include compliance modules to maintain adherence to both international and local regulations. This helps minimise legal risks and </w:t>
            </w:r>
            <w:r w:rsidRPr="00F54C1D">
              <w:rPr>
                <w:rFonts w:ascii="Arial" w:hAnsi="Arial" w:cs="Arial"/>
              </w:rPr>
              <w:lastRenderedPageBreak/>
              <w:t>reinforces ethical business practices across all operations.</w:t>
            </w:r>
          </w:p>
        </w:tc>
      </w:tr>
    </w:tbl>
    <w:p w14:paraId="6EB7BD59" w14:textId="77777777" w:rsidR="00932AC6" w:rsidRPr="00F54C1D" w:rsidRDefault="00932AC6" w:rsidP="00932AC6">
      <w:pPr>
        <w:rPr>
          <w:rFonts w:ascii="Arial" w:hAnsi="Arial" w:cs="Arial"/>
        </w:rPr>
      </w:pPr>
    </w:p>
    <w:p w14:paraId="25E47ECD" w14:textId="77777777" w:rsidR="00932AC6" w:rsidRPr="00F54C1D" w:rsidRDefault="00932AC6" w:rsidP="00932AC6">
      <w:pPr>
        <w:rPr>
          <w:rFonts w:ascii="Arial" w:hAnsi="Arial" w:cs="Arial"/>
        </w:rPr>
      </w:pPr>
    </w:p>
    <w:p w14:paraId="6992BA92" w14:textId="3D0C5366" w:rsidR="009B4A75" w:rsidRPr="00F54C1D" w:rsidRDefault="009B4A75" w:rsidP="003733BA">
      <w:pPr>
        <w:pStyle w:val="Heading2"/>
        <w:rPr>
          <w:rFonts w:ascii="Arial" w:hAnsi="Arial" w:cs="Arial"/>
          <w:sz w:val="24"/>
          <w:szCs w:val="24"/>
        </w:rPr>
      </w:pPr>
      <w:bookmarkStart w:id="4" w:name="_Toc213267261"/>
      <w:r w:rsidRPr="00F54C1D">
        <w:rPr>
          <w:rFonts w:ascii="Arial" w:hAnsi="Arial" w:cs="Arial"/>
          <w:sz w:val="24"/>
          <w:szCs w:val="24"/>
        </w:rPr>
        <w:t>Learning and Development Enhancing Organisational Adaptability</w:t>
      </w:r>
      <w:bookmarkEnd w:id="4"/>
    </w:p>
    <w:p w14:paraId="24FA9729" w14:textId="77777777" w:rsidR="0002620A" w:rsidRPr="00F54C1D" w:rsidRDefault="0002620A" w:rsidP="003733BA">
      <w:pPr>
        <w:spacing w:line="360" w:lineRule="auto"/>
        <w:jc w:val="both"/>
        <w:rPr>
          <w:rFonts w:ascii="Arial" w:hAnsi="Arial" w:cs="Arial"/>
        </w:rPr>
      </w:pPr>
      <w:r w:rsidRPr="00F54C1D">
        <w:rPr>
          <w:rFonts w:ascii="Arial" w:hAnsi="Arial" w:cs="Arial"/>
        </w:rPr>
        <w:t>Learning and Development (L&amp;D) is key in supporting Nestlé to successfully react towards external changes in the environment, such as digitalization, changes in consumer expectations and home</w:t>
      </w:r>
      <w:r w:rsidRPr="00F54C1D">
        <w:rPr>
          <w:rFonts w:ascii="Arial" w:hAnsi="Arial" w:cs="Arial"/>
        </w:rPr>
        <w:t> </w:t>
      </w:r>
      <w:r w:rsidRPr="00F54C1D">
        <w:rPr>
          <w:rFonts w:ascii="Arial" w:hAnsi="Arial" w:cs="Arial"/>
        </w:rPr>
        <w:t>office trends. With the world</w:t>
      </w:r>
      <w:r w:rsidRPr="00F54C1D">
        <w:rPr>
          <w:rFonts w:ascii="Arial" w:hAnsi="Arial" w:cs="Arial"/>
        </w:rPr>
        <w:t> </w:t>
      </w:r>
      <w:r w:rsidRPr="00F54C1D">
        <w:rPr>
          <w:rFonts w:ascii="Arial" w:hAnsi="Arial" w:cs="Arial"/>
        </w:rPr>
        <w:t>of business transforming due to technological advances, Nestlé’s L&amp;D is dedicated to ensuring that it has a digital-capable global workforce. Powered by continuous learning programmes, such as Nestlé Continuous Excellence programme, our employees are trained</w:t>
      </w:r>
      <w:r w:rsidRPr="00F54C1D">
        <w:rPr>
          <w:rFonts w:ascii="Arial" w:hAnsi="Arial" w:cs="Arial"/>
        </w:rPr>
        <w:t> </w:t>
      </w:r>
      <w:r w:rsidRPr="00F54C1D">
        <w:rPr>
          <w:rFonts w:ascii="Arial" w:hAnsi="Arial" w:cs="Arial"/>
        </w:rPr>
        <w:t>in the use of new technologies and digital tools to ensure greater efficiency and innovation through data insights.</w:t>
      </w:r>
    </w:p>
    <w:p w14:paraId="3C85CDD2" w14:textId="6336B98C" w:rsidR="0002620A" w:rsidRPr="00F54C1D" w:rsidRDefault="0002620A" w:rsidP="003733BA">
      <w:pPr>
        <w:spacing w:line="360" w:lineRule="auto"/>
        <w:jc w:val="both"/>
        <w:rPr>
          <w:rFonts w:ascii="Arial" w:hAnsi="Arial" w:cs="Arial"/>
        </w:rPr>
      </w:pPr>
      <w:r w:rsidRPr="00F54C1D">
        <w:rPr>
          <w:rFonts w:ascii="Arial" w:hAnsi="Arial" w:cs="Arial"/>
        </w:rPr>
        <w:t>Furthermore, Nestlé fosters a culture of lifelong learning that keeps you current on the latest industry trends, sustainability practices and</w:t>
      </w:r>
      <w:r w:rsidRPr="00F54C1D">
        <w:rPr>
          <w:rFonts w:ascii="Arial" w:hAnsi="Arial" w:cs="Arial"/>
        </w:rPr>
        <w:t> </w:t>
      </w:r>
      <w:r w:rsidRPr="00F54C1D">
        <w:rPr>
          <w:rFonts w:ascii="Arial" w:hAnsi="Arial" w:cs="Arial"/>
        </w:rPr>
        <w:t>technological advances. By providing leadership and digital expertise programs, the organisation enhances employee agility and preparedness in the face of market</w:t>
      </w:r>
      <w:r w:rsidRPr="00F54C1D">
        <w:rPr>
          <w:rFonts w:ascii="Arial" w:hAnsi="Arial" w:cs="Arial"/>
        </w:rPr>
        <w:t> </w:t>
      </w:r>
      <w:r w:rsidRPr="00F54C1D">
        <w:rPr>
          <w:rFonts w:ascii="Arial" w:hAnsi="Arial" w:cs="Arial"/>
        </w:rPr>
        <w:t>disruption. This data is useful for understanding individual career development as well as to</w:t>
      </w:r>
      <w:r w:rsidRPr="00F54C1D">
        <w:rPr>
          <w:rFonts w:ascii="Arial" w:hAnsi="Arial" w:cs="Arial"/>
        </w:rPr>
        <w:t> </w:t>
      </w:r>
      <w:r w:rsidRPr="00F54C1D">
        <w:rPr>
          <w:rFonts w:ascii="Arial" w:hAnsi="Arial" w:cs="Arial"/>
        </w:rPr>
        <w:t>allow Nestlé to remain competitive. (CIPD, 2023). Accordingly, L&amp;D is</w:t>
      </w:r>
      <w:r w:rsidRPr="00F54C1D">
        <w:rPr>
          <w:rFonts w:ascii="Arial" w:hAnsi="Arial" w:cs="Arial"/>
        </w:rPr>
        <w:t> </w:t>
      </w:r>
      <w:r w:rsidRPr="00F54C1D">
        <w:rPr>
          <w:rFonts w:ascii="Arial" w:hAnsi="Arial" w:cs="Arial"/>
        </w:rPr>
        <w:t>a strategic lever for transformation as well as the long-term sustainability of an organisation. These market pressures</w:t>
      </w:r>
      <w:r w:rsidRPr="00F54C1D">
        <w:rPr>
          <w:rFonts w:ascii="Arial" w:hAnsi="Arial" w:cs="Arial"/>
        </w:rPr>
        <w:t> </w:t>
      </w:r>
      <w:r w:rsidRPr="00F54C1D">
        <w:rPr>
          <w:rFonts w:ascii="Arial" w:hAnsi="Arial" w:cs="Arial"/>
        </w:rPr>
        <w:t>feature heavily in the way development programmes are structured and implemented at Nestlé, one of the world’s largest multinationals.</w:t>
      </w:r>
    </w:p>
    <w:p w14:paraId="70449522" w14:textId="77777777" w:rsidR="0002620A" w:rsidRPr="00F54C1D" w:rsidRDefault="0002620A" w:rsidP="003733BA">
      <w:pPr>
        <w:spacing w:line="360" w:lineRule="auto"/>
        <w:jc w:val="both"/>
        <w:rPr>
          <w:rFonts w:ascii="Arial" w:hAnsi="Arial" w:cs="Arial"/>
        </w:rPr>
      </w:pPr>
    </w:p>
    <w:p w14:paraId="19611DB9" w14:textId="7D8B9E4B" w:rsidR="009B4A75" w:rsidRPr="00F54C1D" w:rsidRDefault="0084363D" w:rsidP="003733BA">
      <w:pPr>
        <w:pStyle w:val="Heading2"/>
        <w:rPr>
          <w:rFonts w:ascii="Arial" w:hAnsi="Arial" w:cs="Arial"/>
          <w:sz w:val="24"/>
          <w:szCs w:val="24"/>
        </w:rPr>
      </w:pPr>
      <w:bookmarkStart w:id="5" w:name="_Toc213267262"/>
      <w:r w:rsidRPr="00F54C1D">
        <w:rPr>
          <w:rFonts w:ascii="Arial" w:hAnsi="Arial" w:cs="Arial"/>
          <w:sz w:val="24"/>
          <w:szCs w:val="24"/>
        </w:rPr>
        <w:t>Learning and Development as a Driver of Competitive Advantage</w:t>
      </w:r>
      <w:bookmarkEnd w:id="5"/>
    </w:p>
    <w:p w14:paraId="09F4BAAF" w14:textId="07630304" w:rsidR="00F61902" w:rsidRPr="00F54C1D" w:rsidRDefault="00F61902" w:rsidP="003733BA">
      <w:pPr>
        <w:spacing w:line="360" w:lineRule="auto"/>
        <w:jc w:val="both"/>
        <w:rPr>
          <w:rFonts w:ascii="Arial" w:hAnsi="Arial" w:cs="Arial"/>
        </w:rPr>
      </w:pPr>
      <w:r w:rsidRPr="00F54C1D">
        <w:rPr>
          <w:rFonts w:ascii="Arial" w:hAnsi="Arial" w:cs="Arial"/>
        </w:rPr>
        <w:t>Learning and development as a catalyst to long-term growth L&amp;D as a value accelerator Throughout the Asia-Pacific region, learning</w:t>
      </w:r>
      <w:r w:rsidRPr="00F54C1D">
        <w:rPr>
          <w:rFonts w:ascii="Arial" w:hAnsi="Arial" w:cs="Arial"/>
        </w:rPr>
        <w:t> </w:t>
      </w:r>
      <w:r w:rsidRPr="00F54C1D">
        <w:rPr>
          <w:rFonts w:ascii="Arial" w:hAnsi="Arial" w:cs="Arial"/>
        </w:rPr>
        <w:t>organisations have established themselves as leaders through their commitment to managerial excellence. At Nestlé, L&amp;D is part of the company’s long-term HR strategy to maintain its motivated employees, provide them with necessary skills and knowledge, and get them working in a way that meets</w:t>
      </w:r>
      <w:r w:rsidRPr="00F54C1D">
        <w:rPr>
          <w:rFonts w:ascii="Arial" w:hAnsi="Arial" w:cs="Arial"/>
        </w:rPr>
        <w:t> </w:t>
      </w:r>
      <w:r w:rsidRPr="00F54C1D">
        <w:rPr>
          <w:rFonts w:ascii="Arial" w:hAnsi="Arial" w:cs="Arial"/>
        </w:rPr>
        <w:t>organisational requirements. Through constant workforce development investment, as it raises productivity, so the world market becomes an even more credible prospect for a career (Noe et</w:t>
      </w:r>
      <w:r w:rsidRPr="00F54C1D">
        <w:rPr>
          <w:rFonts w:ascii="Arial" w:hAnsi="Arial" w:cs="Arial"/>
        </w:rPr>
        <w:t> </w:t>
      </w:r>
      <w:r w:rsidRPr="00F54C1D">
        <w:rPr>
          <w:rFonts w:ascii="Arial" w:hAnsi="Arial" w:cs="Arial"/>
        </w:rPr>
        <w:t>al., 2021).</w:t>
      </w:r>
    </w:p>
    <w:p w14:paraId="0CAA7D1B" w14:textId="6AE63117" w:rsidR="00F61902" w:rsidRPr="00F54C1D" w:rsidRDefault="00F61902" w:rsidP="003733BA">
      <w:pPr>
        <w:spacing w:line="360" w:lineRule="auto"/>
        <w:jc w:val="both"/>
        <w:rPr>
          <w:rFonts w:ascii="Arial" w:hAnsi="Arial" w:cs="Arial"/>
        </w:rPr>
      </w:pPr>
      <w:r w:rsidRPr="00F54C1D">
        <w:rPr>
          <w:rFonts w:ascii="Arial" w:hAnsi="Arial" w:cs="Arial"/>
        </w:rPr>
        <w:lastRenderedPageBreak/>
        <w:t>One of the areas in which L&amp;D makes a substantial contribution to realise this competitive</w:t>
      </w:r>
      <w:r w:rsidRPr="00F54C1D">
        <w:rPr>
          <w:rFonts w:ascii="Arial" w:hAnsi="Arial" w:cs="Arial"/>
        </w:rPr>
        <w:t> </w:t>
      </w:r>
      <w:r w:rsidRPr="00F54C1D">
        <w:rPr>
          <w:rFonts w:ascii="Arial" w:hAnsi="Arial" w:cs="Arial"/>
        </w:rPr>
        <w:t>edge is through employee retention and engagement. Unlocking access to Learning Journeys, such as Nestlé Continuous Excellence and Nestlé Leadership Framework programs,</w:t>
      </w:r>
      <w:r w:rsidRPr="00F54C1D">
        <w:rPr>
          <w:rFonts w:ascii="Arial" w:hAnsi="Arial" w:cs="Arial"/>
        </w:rPr>
        <w:t> </w:t>
      </w:r>
      <w:r w:rsidRPr="00F54C1D">
        <w:rPr>
          <w:rFonts w:ascii="Arial" w:hAnsi="Arial" w:cs="Arial"/>
        </w:rPr>
        <w:t xml:space="preserve">creates an environment of development and engagement for employees. </w:t>
      </w:r>
    </w:p>
    <w:p w14:paraId="11FD1209" w14:textId="77777777" w:rsidR="0084363D" w:rsidRPr="00F54C1D" w:rsidRDefault="0084363D" w:rsidP="003733BA">
      <w:pPr>
        <w:spacing w:line="360" w:lineRule="auto"/>
        <w:jc w:val="both"/>
        <w:rPr>
          <w:rFonts w:ascii="Arial" w:hAnsi="Arial" w:cs="Arial"/>
        </w:rPr>
      </w:pPr>
    </w:p>
    <w:p w14:paraId="38A2D4FB" w14:textId="3F2748CB" w:rsidR="0084363D" w:rsidRPr="00F54C1D" w:rsidRDefault="0084363D" w:rsidP="00F73033">
      <w:pPr>
        <w:pStyle w:val="Heading2"/>
        <w:rPr>
          <w:rFonts w:ascii="Arial" w:hAnsi="Arial" w:cs="Arial"/>
          <w:sz w:val="24"/>
          <w:szCs w:val="24"/>
        </w:rPr>
      </w:pPr>
      <w:bookmarkStart w:id="6" w:name="_Toc213267263"/>
      <w:r w:rsidRPr="00F54C1D">
        <w:rPr>
          <w:rFonts w:ascii="Arial" w:hAnsi="Arial" w:cs="Arial"/>
          <w:sz w:val="24"/>
          <w:szCs w:val="24"/>
        </w:rPr>
        <w:t>Promoting Inclusion for Employees of All Backgrounds</w:t>
      </w:r>
      <w:bookmarkEnd w:id="6"/>
    </w:p>
    <w:p w14:paraId="3AED249B" w14:textId="77777777" w:rsidR="00F61902" w:rsidRPr="00F54C1D" w:rsidRDefault="00F61902" w:rsidP="003733BA">
      <w:pPr>
        <w:spacing w:line="360" w:lineRule="auto"/>
        <w:jc w:val="both"/>
        <w:rPr>
          <w:rFonts w:ascii="Arial" w:hAnsi="Arial" w:cs="Arial"/>
        </w:rPr>
      </w:pPr>
      <w:r w:rsidRPr="00F54C1D">
        <w:rPr>
          <w:rFonts w:ascii="Arial" w:hAnsi="Arial" w:cs="Arial"/>
        </w:rPr>
        <w:t>L&amp;D initiatives that have an inclusive bent are vital to a work environment in which diversity, equity and inclusion</w:t>
      </w:r>
      <w:r w:rsidRPr="00F54C1D">
        <w:rPr>
          <w:rFonts w:ascii="Arial" w:hAnsi="Arial" w:cs="Arial"/>
        </w:rPr>
        <w:t> </w:t>
      </w:r>
      <w:r w:rsidRPr="00F54C1D">
        <w:rPr>
          <w:rFonts w:ascii="Arial" w:hAnsi="Arial" w:cs="Arial"/>
        </w:rPr>
        <w:t>is of value. At Nestlé, L&amp;D is instrumental in fostering equality and understanding of opportunities</w:t>
      </w:r>
      <w:r w:rsidRPr="00F54C1D">
        <w:rPr>
          <w:rFonts w:ascii="Arial" w:hAnsi="Arial" w:cs="Arial"/>
        </w:rPr>
        <w:t> </w:t>
      </w:r>
      <w:r w:rsidRPr="00F54C1D">
        <w:rPr>
          <w:rFonts w:ascii="Arial" w:hAnsi="Arial" w:cs="Arial"/>
        </w:rPr>
        <w:t>for learning among employees from different cultures, languages and social contexts. This all-encompassing approach promises that no employee, regardless of their background or identifying factors</w:t>
      </w:r>
      <w:r w:rsidRPr="00F54C1D">
        <w:rPr>
          <w:rFonts w:ascii="Arial" w:hAnsi="Arial" w:cs="Arial"/>
        </w:rPr>
        <w:t> </w:t>
      </w:r>
      <w:r w:rsidRPr="00F54C1D">
        <w:rPr>
          <w:rFonts w:ascii="Arial" w:hAnsi="Arial" w:cs="Arial"/>
        </w:rPr>
        <w:t>(CIPD, 2023) should lack the development of skills and progression opportunities to contribute towards organisational success.</w:t>
      </w:r>
    </w:p>
    <w:p w14:paraId="3CA858FA" w14:textId="6505925F" w:rsidR="00F61902" w:rsidRPr="00F54C1D" w:rsidRDefault="00F61902" w:rsidP="003733BA">
      <w:pPr>
        <w:spacing w:line="360" w:lineRule="auto"/>
        <w:jc w:val="both"/>
        <w:rPr>
          <w:rFonts w:ascii="Arial" w:hAnsi="Arial" w:cs="Arial"/>
        </w:rPr>
      </w:pPr>
      <w:r w:rsidRPr="00F54C1D">
        <w:rPr>
          <w:rFonts w:ascii="Arial" w:hAnsi="Arial" w:cs="Arial"/>
        </w:rPr>
        <w:t>Nestlé provides culture sensitivity and language support training programs to enhance</w:t>
      </w:r>
      <w:r w:rsidRPr="00F54C1D">
        <w:rPr>
          <w:rFonts w:ascii="Arial" w:hAnsi="Arial" w:cs="Arial"/>
        </w:rPr>
        <w:t> </w:t>
      </w:r>
      <w:r w:rsidRPr="00F54C1D">
        <w:rPr>
          <w:rFonts w:ascii="Arial" w:hAnsi="Arial" w:cs="Arial"/>
        </w:rPr>
        <w:t>cross-cultural communication between its global employees. Because these things mean employees learn to understand different cultures</w:t>
      </w:r>
      <w:r w:rsidRPr="00F54C1D">
        <w:rPr>
          <w:rFonts w:ascii="Arial" w:hAnsi="Arial" w:cs="Arial"/>
        </w:rPr>
        <w:t> </w:t>
      </w:r>
      <w:r w:rsidRPr="00F54C1D">
        <w:rPr>
          <w:rFonts w:ascii="Arial" w:hAnsi="Arial" w:cs="Arial"/>
        </w:rPr>
        <w:t>and work in a respectful and inclusive workplace, something that is no easy task for an international corporation working in more than 180 countries.</w:t>
      </w:r>
    </w:p>
    <w:p w14:paraId="78DC37A1" w14:textId="77777777" w:rsidR="0084363D" w:rsidRPr="00F54C1D" w:rsidRDefault="0084363D" w:rsidP="00F73033">
      <w:pPr>
        <w:pStyle w:val="Heading2"/>
        <w:rPr>
          <w:rFonts w:ascii="Arial" w:hAnsi="Arial" w:cs="Arial"/>
          <w:sz w:val="24"/>
          <w:szCs w:val="24"/>
        </w:rPr>
      </w:pPr>
      <w:bookmarkStart w:id="7" w:name="_Toc213267264"/>
      <w:r w:rsidRPr="00F54C1D">
        <w:rPr>
          <w:rFonts w:ascii="Arial" w:hAnsi="Arial" w:cs="Arial"/>
          <w:sz w:val="24"/>
          <w:szCs w:val="24"/>
        </w:rPr>
        <w:t>Application of a Relevant L&amp;D Model</w:t>
      </w:r>
      <w:bookmarkEnd w:id="7"/>
    </w:p>
    <w:p w14:paraId="5D23E877" w14:textId="7DFCFBC0" w:rsidR="00F61902" w:rsidRPr="00F54C1D" w:rsidRDefault="00F61902" w:rsidP="003733BA">
      <w:pPr>
        <w:spacing w:line="360" w:lineRule="auto"/>
        <w:jc w:val="both"/>
        <w:rPr>
          <w:rFonts w:ascii="Arial" w:hAnsi="Arial" w:cs="Arial"/>
        </w:rPr>
      </w:pPr>
      <w:r w:rsidRPr="00F54C1D">
        <w:rPr>
          <w:rFonts w:ascii="Arial" w:hAnsi="Arial" w:cs="Arial"/>
        </w:rPr>
        <w:t>Kirkpatrick Four-Level Evaluation Model is a popular method for evaluating the impact of</w:t>
      </w:r>
      <w:r w:rsidRPr="00F54C1D">
        <w:rPr>
          <w:rFonts w:ascii="Arial" w:hAnsi="Arial" w:cs="Arial"/>
        </w:rPr>
        <w:t> </w:t>
      </w:r>
      <w:r w:rsidRPr="00F54C1D">
        <w:rPr>
          <w:rFonts w:ascii="Arial" w:hAnsi="Arial" w:cs="Arial"/>
        </w:rPr>
        <w:t>Learning and Development (L&amp;D) initiatives. The model was created by Donald Kirkpatrick in 1959, and it assesses the result of a training intervention from four different perspectives: Reaction,</w:t>
      </w:r>
      <w:r w:rsidRPr="00F54C1D">
        <w:rPr>
          <w:rFonts w:ascii="Arial" w:hAnsi="Arial" w:cs="Arial"/>
        </w:rPr>
        <w:t> </w:t>
      </w:r>
      <w:r w:rsidRPr="00F54C1D">
        <w:rPr>
          <w:rFonts w:ascii="Arial" w:hAnsi="Arial" w:cs="Arial"/>
        </w:rPr>
        <w:t>Learning, Behaviour and Results (Kirkpatrick &amp; Kirkpatrick, 2016). It offers clear and structured way of monitoring how well participants respond to training, level of knowledge acquired,</w:t>
      </w:r>
      <w:r w:rsidRPr="00F54C1D">
        <w:rPr>
          <w:rFonts w:ascii="Arial" w:hAnsi="Arial" w:cs="Arial"/>
        </w:rPr>
        <w:t> </w:t>
      </w:r>
      <w:r w:rsidRPr="00F54C1D">
        <w:rPr>
          <w:rFonts w:ascii="Arial" w:hAnsi="Arial" w:cs="Arial"/>
        </w:rPr>
        <w:t>behavioural change within the work environment and impact on over all organisation. The Kirkpatrick Model's value is in its scope and connecting learning to</w:t>
      </w:r>
      <w:r w:rsidRPr="00F54C1D">
        <w:rPr>
          <w:rFonts w:ascii="Arial" w:hAnsi="Arial" w:cs="Arial"/>
        </w:rPr>
        <w:t> </w:t>
      </w:r>
      <w:r w:rsidRPr="00F54C1D">
        <w:rPr>
          <w:rFonts w:ascii="Arial" w:hAnsi="Arial" w:cs="Arial"/>
        </w:rPr>
        <w:t>organisational impact. But there’s an Achilles heel in global companies with a wide range of employees like Nestlé, where cultural and contextual disparities can impact the validity of feedback</w:t>
      </w:r>
      <w:r w:rsidRPr="00F54C1D">
        <w:rPr>
          <w:rFonts w:ascii="Arial" w:hAnsi="Arial" w:cs="Arial"/>
        </w:rPr>
        <w:t> </w:t>
      </w:r>
      <w:r w:rsidRPr="00F54C1D">
        <w:rPr>
          <w:rFonts w:ascii="Arial" w:hAnsi="Arial" w:cs="Arial"/>
        </w:rPr>
        <w:t>and consistency assessments around behaviours globally. Nevertheless, some of the most</w:t>
      </w:r>
      <w:r w:rsidRPr="00F54C1D">
        <w:rPr>
          <w:rFonts w:ascii="Arial" w:hAnsi="Arial" w:cs="Arial"/>
        </w:rPr>
        <w:t> </w:t>
      </w:r>
      <w:r w:rsidRPr="00F54C1D">
        <w:rPr>
          <w:rFonts w:ascii="Arial" w:hAnsi="Arial" w:cs="Arial"/>
        </w:rPr>
        <w:t>powerful gains come from improved learning effectiveness and strategic alignment.</w:t>
      </w:r>
    </w:p>
    <w:p w14:paraId="334F1240" w14:textId="74A5F58A" w:rsidR="0084363D" w:rsidRPr="00F54C1D" w:rsidRDefault="0084363D" w:rsidP="003733BA">
      <w:pPr>
        <w:spacing w:line="360" w:lineRule="auto"/>
        <w:jc w:val="both"/>
        <w:rPr>
          <w:rFonts w:ascii="Arial" w:hAnsi="Arial" w:cs="Arial"/>
        </w:rPr>
      </w:pPr>
    </w:p>
    <w:p w14:paraId="0E7BB796" w14:textId="77777777" w:rsidR="0084363D" w:rsidRPr="00F54C1D" w:rsidRDefault="0084363D" w:rsidP="00F73033">
      <w:pPr>
        <w:pStyle w:val="Heading2"/>
        <w:rPr>
          <w:rFonts w:ascii="Arial" w:hAnsi="Arial" w:cs="Arial"/>
          <w:sz w:val="24"/>
          <w:szCs w:val="24"/>
        </w:rPr>
      </w:pPr>
      <w:bookmarkStart w:id="8" w:name="_Toc213267265"/>
      <w:r w:rsidRPr="00F54C1D">
        <w:rPr>
          <w:rFonts w:ascii="Arial" w:hAnsi="Arial" w:cs="Arial"/>
          <w:sz w:val="24"/>
          <w:szCs w:val="24"/>
        </w:rPr>
        <w:t>Challenges and Recommendations</w:t>
      </w:r>
      <w:bookmarkEnd w:id="8"/>
    </w:p>
    <w:p w14:paraId="6F902E47" w14:textId="77777777" w:rsidR="003733BA" w:rsidRPr="00F54C1D" w:rsidRDefault="003733BA" w:rsidP="003733BA">
      <w:pPr>
        <w:spacing w:line="360" w:lineRule="auto"/>
        <w:jc w:val="both"/>
        <w:rPr>
          <w:rFonts w:ascii="Arial" w:hAnsi="Arial" w:cs="Arial"/>
        </w:rPr>
      </w:pPr>
      <w:r w:rsidRPr="00F54C1D">
        <w:rPr>
          <w:rFonts w:ascii="Arial" w:hAnsi="Arial" w:cs="Arial"/>
        </w:rPr>
        <w:t>A top challenge with implementing successful learning and development</w:t>
      </w:r>
      <w:r w:rsidRPr="00F54C1D">
        <w:rPr>
          <w:rFonts w:ascii="Arial" w:hAnsi="Arial" w:cs="Arial"/>
        </w:rPr>
        <w:t> </w:t>
      </w:r>
      <w:r w:rsidRPr="00F54C1D">
        <w:rPr>
          <w:rFonts w:ascii="Arial" w:hAnsi="Arial" w:cs="Arial"/>
        </w:rPr>
        <w:t>(L&amp;D) strategies in a global company like Nestlé is many. Resistance to change is one</w:t>
      </w:r>
      <w:r w:rsidRPr="00F54C1D">
        <w:rPr>
          <w:rFonts w:ascii="Arial" w:hAnsi="Arial" w:cs="Arial"/>
        </w:rPr>
        <w:t> </w:t>
      </w:r>
      <w:r w:rsidRPr="00F54C1D">
        <w:rPr>
          <w:rFonts w:ascii="Arial" w:hAnsi="Arial" w:cs="Arial"/>
        </w:rPr>
        <w:t>of the biggest factors, because both employees and managers’ experience will be negative when it comes to using new learning technologies or ways of working, especially in areas where the old training habits are still leading. In addition, lack of budget can affect the scale and quality of L&amp;D</w:t>
      </w:r>
      <w:r w:rsidRPr="00F54C1D">
        <w:rPr>
          <w:rFonts w:ascii="Arial" w:hAnsi="Arial" w:cs="Arial"/>
        </w:rPr>
        <w:t> </w:t>
      </w:r>
      <w:r w:rsidRPr="00F54C1D">
        <w:rPr>
          <w:rFonts w:ascii="Arial" w:hAnsi="Arial" w:cs="Arial"/>
        </w:rPr>
        <w:t>initiatives - particularly during times of economic instability. A different set of hurdles involves maintaining consistent and informative training throughout Nestlé’s operations around the world – cultural, linguistic, and regulatory differences can impact how</w:t>
      </w:r>
      <w:r w:rsidRPr="00F54C1D">
        <w:rPr>
          <w:rFonts w:ascii="Arial" w:hAnsi="Arial" w:cs="Arial"/>
        </w:rPr>
        <w:t> </w:t>
      </w:r>
      <w:r w:rsidRPr="00F54C1D">
        <w:rPr>
          <w:rFonts w:ascii="Arial" w:hAnsi="Arial" w:cs="Arial"/>
        </w:rPr>
        <w:t>training is delivered and completed. In addition, rapid technological developments are increasingly hard to</w:t>
      </w:r>
      <w:r w:rsidRPr="00F54C1D">
        <w:rPr>
          <w:rFonts w:ascii="Arial" w:hAnsi="Arial" w:cs="Arial"/>
        </w:rPr>
        <w:t> </w:t>
      </w:r>
      <w:r w:rsidRPr="00F54C1D">
        <w:rPr>
          <w:rFonts w:ascii="Arial" w:hAnsi="Arial" w:cs="Arial"/>
        </w:rPr>
        <w:t>maintain apace with the dissemination of learning content and methods across a varied workforce (CIPD, 2023).</w:t>
      </w:r>
    </w:p>
    <w:p w14:paraId="3B3EB927" w14:textId="6041711F" w:rsidR="0084363D" w:rsidRPr="00F54C1D" w:rsidRDefault="003733BA" w:rsidP="003733BA">
      <w:pPr>
        <w:spacing w:line="360" w:lineRule="auto"/>
        <w:jc w:val="both"/>
        <w:rPr>
          <w:rFonts w:ascii="Arial" w:hAnsi="Arial" w:cs="Arial"/>
        </w:rPr>
      </w:pPr>
      <w:r w:rsidRPr="00F54C1D">
        <w:rPr>
          <w:rFonts w:ascii="Arial" w:hAnsi="Arial" w:cs="Arial"/>
        </w:rPr>
        <w:t>To overcome these issues, Nestlé could improve its L&amp;D approach by integrating AI and data analytics into L&amp;D to offer more personalized learning experiences based on employees’ abilities,</w:t>
      </w:r>
      <w:r w:rsidRPr="00F54C1D">
        <w:rPr>
          <w:rFonts w:ascii="Arial" w:hAnsi="Arial" w:cs="Arial"/>
        </w:rPr>
        <w:t> </w:t>
      </w:r>
      <w:r w:rsidRPr="00F54C1D">
        <w:rPr>
          <w:rFonts w:ascii="Arial" w:hAnsi="Arial" w:cs="Arial"/>
        </w:rPr>
        <w:t>positions and learning preferences. Mobile learning and multilingual digital platforms may also be considered to make trainings more accessible for global</w:t>
      </w:r>
      <w:r w:rsidRPr="00F54C1D">
        <w:rPr>
          <w:rFonts w:ascii="Arial" w:hAnsi="Arial" w:cs="Arial"/>
        </w:rPr>
        <w:t> </w:t>
      </w:r>
      <w:r w:rsidRPr="00F54C1D">
        <w:rPr>
          <w:rFonts w:ascii="Arial" w:hAnsi="Arial" w:cs="Arial"/>
        </w:rPr>
        <w:t>teams. Furthermore, driving a culture of lifelong learning with the support of leadership and</w:t>
      </w:r>
      <w:r w:rsidRPr="00F54C1D">
        <w:rPr>
          <w:rFonts w:ascii="Arial" w:hAnsi="Arial" w:cs="Arial"/>
        </w:rPr>
        <w:t> </w:t>
      </w:r>
      <w:r w:rsidRPr="00F54C1D">
        <w:rPr>
          <w:rFonts w:ascii="Arial" w:hAnsi="Arial" w:cs="Arial"/>
        </w:rPr>
        <w:t>recognition interventions can overcome resistance and maintain engagement. These measures will help Nestlé reinforce its ability to innovate and</w:t>
      </w:r>
      <w:r w:rsidRPr="00F54C1D">
        <w:rPr>
          <w:rFonts w:ascii="Arial" w:hAnsi="Arial" w:cs="Arial"/>
        </w:rPr>
        <w:t> </w:t>
      </w:r>
      <w:r w:rsidRPr="00F54C1D">
        <w:rPr>
          <w:rFonts w:ascii="Arial" w:hAnsi="Arial" w:cs="Arial"/>
        </w:rPr>
        <w:t>grow in the short, medium and long term.</w:t>
      </w:r>
    </w:p>
    <w:p w14:paraId="409AFF00" w14:textId="77777777" w:rsidR="003733BA" w:rsidRPr="00F54C1D" w:rsidRDefault="003733BA" w:rsidP="003733BA">
      <w:pPr>
        <w:spacing w:line="360" w:lineRule="auto"/>
        <w:jc w:val="both"/>
        <w:rPr>
          <w:rFonts w:ascii="Arial" w:hAnsi="Arial" w:cs="Arial"/>
        </w:rPr>
      </w:pPr>
    </w:p>
    <w:p w14:paraId="56BFE7C0" w14:textId="77777777" w:rsidR="0084363D" w:rsidRPr="00F54C1D" w:rsidRDefault="0084363D" w:rsidP="00F73033">
      <w:pPr>
        <w:pStyle w:val="Heading2"/>
        <w:rPr>
          <w:rFonts w:ascii="Arial" w:hAnsi="Arial" w:cs="Arial"/>
          <w:sz w:val="24"/>
          <w:szCs w:val="24"/>
        </w:rPr>
      </w:pPr>
      <w:bookmarkStart w:id="9" w:name="_Toc213267266"/>
      <w:r w:rsidRPr="00F54C1D">
        <w:rPr>
          <w:rFonts w:ascii="Arial" w:hAnsi="Arial" w:cs="Arial"/>
          <w:sz w:val="24"/>
          <w:szCs w:val="24"/>
        </w:rPr>
        <w:t>Conclusion</w:t>
      </w:r>
      <w:bookmarkEnd w:id="9"/>
    </w:p>
    <w:p w14:paraId="1B2A8B7E" w14:textId="77777777" w:rsidR="0084363D" w:rsidRPr="00F54C1D" w:rsidRDefault="0084363D" w:rsidP="003733BA">
      <w:pPr>
        <w:spacing w:line="360" w:lineRule="auto"/>
        <w:jc w:val="both"/>
        <w:rPr>
          <w:rFonts w:ascii="Arial" w:hAnsi="Arial" w:cs="Arial"/>
        </w:rPr>
      </w:pPr>
    </w:p>
    <w:p w14:paraId="338FC9AA" w14:textId="462A0164" w:rsidR="003733BA" w:rsidRPr="00F54C1D" w:rsidRDefault="003733BA" w:rsidP="003733BA">
      <w:pPr>
        <w:spacing w:line="360" w:lineRule="auto"/>
        <w:jc w:val="both"/>
        <w:rPr>
          <w:rFonts w:ascii="Arial" w:hAnsi="Arial" w:cs="Arial"/>
        </w:rPr>
      </w:pPr>
      <w:r w:rsidRPr="00F54C1D">
        <w:rPr>
          <w:rFonts w:ascii="Arial" w:hAnsi="Arial" w:cs="Arial"/>
        </w:rPr>
        <w:t xml:space="preserve"> In conclusion, L&amp;D</w:t>
      </w:r>
      <w:r w:rsidRPr="00F54C1D">
        <w:rPr>
          <w:rFonts w:ascii="Arial" w:hAnsi="Arial" w:cs="Arial"/>
        </w:rPr>
        <w:t> </w:t>
      </w:r>
      <w:r w:rsidRPr="00F54C1D">
        <w:rPr>
          <w:rFonts w:ascii="Arial" w:hAnsi="Arial" w:cs="Arial"/>
        </w:rPr>
        <w:t>play a role of central importance in HRM, serving as enabling systems to maintain and develop skilled, adaptable ambitious people with large organisations such as Nestlé. Daft wanted to change this through learning and got</w:t>
      </w:r>
      <w:r w:rsidRPr="00F54C1D">
        <w:rPr>
          <w:rFonts w:ascii="Arial" w:hAnsi="Arial" w:cs="Arial"/>
        </w:rPr>
        <w:t> </w:t>
      </w:r>
      <w:r w:rsidRPr="00F54C1D">
        <w:rPr>
          <w:rFonts w:ascii="Arial" w:hAnsi="Arial" w:cs="Arial"/>
        </w:rPr>
        <w:t>Nestlé Continuous Excellence off the ground using more of a consumer logic. The use of</w:t>
      </w:r>
      <w:r w:rsidRPr="00F54C1D">
        <w:rPr>
          <w:rFonts w:ascii="Arial" w:hAnsi="Arial" w:cs="Arial"/>
        </w:rPr>
        <w:t> </w:t>
      </w:r>
      <w:r w:rsidRPr="00F54C1D">
        <w:rPr>
          <w:rFonts w:ascii="Arial" w:hAnsi="Arial" w:cs="Arial"/>
        </w:rPr>
        <w:t>Kirkpatrick’s Four-Level Training Evaluation Model guarantees that the training results are measurable and consistent with business objectives. But resistance to change,</w:t>
      </w:r>
      <w:r w:rsidRPr="00F54C1D">
        <w:rPr>
          <w:rFonts w:ascii="Arial" w:hAnsi="Arial" w:cs="Arial"/>
        </w:rPr>
        <w:t> </w:t>
      </w:r>
      <w:r w:rsidRPr="00F54C1D">
        <w:rPr>
          <w:rFonts w:ascii="Arial" w:hAnsi="Arial" w:cs="Arial"/>
        </w:rPr>
        <w:t xml:space="preserve">resource constraints and cultural diversity make it impossible for L&amp;D to </w:t>
      </w:r>
      <w:r w:rsidRPr="00F54C1D">
        <w:rPr>
          <w:rFonts w:ascii="Arial" w:hAnsi="Arial" w:cs="Arial"/>
        </w:rPr>
        <w:lastRenderedPageBreak/>
        <w:t>stand still. Via state-of-the-art tools and resources such as AI-driven personalised learning and digitally accessible platforms, Nestlé can add an even greater dimension of</w:t>
      </w:r>
      <w:r w:rsidRPr="00F54C1D">
        <w:rPr>
          <w:rFonts w:ascii="Arial" w:hAnsi="Arial" w:cs="Arial"/>
        </w:rPr>
        <w:t> </w:t>
      </w:r>
      <w:r w:rsidRPr="00F54C1D">
        <w:rPr>
          <w:rFonts w:ascii="Arial" w:hAnsi="Arial" w:cs="Arial"/>
        </w:rPr>
        <w:t>effectiveness and inclusivity to its training programmes. Finally, investment in L&amp;D strategically enhances organizational performance,</w:t>
      </w:r>
      <w:r w:rsidRPr="00F54C1D">
        <w:rPr>
          <w:rFonts w:ascii="Arial" w:hAnsi="Arial" w:cs="Arial"/>
        </w:rPr>
        <w:t> </w:t>
      </w:r>
      <w:r w:rsidRPr="00F54C1D">
        <w:rPr>
          <w:rFonts w:ascii="Arial" w:hAnsi="Arial" w:cs="Arial"/>
        </w:rPr>
        <w:t>employee engagement and long-term sustainability.</w:t>
      </w:r>
    </w:p>
    <w:p w14:paraId="42979829" w14:textId="77777777" w:rsidR="003733BA" w:rsidRPr="00F54C1D" w:rsidRDefault="003733BA" w:rsidP="003733BA">
      <w:pPr>
        <w:spacing w:line="360" w:lineRule="auto"/>
        <w:jc w:val="both"/>
        <w:rPr>
          <w:rFonts w:ascii="Arial" w:hAnsi="Arial" w:cs="Arial"/>
        </w:rPr>
      </w:pPr>
    </w:p>
    <w:p w14:paraId="5D834D2B" w14:textId="77777777" w:rsidR="003733BA" w:rsidRPr="00F54C1D" w:rsidRDefault="003733BA" w:rsidP="003733BA">
      <w:pPr>
        <w:spacing w:line="360" w:lineRule="auto"/>
        <w:jc w:val="both"/>
        <w:rPr>
          <w:rFonts w:ascii="Arial" w:hAnsi="Arial" w:cs="Arial"/>
        </w:rPr>
      </w:pPr>
    </w:p>
    <w:p w14:paraId="1EC8824E" w14:textId="152FDFE1" w:rsidR="003733BA" w:rsidRDefault="003733BA" w:rsidP="003733BA">
      <w:pPr>
        <w:spacing w:line="360" w:lineRule="auto"/>
        <w:jc w:val="both"/>
        <w:rPr>
          <w:rFonts w:ascii="Arial" w:hAnsi="Arial" w:cs="Arial"/>
        </w:rPr>
      </w:pPr>
    </w:p>
    <w:p w14:paraId="68AC8AAF" w14:textId="3E515482" w:rsidR="00F54C1D" w:rsidRDefault="00F54C1D" w:rsidP="003733BA">
      <w:pPr>
        <w:spacing w:line="360" w:lineRule="auto"/>
        <w:jc w:val="both"/>
        <w:rPr>
          <w:rFonts w:ascii="Arial" w:hAnsi="Arial" w:cs="Arial"/>
        </w:rPr>
      </w:pPr>
    </w:p>
    <w:p w14:paraId="5123DF82" w14:textId="684267B9" w:rsidR="00F54C1D" w:rsidRDefault="00F54C1D" w:rsidP="003733BA">
      <w:pPr>
        <w:spacing w:line="360" w:lineRule="auto"/>
        <w:jc w:val="both"/>
        <w:rPr>
          <w:rFonts w:ascii="Arial" w:hAnsi="Arial" w:cs="Arial"/>
        </w:rPr>
      </w:pPr>
    </w:p>
    <w:p w14:paraId="56921AD1" w14:textId="3E1BB25F" w:rsidR="00F54C1D" w:rsidRDefault="00F54C1D" w:rsidP="003733BA">
      <w:pPr>
        <w:spacing w:line="360" w:lineRule="auto"/>
        <w:jc w:val="both"/>
        <w:rPr>
          <w:rFonts w:ascii="Arial" w:hAnsi="Arial" w:cs="Arial"/>
        </w:rPr>
      </w:pPr>
    </w:p>
    <w:p w14:paraId="4796B64F" w14:textId="7BDCDFB2" w:rsidR="00F54C1D" w:rsidRDefault="00F54C1D" w:rsidP="003733BA">
      <w:pPr>
        <w:spacing w:line="360" w:lineRule="auto"/>
        <w:jc w:val="both"/>
        <w:rPr>
          <w:rFonts w:ascii="Arial" w:hAnsi="Arial" w:cs="Arial"/>
        </w:rPr>
      </w:pPr>
    </w:p>
    <w:p w14:paraId="637E9830" w14:textId="0AA15244" w:rsidR="00F54C1D" w:rsidRDefault="00F54C1D" w:rsidP="003733BA">
      <w:pPr>
        <w:spacing w:line="360" w:lineRule="auto"/>
        <w:jc w:val="both"/>
        <w:rPr>
          <w:rFonts w:ascii="Arial" w:hAnsi="Arial" w:cs="Arial"/>
        </w:rPr>
      </w:pPr>
    </w:p>
    <w:p w14:paraId="69DDB299" w14:textId="791984C0" w:rsidR="00F54C1D" w:rsidRDefault="00F54C1D" w:rsidP="003733BA">
      <w:pPr>
        <w:spacing w:line="360" w:lineRule="auto"/>
        <w:jc w:val="both"/>
        <w:rPr>
          <w:rFonts w:ascii="Arial" w:hAnsi="Arial" w:cs="Arial"/>
        </w:rPr>
      </w:pPr>
    </w:p>
    <w:p w14:paraId="6306AC8A" w14:textId="12160E77" w:rsidR="00F54C1D" w:rsidRDefault="00F54C1D" w:rsidP="003733BA">
      <w:pPr>
        <w:spacing w:line="360" w:lineRule="auto"/>
        <w:jc w:val="both"/>
        <w:rPr>
          <w:rFonts w:ascii="Arial" w:hAnsi="Arial" w:cs="Arial"/>
        </w:rPr>
      </w:pPr>
    </w:p>
    <w:p w14:paraId="7335A705" w14:textId="6C556911" w:rsidR="00F54C1D" w:rsidRDefault="00F54C1D" w:rsidP="003733BA">
      <w:pPr>
        <w:spacing w:line="360" w:lineRule="auto"/>
        <w:jc w:val="both"/>
        <w:rPr>
          <w:rFonts w:ascii="Arial" w:hAnsi="Arial" w:cs="Arial"/>
        </w:rPr>
      </w:pPr>
    </w:p>
    <w:p w14:paraId="23ACB3ED" w14:textId="337F6397" w:rsidR="00F54C1D" w:rsidRDefault="00F54C1D" w:rsidP="003733BA">
      <w:pPr>
        <w:spacing w:line="360" w:lineRule="auto"/>
        <w:jc w:val="both"/>
        <w:rPr>
          <w:rFonts w:ascii="Arial" w:hAnsi="Arial" w:cs="Arial"/>
        </w:rPr>
      </w:pPr>
    </w:p>
    <w:p w14:paraId="391C5F30" w14:textId="107C8B48" w:rsidR="00F54C1D" w:rsidRDefault="00F54C1D" w:rsidP="003733BA">
      <w:pPr>
        <w:spacing w:line="360" w:lineRule="auto"/>
        <w:jc w:val="both"/>
        <w:rPr>
          <w:rFonts w:ascii="Arial" w:hAnsi="Arial" w:cs="Arial"/>
        </w:rPr>
      </w:pPr>
    </w:p>
    <w:p w14:paraId="14F810A4" w14:textId="0BA321FF" w:rsidR="00F54C1D" w:rsidRDefault="00F54C1D" w:rsidP="003733BA">
      <w:pPr>
        <w:spacing w:line="360" w:lineRule="auto"/>
        <w:jc w:val="both"/>
        <w:rPr>
          <w:rFonts w:ascii="Arial" w:hAnsi="Arial" w:cs="Arial"/>
        </w:rPr>
      </w:pPr>
    </w:p>
    <w:p w14:paraId="0C5BF2E1" w14:textId="3E8160E7" w:rsidR="00F54C1D" w:rsidRDefault="00F54C1D" w:rsidP="003733BA">
      <w:pPr>
        <w:spacing w:line="360" w:lineRule="auto"/>
        <w:jc w:val="both"/>
        <w:rPr>
          <w:rFonts w:ascii="Arial" w:hAnsi="Arial" w:cs="Arial"/>
        </w:rPr>
      </w:pPr>
    </w:p>
    <w:p w14:paraId="046F5C7B" w14:textId="77777777" w:rsidR="00F54C1D" w:rsidRPr="00F54C1D" w:rsidRDefault="00F54C1D" w:rsidP="003733BA">
      <w:pPr>
        <w:spacing w:line="360" w:lineRule="auto"/>
        <w:jc w:val="both"/>
        <w:rPr>
          <w:rFonts w:ascii="Arial" w:hAnsi="Arial" w:cs="Arial"/>
        </w:rPr>
      </w:pPr>
      <w:bookmarkStart w:id="10" w:name="_GoBack"/>
      <w:bookmarkEnd w:id="10"/>
    </w:p>
    <w:p w14:paraId="47F8EE7F" w14:textId="77777777" w:rsidR="003733BA" w:rsidRPr="00F54C1D" w:rsidRDefault="003733BA" w:rsidP="003733BA">
      <w:pPr>
        <w:spacing w:line="360" w:lineRule="auto"/>
        <w:jc w:val="both"/>
        <w:rPr>
          <w:rFonts w:ascii="Arial" w:hAnsi="Arial" w:cs="Arial"/>
        </w:rPr>
      </w:pPr>
    </w:p>
    <w:p w14:paraId="0B8CD80F" w14:textId="77777777" w:rsidR="003733BA" w:rsidRPr="00F54C1D" w:rsidRDefault="003733BA" w:rsidP="003733BA">
      <w:pPr>
        <w:spacing w:line="360" w:lineRule="auto"/>
        <w:jc w:val="both"/>
        <w:rPr>
          <w:rFonts w:ascii="Arial" w:hAnsi="Arial" w:cs="Arial"/>
        </w:rPr>
      </w:pPr>
    </w:p>
    <w:p w14:paraId="5CFC733E" w14:textId="77777777" w:rsidR="003733BA" w:rsidRPr="00F54C1D" w:rsidRDefault="003733BA" w:rsidP="003733BA">
      <w:pPr>
        <w:spacing w:line="360" w:lineRule="auto"/>
        <w:jc w:val="both"/>
        <w:rPr>
          <w:rFonts w:ascii="Arial" w:hAnsi="Arial" w:cs="Arial"/>
        </w:rPr>
      </w:pPr>
    </w:p>
    <w:p w14:paraId="24DFBACF" w14:textId="35496D8C" w:rsidR="0084363D" w:rsidRPr="00F54C1D" w:rsidRDefault="0084363D" w:rsidP="00F73033">
      <w:pPr>
        <w:pStyle w:val="Heading2"/>
        <w:rPr>
          <w:rFonts w:ascii="Arial" w:hAnsi="Arial" w:cs="Arial"/>
          <w:sz w:val="24"/>
          <w:szCs w:val="24"/>
        </w:rPr>
      </w:pPr>
      <w:bookmarkStart w:id="11" w:name="_Toc213267267"/>
      <w:r w:rsidRPr="00F54C1D">
        <w:rPr>
          <w:rFonts w:ascii="Arial" w:hAnsi="Arial" w:cs="Arial"/>
          <w:sz w:val="24"/>
          <w:szCs w:val="24"/>
        </w:rPr>
        <w:lastRenderedPageBreak/>
        <w:t>Reference List (Harvard Style)</w:t>
      </w:r>
      <w:bookmarkEnd w:id="11"/>
    </w:p>
    <w:p w14:paraId="360E6D4B" w14:textId="4699127C" w:rsidR="0084363D" w:rsidRPr="00F54C1D" w:rsidRDefault="0084363D" w:rsidP="003733BA">
      <w:pPr>
        <w:spacing w:line="360" w:lineRule="auto"/>
        <w:jc w:val="both"/>
        <w:rPr>
          <w:rFonts w:ascii="Arial" w:hAnsi="Arial" w:cs="Arial"/>
        </w:rPr>
      </w:pPr>
      <w:r w:rsidRPr="00F54C1D">
        <w:rPr>
          <w:rFonts w:ascii="Arial" w:hAnsi="Arial" w:cs="Arial"/>
        </w:rPr>
        <w:tab/>
        <w:t>1.</w:t>
      </w:r>
      <w:r w:rsidRPr="00F54C1D">
        <w:rPr>
          <w:rFonts w:ascii="Arial" w:hAnsi="Arial" w:cs="Arial"/>
        </w:rPr>
        <w:tab/>
        <w:t xml:space="preserve">CIPD (2023) Learning and Development Strategy. Chartered Institute of Personnel and Development. </w:t>
      </w:r>
    </w:p>
    <w:p w14:paraId="6283A4C5" w14:textId="77777777" w:rsidR="0084363D" w:rsidRPr="00F54C1D" w:rsidRDefault="0084363D" w:rsidP="003733BA">
      <w:pPr>
        <w:spacing w:line="360" w:lineRule="auto"/>
        <w:jc w:val="both"/>
        <w:rPr>
          <w:rFonts w:ascii="Arial" w:hAnsi="Arial" w:cs="Arial"/>
        </w:rPr>
      </w:pPr>
      <w:r w:rsidRPr="00F54C1D">
        <w:rPr>
          <w:rFonts w:ascii="Arial" w:hAnsi="Arial" w:cs="Arial"/>
        </w:rPr>
        <w:tab/>
        <w:t>2.</w:t>
      </w:r>
      <w:r w:rsidRPr="00F54C1D">
        <w:rPr>
          <w:rFonts w:ascii="Arial" w:hAnsi="Arial" w:cs="Arial"/>
        </w:rPr>
        <w:tab/>
      </w:r>
      <w:proofErr w:type="spellStart"/>
      <w:r w:rsidRPr="00F54C1D">
        <w:rPr>
          <w:rFonts w:ascii="Arial" w:hAnsi="Arial" w:cs="Arial"/>
        </w:rPr>
        <w:t>Garavan</w:t>
      </w:r>
      <w:proofErr w:type="spellEnd"/>
      <w:r w:rsidRPr="00F54C1D">
        <w:rPr>
          <w:rFonts w:ascii="Arial" w:hAnsi="Arial" w:cs="Arial"/>
        </w:rPr>
        <w:t>, T., McCarthy, A. &amp; Morley, M. (2019) Learning and Development in Organizations: Strategy, Evidence and Practice. London: Palgrave Macmillan.</w:t>
      </w:r>
    </w:p>
    <w:p w14:paraId="6F550131" w14:textId="77777777" w:rsidR="0084363D" w:rsidRPr="00F54C1D" w:rsidRDefault="0084363D" w:rsidP="003733BA">
      <w:pPr>
        <w:spacing w:line="360" w:lineRule="auto"/>
        <w:jc w:val="both"/>
        <w:rPr>
          <w:rFonts w:ascii="Arial" w:hAnsi="Arial" w:cs="Arial"/>
        </w:rPr>
      </w:pPr>
      <w:r w:rsidRPr="00F54C1D">
        <w:rPr>
          <w:rFonts w:ascii="Arial" w:hAnsi="Arial" w:cs="Arial"/>
        </w:rPr>
        <w:tab/>
        <w:t>3.</w:t>
      </w:r>
      <w:r w:rsidRPr="00F54C1D">
        <w:rPr>
          <w:rFonts w:ascii="Arial" w:hAnsi="Arial" w:cs="Arial"/>
        </w:rPr>
        <w:tab/>
        <w:t>Noe, R. A., Hollenbeck, J. R., Gerhart, B. &amp; Wright, P. M. (2021) Fundamentals of Human Resource Management. 9th ed. New York: McGraw-Hill Education.</w:t>
      </w:r>
    </w:p>
    <w:p w14:paraId="2B1B96A9" w14:textId="77777777" w:rsidR="0084363D" w:rsidRPr="00F54C1D" w:rsidRDefault="0084363D" w:rsidP="003733BA">
      <w:pPr>
        <w:spacing w:line="360" w:lineRule="auto"/>
        <w:jc w:val="both"/>
        <w:rPr>
          <w:rFonts w:ascii="Arial" w:hAnsi="Arial" w:cs="Arial"/>
        </w:rPr>
      </w:pPr>
      <w:r w:rsidRPr="00F54C1D">
        <w:rPr>
          <w:rFonts w:ascii="Arial" w:hAnsi="Arial" w:cs="Arial"/>
        </w:rPr>
        <w:tab/>
        <w:t>4.</w:t>
      </w:r>
      <w:r w:rsidRPr="00F54C1D">
        <w:rPr>
          <w:rFonts w:ascii="Arial" w:hAnsi="Arial" w:cs="Arial"/>
        </w:rPr>
        <w:tab/>
        <w:t>Kirkpatrick, D. L. &amp; Kirkpatrick, J. D. (2016) Kirkpatrick’s Four Levels of Training Evaluation. Alexandria, VA: ATD Press.</w:t>
      </w:r>
    </w:p>
    <w:p w14:paraId="5C6F8D8F" w14:textId="77777777" w:rsidR="0084363D" w:rsidRPr="00F54C1D" w:rsidRDefault="0084363D" w:rsidP="003733BA">
      <w:pPr>
        <w:spacing w:line="360" w:lineRule="auto"/>
        <w:jc w:val="both"/>
        <w:rPr>
          <w:rFonts w:ascii="Arial" w:hAnsi="Arial" w:cs="Arial"/>
        </w:rPr>
      </w:pPr>
      <w:r w:rsidRPr="00F54C1D">
        <w:rPr>
          <w:rFonts w:ascii="Arial" w:hAnsi="Arial" w:cs="Arial"/>
        </w:rPr>
        <w:tab/>
        <w:t>5.</w:t>
      </w:r>
      <w:r w:rsidRPr="00F54C1D">
        <w:rPr>
          <w:rFonts w:ascii="Arial" w:hAnsi="Arial" w:cs="Arial"/>
        </w:rPr>
        <w:tab/>
        <w:t>Johnson, G., Scholes, K. &amp; Whittington, R. (2020) Exploring Corporate Strategy. 12th ed. Harlow: Pearson Education.</w:t>
      </w:r>
    </w:p>
    <w:p w14:paraId="3E96A1AF" w14:textId="7ED4CA44" w:rsidR="0084363D" w:rsidRPr="00F54C1D" w:rsidRDefault="0084363D" w:rsidP="003733BA">
      <w:pPr>
        <w:spacing w:line="360" w:lineRule="auto"/>
        <w:jc w:val="both"/>
        <w:rPr>
          <w:rFonts w:ascii="Arial" w:hAnsi="Arial" w:cs="Arial"/>
        </w:rPr>
      </w:pPr>
      <w:r w:rsidRPr="00F54C1D">
        <w:rPr>
          <w:rFonts w:ascii="Arial" w:hAnsi="Arial" w:cs="Arial"/>
        </w:rPr>
        <w:tab/>
        <w:t>6.</w:t>
      </w:r>
      <w:r w:rsidRPr="00F54C1D">
        <w:rPr>
          <w:rFonts w:ascii="Arial" w:hAnsi="Arial" w:cs="Arial"/>
        </w:rPr>
        <w:tab/>
        <w:t xml:space="preserve">Nestlé (2024) People Development and Learning at Nestlé. </w:t>
      </w:r>
    </w:p>
    <w:p w14:paraId="33C57E48" w14:textId="77777777" w:rsidR="0084363D" w:rsidRPr="00F54C1D" w:rsidRDefault="0084363D" w:rsidP="003733BA">
      <w:pPr>
        <w:spacing w:line="360" w:lineRule="auto"/>
        <w:jc w:val="both"/>
        <w:rPr>
          <w:rFonts w:ascii="Arial" w:hAnsi="Arial" w:cs="Arial"/>
        </w:rPr>
      </w:pPr>
      <w:r w:rsidRPr="00F54C1D">
        <w:rPr>
          <w:rFonts w:ascii="Arial" w:hAnsi="Arial" w:cs="Arial"/>
        </w:rPr>
        <w:tab/>
        <w:t>7.</w:t>
      </w:r>
      <w:r w:rsidRPr="00F54C1D">
        <w:rPr>
          <w:rFonts w:ascii="Arial" w:hAnsi="Arial" w:cs="Arial"/>
        </w:rPr>
        <w:tab/>
        <w:t>Dweck, C. (2017) Mindset: Changing the Way You Think to Fulfil Your Potential. London: Robinson.</w:t>
      </w:r>
    </w:p>
    <w:p w14:paraId="3A8A637A" w14:textId="77777777" w:rsidR="0084363D" w:rsidRPr="00F54C1D" w:rsidRDefault="0084363D" w:rsidP="003733BA">
      <w:pPr>
        <w:spacing w:line="360" w:lineRule="auto"/>
        <w:jc w:val="both"/>
        <w:rPr>
          <w:rFonts w:ascii="Arial" w:hAnsi="Arial" w:cs="Arial"/>
        </w:rPr>
      </w:pPr>
      <w:r w:rsidRPr="00F54C1D">
        <w:rPr>
          <w:rFonts w:ascii="Arial" w:hAnsi="Arial" w:cs="Arial"/>
        </w:rPr>
        <w:tab/>
        <w:t>8.</w:t>
      </w:r>
      <w:r w:rsidRPr="00F54C1D">
        <w:rPr>
          <w:rFonts w:ascii="Arial" w:hAnsi="Arial" w:cs="Arial"/>
        </w:rPr>
        <w:tab/>
        <w:t>Ulrich, D., Brockbank, W., Johnson, D. &amp; Younger, J. (2017) HR Competencies: Mastery at the Intersection of People and Business. Alexandria, VA: Society for Human Resource Management.</w:t>
      </w:r>
    </w:p>
    <w:p w14:paraId="6A17188F" w14:textId="77777777" w:rsidR="0084363D" w:rsidRPr="00F54C1D" w:rsidRDefault="0084363D" w:rsidP="003733BA">
      <w:pPr>
        <w:spacing w:line="360" w:lineRule="auto"/>
        <w:jc w:val="both"/>
        <w:rPr>
          <w:rFonts w:ascii="Arial" w:hAnsi="Arial" w:cs="Arial"/>
        </w:rPr>
      </w:pPr>
      <w:r w:rsidRPr="00F54C1D">
        <w:rPr>
          <w:rFonts w:ascii="Arial" w:hAnsi="Arial" w:cs="Arial"/>
        </w:rPr>
        <w:tab/>
        <w:t>9.</w:t>
      </w:r>
      <w:r w:rsidRPr="00F54C1D">
        <w:rPr>
          <w:rFonts w:ascii="Arial" w:hAnsi="Arial" w:cs="Arial"/>
        </w:rPr>
        <w:tab/>
        <w:t>Torrington, D., Hall, L., Taylor, S. &amp; Atkinson, C. (2020) Human Resource Management. 11th ed. Harlow: Pearson Education.</w:t>
      </w:r>
    </w:p>
    <w:p w14:paraId="13160C9B" w14:textId="77777777" w:rsidR="0084363D" w:rsidRPr="00F54C1D" w:rsidRDefault="0084363D" w:rsidP="003733BA">
      <w:pPr>
        <w:spacing w:line="360" w:lineRule="auto"/>
        <w:jc w:val="both"/>
        <w:rPr>
          <w:rFonts w:ascii="Arial" w:hAnsi="Arial" w:cs="Arial"/>
        </w:rPr>
      </w:pPr>
      <w:r w:rsidRPr="00F54C1D">
        <w:rPr>
          <w:rFonts w:ascii="Arial" w:hAnsi="Arial" w:cs="Arial"/>
        </w:rPr>
        <w:tab/>
        <w:t>10.</w:t>
      </w:r>
      <w:r w:rsidRPr="00F54C1D">
        <w:rPr>
          <w:rFonts w:ascii="Arial" w:hAnsi="Arial" w:cs="Arial"/>
        </w:rPr>
        <w:tab/>
        <w:t>Armstrong, M. (2021) A Handbook of Human Resource Management Practice. 15th ed. London: Kogan Page.</w:t>
      </w:r>
    </w:p>
    <w:p w14:paraId="4FEE43F0" w14:textId="7DBA75E5" w:rsidR="0084363D" w:rsidRPr="00F54C1D" w:rsidRDefault="0084363D" w:rsidP="003733BA">
      <w:pPr>
        <w:spacing w:line="360" w:lineRule="auto"/>
        <w:jc w:val="both"/>
        <w:rPr>
          <w:rFonts w:ascii="Arial" w:hAnsi="Arial" w:cs="Arial"/>
        </w:rPr>
      </w:pPr>
      <w:r w:rsidRPr="00F54C1D">
        <w:rPr>
          <w:rFonts w:ascii="Arial" w:hAnsi="Arial" w:cs="Arial"/>
        </w:rPr>
        <w:tab/>
        <w:t>11.</w:t>
      </w:r>
      <w:r w:rsidRPr="00F54C1D">
        <w:rPr>
          <w:rFonts w:ascii="Arial" w:hAnsi="Arial" w:cs="Arial"/>
        </w:rPr>
        <w:tab/>
        <w:t>Sparrow, P. &amp; Makram, H. (2015</w:t>
      </w:r>
      <w:proofErr w:type="gramStart"/>
      <w:r w:rsidRPr="00F54C1D">
        <w:rPr>
          <w:rFonts w:ascii="Arial" w:hAnsi="Arial" w:cs="Arial"/>
        </w:rPr>
        <w:t xml:space="preserve">) </w:t>
      </w:r>
      <w:r w:rsidR="001176CF" w:rsidRPr="00F54C1D">
        <w:rPr>
          <w:rFonts w:ascii="Arial" w:hAnsi="Arial" w:cs="Arial"/>
        </w:rPr>
        <w:t>.</w:t>
      </w:r>
      <w:proofErr w:type="gramEnd"/>
    </w:p>
    <w:p w14:paraId="1050AAFC" w14:textId="02B13FC8" w:rsidR="0084363D" w:rsidRPr="00F54C1D" w:rsidRDefault="0084363D" w:rsidP="003733BA">
      <w:pPr>
        <w:spacing w:line="360" w:lineRule="auto"/>
        <w:jc w:val="both"/>
        <w:rPr>
          <w:rFonts w:ascii="Arial" w:hAnsi="Arial" w:cs="Arial"/>
        </w:rPr>
      </w:pPr>
      <w:r w:rsidRPr="00F54C1D">
        <w:rPr>
          <w:rFonts w:ascii="Arial" w:hAnsi="Arial" w:cs="Arial"/>
        </w:rPr>
        <w:tab/>
        <w:t>12.</w:t>
      </w:r>
      <w:r w:rsidRPr="00F54C1D">
        <w:rPr>
          <w:rFonts w:ascii="Arial" w:hAnsi="Arial" w:cs="Arial"/>
        </w:rPr>
        <w:tab/>
        <w:t>OECD (2022) Skills Outlook 2022: The Value of Lifelong Learning. Paris: Organisation for Economic Co-operation and Development.</w:t>
      </w:r>
    </w:p>
    <w:sectPr w:rsidR="0084363D" w:rsidRPr="00F54C1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C819D" w14:textId="77777777" w:rsidR="00157572" w:rsidRDefault="00157572" w:rsidP="00932AC6">
      <w:pPr>
        <w:spacing w:after="0" w:line="240" w:lineRule="auto"/>
      </w:pPr>
      <w:r>
        <w:separator/>
      </w:r>
    </w:p>
  </w:endnote>
  <w:endnote w:type="continuationSeparator" w:id="0">
    <w:p w14:paraId="5A14B491" w14:textId="77777777" w:rsidR="00157572" w:rsidRDefault="00157572" w:rsidP="00932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2144959"/>
      <w:docPartObj>
        <w:docPartGallery w:val="Page Numbers (Bottom of Page)"/>
        <w:docPartUnique/>
      </w:docPartObj>
    </w:sdtPr>
    <w:sdtEndPr/>
    <w:sdtContent>
      <w:p w14:paraId="1B5CBDAB" w14:textId="238C73C6" w:rsidR="00932AC6" w:rsidRDefault="00932AC6">
        <w:pPr>
          <w:pStyle w:val="Footer"/>
          <w:jc w:val="right"/>
        </w:pPr>
        <w:r>
          <w:fldChar w:fldCharType="begin"/>
        </w:r>
        <w:r>
          <w:instrText>PAGE   \* MERGEFORMAT</w:instrText>
        </w:r>
        <w:r>
          <w:fldChar w:fldCharType="separate"/>
        </w:r>
        <w:r>
          <w:t>2</w:t>
        </w:r>
        <w:r>
          <w:fldChar w:fldCharType="end"/>
        </w:r>
      </w:p>
    </w:sdtContent>
  </w:sdt>
  <w:p w14:paraId="679E1D42" w14:textId="77777777" w:rsidR="00932AC6" w:rsidRDefault="00932A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8D238" w14:textId="77777777" w:rsidR="00157572" w:rsidRDefault="00157572" w:rsidP="00932AC6">
      <w:pPr>
        <w:spacing w:after="0" w:line="240" w:lineRule="auto"/>
      </w:pPr>
      <w:r>
        <w:separator/>
      </w:r>
    </w:p>
  </w:footnote>
  <w:footnote w:type="continuationSeparator" w:id="0">
    <w:p w14:paraId="21ED9F0F" w14:textId="77777777" w:rsidR="00157572" w:rsidRDefault="00157572" w:rsidP="00932A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D8E"/>
    <w:rsid w:val="0002620A"/>
    <w:rsid w:val="001176CF"/>
    <w:rsid w:val="00157572"/>
    <w:rsid w:val="003733BA"/>
    <w:rsid w:val="00505912"/>
    <w:rsid w:val="006F7D8E"/>
    <w:rsid w:val="007672A7"/>
    <w:rsid w:val="0084363D"/>
    <w:rsid w:val="00932AC6"/>
    <w:rsid w:val="00951857"/>
    <w:rsid w:val="009B4A75"/>
    <w:rsid w:val="00A929BF"/>
    <w:rsid w:val="00AA2E3A"/>
    <w:rsid w:val="00CC1ADE"/>
    <w:rsid w:val="00EB45C1"/>
    <w:rsid w:val="00F1700C"/>
    <w:rsid w:val="00F54C1D"/>
    <w:rsid w:val="00F61902"/>
    <w:rsid w:val="00F73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C8B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932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AC6"/>
  </w:style>
  <w:style w:type="paragraph" w:styleId="Footer">
    <w:name w:val="footer"/>
    <w:basedOn w:val="Normal"/>
    <w:link w:val="FooterChar"/>
    <w:uiPriority w:val="99"/>
    <w:unhideWhenUsed/>
    <w:rsid w:val="00932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AC6"/>
  </w:style>
  <w:style w:type="table" w:styleId="TableGrid">
    <w:name w:val="Table Grid"/>
    <w:basedOn w:val="TableNormal"/>
    <w:uiPriority w:val="39"/>
    <w:rsid w:val="00932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32AC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ubtleEmphasis">
    <w:name w:val="Subtle Emphasis"/>
    <w:basedOn w:val="DefaultParagraphFont"/>
    <w:uiPriority w:val="19"/>
    <w:qFormat/>
    <w:rsid w:val="00EB45C1"/>
    <w:rPr>
      <w:i/>
      <w:iCs/>
      <w:color w:val="404040" w:themeColor="text1" w:themeTint="BF"/>
    </w:rPr>
  </w:style>
  <w:style w:type="character" w:styleId="Strong">
    <w:name w:val="Strong"/>
    <w:basedOn w:val="DefaultParagraphFont"/>
    <w:uiPriority w:val="22"/>
    <w:qFormat/>
    <w:rsid w:val="00EB45C1"/>
    <w:rPr>
      <w:b/>
      <w:bCs/>
    </w:rPr>
  </w:style>
  <w:style w:type="character" w:styleId="Hyperlink">
    <w:name w:val="Hyperlink"/>
    <w:basedOn w:val="DefaultParagraphFont"/>
    <w:uiPriority w:val="99"/>
    <w:unhideWhenUsed/>
    <w:rsid w:val="00EB45C1"/>
    <w:rPr>
      <w:color w:val="467886" w:themeColor="hyperlink"/>
      <w:u w:val="single"/>
    </w:rPr>
  </w:style>
  <w:style w:type="character" w:styleId="UnresolvedMention">
    <w:name w:val="Unresolved Mention"/>
    <w:basedOn w:val="DefaultParagraphFont"/>
    <w:uiPriority w:val="99"/>
    <w:semiHidden/>
    <w:unhideWhenUsed/>
    <w:rsid w:val="00EB45C1"/>
    <w:rPr>
      <w:color w:val="605E5C"/>
      <w:shd w:val="clear" w:color="auto" w:fill="E1DFDD"/>
    </w:rPr>
  </w:style>
  <w:style w:type="paragraph" w:styleId="TOCHeading">
    <w:name w:val="TOC Heading"/>
    <w:basedOn w:val="Heading1"/>
    <w:next w:val="Normal"/>
    <w:uiPriority w:val="39"/>
    <w:unhideWhenUsed/>
    <w:qFormat/>
    <w:rsid w:val="00F73033"/>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F7303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ourcewatch.org/index.php/Nestl%C3%A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9FE7F-72DC-4203-8297-EE6634F00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2950</Words>
  <Characters>16816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2025-11-08T11:02:00Z</dcterms:created>
  <dcterms:modified xsi:type="dcterms:W3CDTF">2025-11-08T11:02:00Z</dcterms:modified>
</cp:coreProperties>
</file>