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0DFBF" w14:textId="389D0F63" w:rsidR="00807645" w:rsidRDefault="00D75088" w:rsidP="00152A06">
      <w:pPr>
        <w:rPr>
          <w:rFonts w:ascii="Arial" w:hAnsi="Arial" w:cs="Arial"/>
          <w:sz w:val="22"/>
          <w:szCs w:val="22"/>
        </w:rPr>
      </w:pPr>
      <w:r>
        <w:rPr>
          <w:rFonts w:ascii="Arial" w:hAnsi="Arial" w:cs="Arial"/>
          <w:noProof/>
          <w:sz w:val="22"/>
          <w:szCs w:val="22"/>
        </w:rPr>
        <w:drawing>
          <wp:inline distT="0" distB="0" distL="0" distR="0" wp14:anchorId="64B1E2DA" wp14:editId="113B913E">
            <wp:extent cx="2857006" cy="1301262"/>
            <wp:effectExtent l="0" t="0" r="635" b="0"/>
            <wp:docPr id="605878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73729" cy="1308879"/>
                    </a:xfrm>
                    <a:prstGeom prst="rect">
                      <a:avLst/>
                    </a:prstGeom>
                    <a:noFill/>
                  </pic:spPr>
                </pic:pic>
              </a:graphicData>
            </a:graphic>
          </wp:inline>
        </w:drawing>
      </w:r>
    </w:p>
    <w:p w14:paraId="2A2EE573" w14:textId="77777777" w:rsidR="00141F90" w:rsidRDefault="00141F90" w:rsidP="00152A06">
      <w:pPr>
        <w:rPr>
          <w:rFonts w:ascii="Arial" w:hAnsi="Arial" w:cs="Arial"/>
          <w:sz w:val="22"/>
          <w:szCs w:val="22"/>
        </w:rPr>
      </w:pPr>
    </w:p>
    <w:p w14:paraId="7CFFAC0D" w14:textId="77777777" w:rsidR="00D75088" w:rsidRDefault="00D75088" w:rsidP="00152A06">
      <w:pPr>
        <w:rPr>
          <w:rFonts w:ascii="Arial" w:hAnsi="Arial" w:cs="Arial"/>
          <w:sz w:val="22"/>
          <w:szCs w:val="22"/>
        </w:rPr>
      </w:pPr>
    </w:p>
    <w:p w14:paraId="46C5CCF4" w14:textId="77777777" w:rsidR="00EA7331" w:rsidRPr="00E52802" w:rsidRDefault="00EA7331" w:rsidP="00EA7331">
      <w:pPr>
        <w:jc w:val="both"/>
        <w:rPr>
          <w:rFonts w:ascii="Arial" w:hAnsi="Arial" w:cs="Arial"/>
          <w:b/>
          <w:bCs/>
          <w:sz w:val="28"/>
          <w:szCs w:val="28"/>
        </w:rPr>
      </w:pPr>
      <w:r w:rsidRPr="00E52802">
        <w:rPr>
          <w:rFonts w:ascii="Arial" w:hAnsi="Arial" w:cs="Arial"/>
          <w:b/>
          <w:bCs/>
          <w:sz w:val="28"/>
          <w:szCs w:val="28"/>
        </w:rPr>
        <w:t>Name: Malgorzata Ziemian</w:t>
      </w:r>
    </w:p>
    <w:p w14:paraId="2D5489C7" w14:textId="77777777" w:rsidR="00EA7331" w:rsidRPr="00E52802" w:rsidRDefault="00EA7331" w:rsidP="00EA7331">
      <w:pPr>
        <w:jc w:val="both"/>
        <w:rPr>
          <w:rFonts w:ascii="Arial" w:hAnsi="Arial" w:cs="Arial"/>
          <w:b/>
          <w:bCs/>
          <w:sz w:val="28"/>
          <w:szCs w:val="28"/>
        </w:rPr>
      </w:pPr>
      <w:r w:rsidRPr="00E52802">
        <w:rPr>
          <w:rFonts w:ascii="Arial" w:hAnsi="Arial" w:cs="Arial"/>
          <w:b/>
          <w:bCs/>
          <w:sz w:val="28"/>
          <w:szCs w:val="28"/>
        </w:rPr>
        <w:t>Student ID: 2521409</w:t>
      </w:r>
    </w:p>
    <w:p w14:paraId="1F3668AB" w14:textId="77777777" w:rsidR="00EA7331" w:rsidRPr="00E52802" w:rsidRDefault="00EA7331" w:rsidP="00EA7331">
      <w:pPr>
        <w:jc w:val="both"/>
        <w:rPr>
          <w:rFonts w:ascii="Arial" w:hAnsi="Arial" w:cs="Arial"/>
          <w:b/>
          <w:bCs/>
          <w:sz w:val="28"/>
          <w:szCs w:val="28"/>
        </w:rPr>
      </w:pPr>
      <w:r w:rsidRPr="00E52802">
        <w:rPr>
          <w:rFonts w:ascii="Arial" w:hAnsi="Arial" w:cs="Arial"/>
          <w:b/>
          <w:bCs/>
          <w:sz w:val="28"/>
          <w:szCs w:val="28"/>
        </w:rPr>
        <w:t>Module Code: LCHS4003</w:t>
      </w:r>
    </w:p>
    <w:p w14:paraId="055A25A4" w14:textId="77777777" w:rsidR="00EA7331" w:rsidRPr="00E52802" w:rsidRDefault="00EA7331" w:rsidP="00EA7331">
      <w:pPr>
        <w:jc w:val="both"/>
        <w:rPr>
          <w:rFonts w:ascii="Arial" w:hAnsi="Arial" w:cs="Arial"/>
          <w:b/>
          <w:bCs/>
          <w:sz w:val="28"/>
          <w:szCs w:val="28"/>
        </w:rPr>
      </w:pPr>
      <w:r w:rsidRPr="00E52802">
        <w:rPr>
          <w:rFonts w:ascii="Arial" w:hAnsi="Arial" w:cs="Arial"/>
          <w:b/>
          <w:bCs/>
          <w:sz w:val="28"/>
          <w:szCs w:val="28"/>
        </w:rPr>
        <w:t>Module: Introduction to Health and Social Care</w:t>
      </w:r>
    </w:p>
    <w:p w14:paraId="6E62BCEC" w14:textId="77777777" w:rsidR="00EA7331" w:rsidRDefault="00EA7331" w:rsidP="00EA7331">
      <w:pPr>
        <w:jc w:val="both"/>
        <w:rPr>
          <w:rFonts w:ascii="Arial" w:hAnsi="Arial" w:cs="Arial"/>
          <w:b/>
          <w:bCs/>
          <w:sz w:val="28"/>
          <w:szCs w:val="28"/>
        </w:rPr>
      </w:pPr>
      <w:r w:rsidRPr="00E52802">
        <w:rPr>
          <w:rFonts w:ascii="Arial" w:hAnsi="Arial" w:cs="Arial"/>
          <w:b/>
          <w:bCs/>
          <w:sz w:val="28"/>
          <w:szCs w:val="28"/>
        </w:rPr>
        <w:t>Lecturer: Farah Islam</w:t>
      </w:r>
    </w:p>
    <w:p w14:paraId="122C6CEB" w14:textId="38A52186" w:rsidR="006444EC" w:rsidRPr="00E52802" w:rsidRDefault="009072A1" w:rsidP="00EA7331">
      <w:pPr>
        <w:jc w:val="both"/>
        <w:rPr>
          <w:rFonts w:ascii="Arial" w:hAnsi="Arial" w:cs="Arial"/>
          <w:b/>
          <w:bCs/>
          <w:sz w:val="28"/>
          <w:szCs w:val="28"/>
        </w:rPr>
      </w:pPr>
      <w:r>
        <w:rPr>
          <w:rFonts w:ascii="Arial" w:hAnsi="Arial" w:cs="Arial"/>
          <w:b/>
          <w:bCs/>
          <w:sz w:val="28"/>
          <w:szCs w:val="28"/>
        </w:rPr>
        <w:t>Study Case. Mrs Thompson</w:t>
      </w:r>
    </w:p>
    <w:p w14:paraId="5CF69A5A" w14:textId="2744C366" w:rsidR="00EA7331" w:rsidRPr="00E52802" w:rsidRDefault="00EA7331" w:rsidP="00EA7331">
      <w:pPr>
        <w:jc w:val="both"/>
        <w:rPr>
          <w:rFonts w:ascii="Arial" w:hAnsi="Arial" w:cs="Arial"/>
          <w:b/>
          <w:bCs/>
          <w:sz w:val="28"/>
          <w:szCs w:val="28"/>
        </w:rPr>
      </w:pPr>
      <w:r w:rsidRPr="00E52802">
        <w:rPr>
          <w:rFonts w:ascii="Arial" w:hAnsi="Arial" w:cs="Arial"/>
          <w:b/>
          <w:bCs/>
          <w:sz w:val="28"/>
          <w:szCs w:val="28"/>
        </w:rPr>
        <w:t xml:space="preserve">Submitted on:  </w:t>
      </w:r>
      <w:r w:rsidR="00C73C4A">
        <w:rPr>
          <w:rFonts w:ascii="Arial" w:hAnsi="Arial" w:cs="Arial"/>
          <w:b/>
          <w:bCs/>
          <w:sz w:val="28"/>
          <w:szCs w:val="28"/>
        </w:rPr>
        <w:t>24/07/2026</w:t>
      </w:r>
    </w:p>
    <w:p w14:paraId="7B8C48D5" w14:textId="77777777" w:rsidR="00EA7331" w:rsidRPr="00E52802" w:rsidRDefault="00EA7331" w:rsidP="00EA7331">
      <w:pPr>
        <w:jc w:val="both"/>
        <w:rPr>
          <w:rFonts w:asciiTheme="minorBidi" w:hAnsiTheme="minorBidi"/>
          <w:b/>
          <w:bCs/>
          <w:sz w:val="28"/>
          <w:szCs w:val="28"/>
        </w:rPr>
      </w:pPr>
      <w:r w:rsidRPr="00E52802">
        <w:rPr>
          <w:rFonts w:asciiTheme="minorBidi" w:hAnsiTheme="minorBidi"/>
          <w:b/>
          <w:bCs/>
          <w:sz w:val="28"/>
          <w:szCs w:val="28"/>
        </w:rPr>
        <w:t xml:space="preserve">  </w:t>
      </w:r>
    </w:p>
    <w:p w14:paraId="63414076" w14:textId="77777777" w:rsidR="00D75088" w:rsidRDefault="00D75088" w:rsidP="00152A06">
      <w:pPr>
        <w:rPr>
          <w:rFonts w:ascii="Arial" w:hAnsi="Arial" w:cs="Arial"/>
          <w:sz w:val="22"/>
          <w:szCs w:val="22"/>
        </w:rPr>
      </w:pPr>
    </w:p>
    <w:p w14:paraId="03698037" w14:textId="77777777" w:rsidR="00141F90" w:rsidRDefault="00141F90" w:rsidP="00152A06">
      <w:pPr>
        <w:rPr>
          <w:rFonts w:ascii="Arial" w:hAnsi="Arial" w:cs="Arial"/>
          <w:sz w:val="22"/>
          <w:szCs w:val="22"/>
        </w:rPr>
      </w:pPr>
    </w:p>
    <w:p w14:paraId="1E2EAEAE" w14:textId="77777777" w:rsidR="00141F90" w:rsidRDefault="00141F90" w:rsidP="00152A06">
      <w:pPr>
        <w:rPr>
          <w:rFonts w:ascii="Arial" w:hAnsi="Arial" w:cs="Arial"/>
          <w:sz w:val="22"/>
          <w:szCs w:val="22"/>
        </w:rPr>
      </w:pPr>
    </w:p>
    <w:p w14:paraId="35FFBAA1" w14:textId="77777777" w:rsidR="00141F90" w:rsidRDefault="00141F90" w:rsidP="00152A06">
      <w:pPr>
        <w:rPr>
          <w:rFonts w:ascii="Arial" w:hAnsi="Arial" w:cs="Arial"/>
          <w:sz w:val="22"/>
          <w:szCs w:val="22"/>
        </w:rPr>
      </w:pPr>
    </w:p>
    <w:p w14:paraId="68F3AFE6" w14:textId="77777777" w:rsidR="00141F90" w:rsidRDefault="00141F90" w:rsidP="00152A06">
      <w:pPr>
        <w:rPr>
          <w:rFonts w:ascii="Arial" w:hAnsi="Arial" w:cs="Arial"/>
          <w:sz w:val="22"/>
          <w:szCs w:val="22"/>
        </w:rPr>
      </w:pPr>
    </w:p>
    <w:p w14:paraId="638EB4B4" w14:textId="77777777" w:rsidR="00141F90" w:rsidRDefault="00141F90" w:rsidP="00152A06">
      <w:pPr>
        <w:rPr>
          <w:rFonts w:ascii="Arial" w:hAnsi="Arial" w:cs="Arial"/>
          <w:sz w:val="22"/>
          <w:szCs w:val="22"/>
        </w:rPr>
      </w:pPr>
    </w:p>
    <w:p w14:paraId="379A3865" w14:textId="77777777" w:rsidR="00141F90" w:rsidRDefault="00141F90" w:rsidP="00152A06">
      <w:pPr>
        <w:rPr>
          <w:rFonts w:ascii="Arial" w:hAnsi="Arial" w:cs="Arial"/>
          <w:sz w:val="22"/>
          <w:szCs w:val="22"/>
        </w:rPr>
      </w:pPr>
    </w:p>
    <w:p w14:paraId="654A4C49" w14:textId="77777777" w:rsidR="00141F90" w:rsidRDefault="00141F90" w:rsidP="00152A06">
      <w:pPr>
        <w:rPr>
          <w:rFonts w:ascii="Arial" w:hAnsi="Arial" w:cs="Arial"/>
          <w:sz w:val="22"/>
          <w:szCs w:val="22"/>
        </w:rPr>
      </w:pPr>
    </w:p>
    <w:p w14:paraId="13A7C101" w14:textId="77777777" w:rsidR="00141F90" w:rsidRDefault="00141F90" w:rsidP="00152A06">
      <w:pPr>
        <w:rPr>
          <w:rFonts w:ascii="Arial" w:hAnsi="Arial" w:cs="Arial"/>
          <w:sz w:val="22"/>
          <w:szCs w:val="22"/>
        </w:rPr>
      </w:pPr>
    </w:p>
    <w:p w14:paraId="22353A42" w14:textId="77777777" w:rsidR="00141F90" w:rsidRDefault="00141F90" w:rsidP="00152A06">
      <w:pPr>
        <w:rPr>
          <w:rFonts w:ascii="Arial" w:hAnsi="Arial" w:cs="Arial"/>
          <w:sz w:val="22"/>
          <w:szCs w:val="22"/>
        </w:rPr>
      </w:pPr>
    </w:p>
    <w:p w14:paraId="3B5C4D2C" w14:textId="77777777" w:rsidR="00141F90" w:rsidRDefault="00141F90" w:rsidP="00152A06">
      <w:pPr>
        <w:rPr>
          <w:rFonts w:ascii="Arial" w:hAnsi="Arial" w:cs="Arial"/>
          <w:sz w:val="22"/>
          <w:szCs w:val="22"/>
        </w:rPr>
      </w:pPr>
    </w:p>
    <w:p w14:paraId="092B5D1E" w14:textId="77777777" w:rsidR="00141F90" w:rsidRDefault="00141F90" w:rsidP="00152A06">
      <w:pPr>
        <w:rPr>
          <w:rFonts w:ascii="Arial" w:hAnsi="Arial" w:cs="Arial"/>
          <w:sz w:val="22"/>
          <w:szCs w:val="22"/>
        </w:rPr>
      </w:pPr>
    </w:p>
    <w:p w14:paraId="357AE389" w14:textId="77777777" w:rsidR="00141F90" w:rsidRDefault="00141F90" w:rsidP="00152A06">
      <w:pPr>
        <w:rPr>
          <w:rFonts w:ascii="Arial" w:hAnsi="Arial" w:cs="Arial"/>
          <w:sz w:val="22"/>
          <w:szCs w:val="22"/>
        </w:rPr>
      </w:pPr>
    </w:p>
    <w:p w14:paraId="4465CA3C" w14:textId="77777777" w:rsidR="00AE49CD" w:rsidRDefault="00AE49CD" w:rsidP="00152A06">
      <w:pPr>
        <w:rPr>
          <w:rFonts w:ascii="Arial" w:hAnsi="Arial" w:cs="Arial"/>
          <w:sz w:val="22"/>
          <w:szCs w:val="22"/>
        </w:rPr>
      </w:pPr>
    </w:p>
    <w:p w14:paraId="5B24551D" w14:textId="77777777" w:rsidR="00807645" w:rsidRPr="000C4DFB" w:rsidRDefault="00807645" w:rsidP="00807645">
      <w:pPr>
        <w:rPr>
          <w:rFonts w:ascii="Arial" w:hAnsi="Arial" w:cs="Arial"/>
          <w:b/>
          <w:bCs/>
          <w:sz w:val="22"/>
          <w:szCs w:val="22"/>
        </w:rPr>
      </w:pPr>
      <w:r w:rsidRPr="000C4DFB">
        <w:rPr>
          <w:rFonts w:ascii="Arial" w:hAnsi="Arial" w:cs="Arial"/>
          <w:b/>
          <w:bCs/>
          <w:sz w:val="22"/>
          <w:szCs w:val="22"/>
        </w:rPr>
        <w:lastRenderedPageBreak/>
        <w:t>Introduction</w:t>
      </w:r>
    </w:p>
    <w:p w14:paraId="6B7A0795" w14:textId="18C9D986" w:rsidR="00152A06" w:rsidRPr="000C4DFB" w:rsidRDefault="00152A06" w:rsidP="00152A06">
      <w:pPr>
        <w:rPr>
          <w:rFonts w:ascii="Arial" w:hAnsi="Arial" w:cs="Arial"/>
          <w:sz w:val="22"/>
          <w:szCs w:val="22"/>
        </w:rPr>
      </w:pPr>
      <w:r w:rsidRPr="000C4DFB">
        <w:rPr>
          <w:rFonts w:ascii="Arial" w:hAnsi="Arial" w:cs="Arial"/>
          <w:sz w:val="22"/>
          <w:szCs w:val="22"/>
        </w:rPr>
        <w:t xml:space="preserve">Health and social care professionals are vital in </w:t>
      </w:r>
      <w:r w:rsidR="003733FA" w:rsidRPr="003733FA">
        <w:rPr>
          <w:rFonts w:ascii="Arial" w:hAnsi="Arial" w:cs="Arial"/>
          <w:sz w:val="22"/>
          <w:szCs w:val="22"/>
        </w:rPr>
        <w:t>promoting health, dignity, safety, and wellbeing through</w:t>
      </w:r>
      <w:r w:rsidRPr="000C4DFB">
        <w:rPr>
          <w:rFonts w:ascii="Arial" w:hAnsi="Arial" w:cs="Arial"/>
          <w:sz w:val="22"/>
          <w:szCs w:val="22"/>
        </w:rPr>
        <w:t xml:space="preserve"> person-centred care. They deliver high-quality care that requires effective communication, accurate administration, and collaboration between professionals. This is particularly important for supporting older individuals who have cognitive, physical and social care needs.</w:t>
      </w:r>
    </w:p>
    <w:p w14:paraId="64784CA5" w14:textId="77777777" w:rsidR="00152A06" w:rsidRPr="000C4DFB" w:rsidRDefault="00152A06" w:rsidP="00152A06">
      <w:pPr>
        <w:rPr>
          <w:rFonts w:ascii="Arial" w:hAnsi="Arial" w:cs="Arial"/>
          <w:sz w:val="22"/>
          <w:szCs w:val="22"/>
        </w:rPr>
      </w:pPr>
      <w:r w:rsidRPr="000C4DFB">
        <w:rPr>
          <w:rFonts w:ascii="Arial" w:hAnsi="Arial" w:cs="Arial"/>
          <w:sz w:val="22"/>
          <w:szCs w:val="22"/>
        </w:rPr>
        <w:t>The report’s focus is on Mrs Thompson, an 84 year of age woman recently discharged from hospital following a case of pneumonia. She lives by herself in sheltered housing, has mild dementia and receives domiciliary care twice daily, with an effect on her memory of taking medication. Concerns over missed medication, an increase in confusion, and a recent incident outside her house show a need for coordinated care. The report looks into the importance of good administrative practice, effective communication and collaborative work, supported by UK legislation and guidance, to demonstrate how safe person-focused care can improve her outcomes.</w:t>
      </w:r>
    </w:p>
    <w:p w14:paraId="71C2B407" w14:textId="77777777" w:rsidR="000C4DFB" w:rsidRDefault="000C4DFB" w:rsidP="00152A06">
      <w:pPr>
        <w:rPr>
          <w:rFonts w:ascii="Arial" w:hAnsi="Arial" w:cs="Arial"/>
          <w:b/>
          <w:bCs/>
          <w:sz w:val="22"/>
          <w:szCs w:val="22"/>
        </w:rPr>
      </w:pPr>
    </w:p>
    <w:p w14:paraId="16D08BAD" w14:textId="6543B6A5" w:rsidR="00152A06" w:rsidRPr="000C4DFB" w:rsidRDefault="00152A06" w:rsidP="00152A06">
      <w:pPr>
        <w:rPr>
          <w:rFonts w:ascii="Arial" w:hAnsi="Arial" w:cs="Arial"/>
          <w:b/>
          <w:bCs/>
          <w:sz w:val="22"/>
          <w:szCs w:val="22"/>
        </w:rPr>
      </w:pPr>
      <w:r w:rsidRPr="000C4DFB">
        <w:rPr>
          <w:rFonts w:ascii="Arial" w:hAnsi="Arial" w:cs="Arial"/>
          <w:b/>
          <w:bCs/>
          <w:sz w:val="22"/>
          <w:szCs w:val="22"/>
        </w:rPr>
        <w:t>1. The Importance of Effective Communication within the Context of Mrs Thompson's Care</w:t>
      </w:r>
    </w:p>
    <w:p w14:paraId="5DA91A77" w14:textId="77777777" w:rsidR="00152A06" w:rsidRPr="000C4DFB" w:rsidRDefault="00152A06" w:rsidP="00152A06">
      <w:pPr>
        <w:rPr>
          <w:rFonts w:ascii="Arial" w:hAnsi="Arial" w:cs="Arial"/>
          <w:sz w:val="22"/>
          <w:szCs w:val="22"/>
        </w:rPr>
      </w:pPr>
      <w:r w:rsidRPr="000C4DFB">
        <w:rPr>
          <w:rFonts w:ascii="Arial" w:hAnsi="Arial" w:cs="Arial"/>
          <w:sz w:val="22"/>
          <w:szCs w:val="22"/>
        </w:rPr>
        <w:t>Effective communication is essential for effective, safe and person-centred care. It allows professionals to exchange accurate information, build trusting relationships, identify risks and involve an individual in their care decisions. Mrs Thompson’s case, as an 84-year-old lady recovering from pneumonia living alone, and with a mild case of dementia, it’s particularly important that clear communication is used, as missed medication, an increase in confusion and concerns over safeguarding place her at a greater risk of harm.</w:t>
      </w:r>
    </w:p>
    <w:p w14:paraId="27040645" w14:textId="77777777" w:rsidR="009501E4" w:rsidRPr="000C4DFB" w:rsidRDefault="009501E4" w:rsidP="009501E4">
      <w:pPr>
        <w:rPr>
          <w:rFonts w:ascii="Arial" w:hAnsi="Arial" w:cs="Arial"/>
          <w:sz w:val="22"/>
          <w:szCs w:val="22"/>
        </w:rPr>
      </w:pPr>
      <w:r w:rsidRPr="000C4DFB">
        <w:rPr>
          <w:rFonts w:ascii="Arial" w:hAnsi="Arial" w:cs="Arial"/>
          <w:sz w:val="22"/>
          <w:szCs w:val="22"/>
        </w:rPr>
        <w:t>Professionals must adapt their communication with Mrs Thompson to meet her cognitive needs by using clear language, maintaining eye contact, speaking slowly, and allowing plenty of time for her to respond. Information, particularly about her care plan and medication, should be explained in smaller stages and when necessary reinforced. Active listening is also important as changes in Mrs Thompson’s facial expressions, body language and behaviours can indicate anxiety, confusion, pain or other unmet needs. Using empathy and reassurance will help professionals to identify concerns early on and provide care reflecting her wishes and promoting her wellbeing.</w:t>
      </w:r>
    </w:p>
    <w:p w14:paraId="3649D636" w14:textId="77777777" w:rsidR="009501E4" w:rsidRPr="000C4DFB" w:rsidRDefault="009501E4" w:rsidP="009501E4">
      <w:pPr>
        <w:rPr>
          <w:rFonts w:ascii="Arial" w:hAnsi="Arial" w:cs="Arial"/>
          <w:sz w:val="22"/>
          <w:szCs w:val="22"/>
        </w:rPr>
      </w:pPr>
      <w:r w:rsidRPr="000C4DFB">
        <w:rPr>
          <w:rFonts w:ascii="Arial" w:hAnsi="Arial" w:cs="Arial"/>
          <w:sz w:val="22"/>
          <w:szCs w:val="22"/>
        </w:rPr>
        <w:t>Communication must also involve Mrs Thompson’s family, with her consent and, where appropriate or in her best interests, decisions are made. Valuable information can be provided by family members about changes in her routines, behaviours and medication compliance that may not be seen on shorter care visits. This is while still maintaining confidentiality and only sharing information according to professional and legal requirements.</w:t>
      </w:r>
    </w:p>
    <w:p w14:paraId="7854E0FF" w14:textId="459C0521" w:rsidR="00A12895" w:rsidRPr="000C4DFB" w:rsidRDefault="00A12895" w:rsidP="00A12895">
      <w:pPr>
        <w:rPr>
          <w:rFonts w:ascii="Arial" w:hAnsi="Arial" w:cs="Arial"/>
          <w:sz w:val="22"/>
          <w:szCs w:val="22"/>
        </w:rPr>
      </w:pPr>
      <w:r w:rsidRPr="000C4DFB">
        <w:rPr>
          <w:rFonts w:ascii="Arial" w:hAnsi="Arial" w:cs="Arial"/>
          <w:sz w:val="22"/>
          <w:szCs w:val="22"/>
        </w:rPr>
        <w:t xml:space="preserve">Effective communication requires </w:t>
      </w:r>
      <w:r w:rsidR="006E276B" w:rsidRPr="000C4DFB">
        <w:rPr>
          <w:rFonts w:ascii="Arial" w:hAnsi="Arial" w:cs="Arial"/>
          <w:sz w:val="22"/>
          <w:szCs w:val="22"/>
        </w:rPr>
        <w:t>suitable</w:t>
      </w:r>
      <w:r w:rsidRPr="000C4DFB">
        <w:rPr>
          <w:rFonts w:ascii="Arial" w:hAnsi="Arial" w:cs="Arial"/>
          <w:sz w:val="22"/>
          <w:szCs w:val="22"/>
        </w:rPr>
        <w:t xml:space="preserve"> changes for </w:t>
      </w:r>
      <w:r w:rsidR="006E276B" w:rsidRPr="000C4DFB">
        <w:rPr>
          <w:rFonts w:ascii="Arial" w:hAnsi="Arial" w:cs="Arial"/>
          <w:sz w:val="22"/>
          <w:szCs w:val="22"/>
        </w:rPr>
        <w:t>those</w:t>
      </w:r>
      <w:r w:rsidRPr="000C4DFB">
        <w:rPr>
          <w:rFonts w:ascii="Arial" w:hAnsi="Arial" w:cs="Arial"/>
          <w:sz w:val="22"/>
          <w:szCs w:val="22"/>
        </w:rPr>
        <w:t xml:space="preserve"> with disabilities </w:t>
      </w:r>
      <w:r w:rsidR="006E276B" w:rsidRPr="000C4DFB">
        <w:rPr>
          <w:rFonts w:ascii="Arial" w:hAnsi="Arial" w:cs="Arial"/>
          <w:sz w:val="22"/>
          <w:szCs w:val="22"/>
        </w:rPr>
        <w:t>to abide by</w:t>
      </w:r>
      <w:r w:rsidRPr="000C4DFB">
        <w:rPr>
          <w:rFonts w:ascii="Arial" w:hAnsi="Arial" w:cs="Arial"/>
          <w:sz w:val="22"/>
          <w:szCs w:val="22"/>
        </w:rPr>
        <w:t xml:space="preserve"> the Equality Act 2010. In Mrs Thompson’s case, professionals must </w:t>
      </w:r>
      <w:r w:rsidR="006E276B" w:rsidRPr="000C4DFB">
        <w:rPr>
          <w:rFonts w:ascii="Arial" w:hAnsi="Arial" w:cs="Arial"/>
          <w:sz w:val="22"/>
          <w:szCs w:val="22"/>
        </w:rPr>
        <w:t>tailor communication to ensure she can participate in</w:t>
      </w:r>
      <w:r w:rsidRPr="000C4DFB">
        <w:rPr>
          <w:rFonts w:ascii="Arial" w:hAnsi="Arial" w:cs="Arial"/>
          <w:sz w:val="22"/>
          <w:szCs w:val="22"/>
        </w:rPr>
        <w:t xml:space="preserve"> decisions about her care by understanding; this promotes </w:t>
      </w:r>
      <w:r w:rsidR="00CA1046" w:rsidRPr="000C4DFB">
        <w:rPr>
          <w:rFonts w:ascii="Arial" w:hAnsi="Arial" w:cs="Arial"/>
          <w:sz w:val="22"/>
          <w:szCs w:val="22"/>
        </w:rPr>
        <w:t xml:space="preserve">Mrs Thompson's </w:t>
      </w:r>
      <w:r w:rsidRPr="000C4DFB">
        <w:rPr>
          <w:rFonts w:ascii="Arial" w:hAnsi="Arial" w:cs="Arial"/>
          <w:sz w:val="22"/>
          <w:szCs w:val="22"/>
        </w:rPr>
        <w:t>dignity, equality, and inclusion</w:t>
      </w:r>
      <w:r w:rsidR="006E276B" w:rsidRPr="000C4DFB">
        <w:rPr>
          <w:rFonts w:ascii="Arial" w:hAnsi="Arial" w:cs="Arial"/>
          <w:sz w:val="22"/>
          <w:szCs w:val="22"/>
        </w:rPr>
        <w:t xml:space="preserve"> and improves her sense of wellbeing.</w:t>
      </w:r>
    </w:p>
    <w:p w14:paraId="28AAA692" w14:textId="64A5C5A1" w:rsidR="008A3491" w:rsidRPr="000C4DFB" w:rsidRDefault="008A3491" w:rsidP="008A3491">
      <w:pPr>
        <w:rPr>
          <w:rFonts w:ascii="Arial" w:hAnsi="Arial" w:cs="Arial"/>
          <w:sz w:val="22"/>
          <w:szCs w:val="22"/>
        </w:rPr>
      </w:pPr>
      <w:r w:rsidRPr="000C4DFB">
        <w:rPr>
          <w:rFonts w:ascii="Arial" w:hAnsi="Arial" w:cs="Arial"/>
          <w:sz w:val="22"/>
          <w:szCs w:val="22"/>
        </w:rPr>
        <w:t xml:space="preserve">Research shows </w:t>
      </w:r>
      <w:r w:rsidR="00CA1046" w:rsidRPr="000C4DFB">
        <w:rPr>
          <w:rFonts w:ascii="Arial" w:hAnsi="Arial" w:cs="Arial"/>
          <w:sz w:val="22"/>
          <w:szCs w:val="22"/>
        </w:rPr>
        <w:t xml:space="preserve">effective communication may help improve patient safety, strengthen the relationship between therapist and patient, and </w:t>
      </w:r>
      <w:r w:rsidRPr="000C4DFB">
        <w:rPr>
          <w:rFonts w:ascii="Arial" w:hAnsi="Arial" w:cs="Arial"/>
          <w:sz w:val="22"/>
          <w:szCs w:val="22"/>
        </w:rPr>
        <w:t xml:space="preserve">contribute to </w:t>
      </w:r>
      <w:r w:rsidR="00CA1046" w:rsidRPr="000C4DFB">
        <w:rPr>
          <w:rFonts w:ascii="Arial" w:hAnsi="Arial" w:cs="Arial"/>
          <w:sz w:val="22"/>
          <w:szCs w:val="22"/>
        </w:rPr>
        <w:t>improved</w:t>
      </w:r>
      <w:r w:rsidRPr="000C4DFB">
        <w:rPr>
          <w:rFonts w:ascii="Arial" w:hAnsi="Arial" w:cs="Arial"/>
          <w:sz w:val="22"/>
          <w:szCs w:val="22"/>
        </w:rPr>
        <w:t xml:space="preserve"> health outcomes </w:t>
      </w:r>
      <w:r w:rsidRPr="000C4DFB">
        <w:rPr>
          <w:rFonts w:ascii="Arial" w:hAnsi="Arial" w:cs="Arial"/>
          <w:sz w:val="22"/>
          <w:szCs w:val="22"/>
        </w:rPr>
        <w:lastRenderedPageBreak/>
        <w:t xml:space="preserve">(Bramhall, 2014). New evidence shows </w:t>
      </w:r>
      <w:r w:rsidR="00CA1046" w:rsidRPr="000C4DFB">
        <w:rPr>
          <w:rFonts w:ascii="Arial" w:hAnsi="Arial" w:cs="Arial"/>
          <w:sz w:val="22"/>
          <w:szCs w:val="22"/>
        </w:rPr>
        <w:t xml:space="preserve">that communication strategies tailored to the individual improve interactions with patients and help maintain </w:t>
      </w:r>
      <w:r w:rsidRPr="000C4DFB">
        <w:rPr>
          <w:rFonts w:ascii="Arial" w:hAnsi="Arial" w:cs="Arial"/>
          <w:sz w:val="22"/>
          <w:szCs w:val="22"/>
        </w:rPr>
        <w:t>dignity for those living with dementia (</w:t>
      </w:r>
      <w:proofErr w:type="spellStart"/>
      <w:r w:rsidRPr="000C4DFB">
        <w:rPr>
          <w:rFonts w:ascii="Arial" w:hAnsi="Arial" w:cs="Arial"/>
          <w:sz w:val="22"/>
          <w:szCs w:val="22"/>
        </w:rPr>
        <w:t>Mundadan</w:t>
      </w:r>
      <w:proofErr w:type="spellEnd"/>
      <w:r w:rsidRPr="000C4DFB">
        <w:rPr>
          <w:rFonts w:ascii="Arial" w:hAnsi="Arial" w:cs="Arial"/>
          <w:sz w:val="22"/>
          <w:szCs w:val="22"/>
        </w:rPr>
        <w:t xml:space="preserve"> </w:t>
      </w:r>
      <w:r w:rsidRPr="000C4DFB">
        <w:rPr>
          <w:rFonts w:ascii="Arial" w:hAnsi="Arial" w:cs="Arial"/>
          <w:i/>
          <w:iCs/>
          <w:sz w:val="22"/>
          <w:szCs w:val="22"/>
        </w:rPr>
        <w:t>et al.</w:t>
      </w:r>
      <w:r w:rsidRPr="000C4DFB">
        <w:rPr>
          <w:rFonts w:ascii="Arial" w:hAnsi="Arial" w:cs="Arial"/>
          <w:sz w:val="22"/>
          <w:szCs w:val="22"/>
        </w:rPr>
        <w:t xml:space="preserve">, 2023). </w:t>
      </w:r>
      <w:r w:rsidR="00807645" w:rsidRPr="000C4DFB">
        <w:rPr>
          <w:rFonts w:ascii="Arial" w:hAnsi="Arial" w:cs="Arial"/>
          <w:sz w:val="22"/>
          <w:szCs w:val="22"/>
        </w:rPr>
        <w:t>In Mrs Thompson’s case, a</w:t>
      </w:r>
      <w:r w:rsidRPr="000C4DFB">
        <w:rPr>
          <w:rFonts w:ascii="Arial" w:hAnsi="Arial" w:cs="Arial"/>
          <w:sz w:val="22"/>
          <w:szCs w:val="22"/>
        </w:rPr>
        <w:t xml:space="preserve">pplying </w:t>
      </w:r>
      <w:r w:rsidR="00CA1046" w:rsidRPr="000C4DFB">
        <w:rPr>
          <w:rFonts w:ascii="Arial" w:hAnsi="Arial" w:cs="Arial"/>
          <w:sz w:val="22"/>
          <w:szCs w:val="22"/>
        </w:rPr>
        <w:t>these</w:t>
      </w:r>
      <w:r w:rsidRPr="000C4DFB">
        <w:rPr>
          <w:rFonts w:ascii="Arial" w:hAnsi="Arial" w:cs="Arial"/>
          <w:sz w:val="22"/>
          <w:szCs w:val="22"/>
        </w:rPr>
        <w:t xml:space="preserve"> approaches lets professionals see changes in </w:t>
      </w:r>
      <w:r w:rsidR="00807645" w:rsidRPr="000C4DFB">
        <w:rPr>
          <w:rFonts w:ascii="Arial" w:hAnsi="Arial" w:cs="Arial"/>
          <w:sz w:val="22"/>
          <w:szCs w:val="22"/>
        </w:rPr>
        <w:t>her</w:t>
      </w:r>
      <w:r w:rsidRPr="000C4DFB">
        <w:rPr>
          <w:rFonts w:ascii="Arial" w:hAnsi="Arial" w:cs="Arial"/>
          <w:sz w:val="22"/>
          <w:szCs w:val="22"/>
        </w:rPr>
        <w:t xml:space="preserve"> condition</w:t>
      </w:r>
      <w:r w:rsidR="00CA1046" w:rsidRPr="000C4DFB">
        <w:rPr>
          <w:rFonts w:ascii="Arial" w:hAnsi="Arial" w:cs="Arial"/>
          <w:sz w:val="22"/>
          <w:szCs w:val="22"/>
        </w:rPr>
        <w:t xml:space="preserve">, </w:t>
      </w:r>
      <w:r w:rsidR="00807645" w:rsidRPr="000C4DFB">
        <w:rPr>
          <w:rFonts w:ascii="Arial" w:hAnsi="Arial" w:cs="Arial"/>
          <w:sz w:val="22"/>
          <w:szCs w:val="22"/>
        </w:rPr>
        <w:t xml:space="preserve">organise multidisciplinary care, allow the involvement of her family and deliver </w:t>
      </w:r>
      <w:r w:rsidR="00CA1046" w:rsidRPr="000C4DFB">
        <w:rPr>
          <w:rFonts w:ascii="Arial" w:hAnsi="Arial" w:cs="Arial"/>
          <w:sz w:val="22"/>
          <w:szCs w:val="22"/>
        </w:rPr>
        <w:t xml:space="preserve">support that is </w:t>
      </w:r>
      <w:r w:rsidRPr="000C4DFB">
        <w:rPr>
          <w:rFonts w:ascii="Arial" w:hAnsi="Arial" w:cs="Arial"/>
          <w:sz w:val="22"/>
          <w:szCs w:val="22"/>
        </w:rPr>
        <w:t>compassionate</w:t>
      </w:r>
      <w:r w:rsidR="00CA1046" w:rsidRPr="000C4DFB">
        <w:rPr>
          <w:rFonts w:ascii="Arial" w:hAnsi="Arial" w:cs="Arial"/>
          <w:sz w:val="22"/>
          <w:szCs w:val="22"/>
        </w:rPr>
        <w:t xml:space="preserve"> and </w:t>
      </w:r>
      <w:r w:rsidRPr="000C4DFB">
        <w:rPr>
          <w:rFonts w:ascii="Arial" w:hAnsi="Arial" w:cs="Arial"/>
          <w:sz w:val="22"/>
          <w:szCs w:val="22"/>
        </w:rPr>
        <w:t>safe.</w:t>
      </w:r>
    </w:p>
    <w:p w14:paraId="79A08BB4" w14:textId="77777777" w:rsidR="00807645" w:rsidRPr="000C4DFB" w:rsidRDefault="00807645" w:rsidP="008A3491">
      <w:pPr>
        <w:rPr>
          <w:rFonts w:ascii="Arial" w:hAnsi="Arial" w:cs="Arial"/>
          <w:b/>
          <w:bCs/>
          <w:sz w:val="22"/>
          <w:szCs w:val="22"/>
        </w:rPr>
      </w:pPr>
    </w:p>
    <w:p w14:paraId="616FDEBA" w14:textId="71057684" w:rsidR="008A3491" w:rsidRPr="000C4DFB" w:rsidRDefault="008A3491" w:rsidP="008A3491">
      <w:pPr>
        <w:rPr>
          <w:rFonts w:ascii="Arial" w:hAnsi="Arial" w:cs="Arial"/>
          <w:b/>
          <w:bCs/>
          <w:sz w:val="22"/>
          <w:szCs w:val="22"/>
        </w:rPr>
      </w:pPr>
      <w:r w:rsidRPr="000C4DFB">
        <w:rPr>
          <w:rFonts w:ascii="Arial" w:hAnsi="Arial" w:cs="Arial"/>
          <w:b/>
          <w:bCs/>
          <w:sz w:val="22"/>
          <w:szCs w:val="22"/>
        </w:rPr>
        <w:t>2. The Importance of Good Administrative Skills within Professional Practice in Mrs Thompson's Care</w:t>
      </w:r>
    </w:p>
    <w:p w14:paraId="10748813" w14:textId="77777777" w:rsidR="00B34841" w:rsidRPr="000C4DFB" w:rsidRDefault="00B34841" w:rsidP="00B34841">
      <w:pPr>
        <w:rPr>
          <w:rFonts w:ascii="Arial" w:hAnsi="Arial" w:cs="Arial"/>
          <w:sz w:val="22"/>
          <w:szCs w:val="22"/>
        </w:rPr>
      </w:pPr>
      <w:r w:rsidRPr="000C4DFB">
        <w:rPr>
          <w:rFonts w:ascii="Arial" w:hAnsi="Arial" w:cs="Arial"/>
          <w:sz w:val="22"/>
          <w:szCs w:val="22"/>
        </w:rPr>
        <w:t>Quality administration practices are essential for delivering effective, safe person-centred care, including accurate medication documentation, record-keeping, confidentiality, incident reporting and appropriate information sharing. This supports continuity of care, enables professionals to make well-informed decisions and reduce errors. In the case of Mrs Thompson, it's particularly important to have accurate administration, as missed medication can result in added confusion and concerns over safeguarding, showing a need for quick recording and follow-up.</w:t>
      </w:r>
    </w:p>
    <w:p w14:paraId="235FC087" w14:textId="77777777" w:rsidR="00B34841" w:rsidRPr="000C4DFB" w:rsidRDefault="00B34841" w:rsidP="00B34841">
      <w:pPr>
        <w:rPr>
          <w:rFonts w:ascii="Arial" w:hAnsi="Arial" w:cs="Arial"/>
          <w:sz w:val="22"/>
          <w:szCs w:val="22"/>
        </w:rPr>
      </w:pPr>
      <w:r w:rsidRPr="000C4DFB">
        <w:rPr>
          <w:rFonts w:ascii="Arial" w:hAnsi="Arial" w:cs="Arial"/>
          <w:sz w:val="22"/>
          <w:szCs w:val="22"/>
        </w:rPr>
        <w:t>It is a professional responsibility and legal requirement to keep accurate records. They must be factual, clear and completed promptly after care is given. Mrs Thompson’s care workers should complete Medication Administration Records (MAR) accurately, showing when medication is administered, missed or refused, along with any changes in her behaviour, memory or physical health. Documenting these things enables a community nurse, pharmacist, GP, social worker or any other professional involved in her care to identify risks, review her condition and make informed decisions. NICE (2015) states that accurate medicine documentation will support safe medication management, and the Care Quality Commission (2025) (CQC) states records should be complete, securely maintained and accurate in order to promote safe care.</w:t>
      </w:r>
    </w:p>
    <w:p w14:paraId="0E818C7E" w14:textId="48EF1E38" w:rsidR="0094543A" w:rsidRPr="000C4DFB" w:rsidRDefault="0094543A" w:rsidP="0094543A">
      <w:pPr>
        <w:rPr>
          <w:rFonts w:ascii="Arial" w:hAnsi="Arial" w:cs="Arial"/>
          <w:sz w:val="22"/>
          <w:szCs w:val="22"/>
        </w:rPr>
      </w:pPr>
      <w:r w:rsidRPr="000C4DFB">
        <w:rPr>
          <w:rFonts w:ascii="Arial" w:hAnsi="Arial" w:cs="Arial"/>
          <w:sz w:val="22"/>
          <w:szCs w:val="22"/>
        </w:rPr>
        <w:t>Another key administrative responsibility is confidentiality. The UK General Data Protection Regulation (UK GDPR) and Data Protection Act 2018 set requirements for personal information to be stored, collected, and shared securely and lawfully. Mrs Thompson's information should only be seen by professionals</w:t>
      </w:r>
      <w:r w:rsidR="00807645" w:rsidRPr="000C4DFB">
        <w:rPr>
          <w:rFonts w:ascii="Arial" w:hAnsi="Arial" w:cs="Arial"/>
          <w:sz w:val="22"/>
          <w:szCs w:val="22"/>
        </w:rPr>
        <w:t xml:space="preserve"> who are</w:t>
      </w:r>
      <w:r w:rsidRPr="000C4DFB">
        <w:rPr>
          <w:rFonts w:ascii="Arial" w:hAnsi="Arial" w:cs="Arial"/>
          <w:sz w:val="22"/>
          <w:szCs w:val="22"/>
        </w:rPr>
        <w:t xml:space="preserve"> involved in her care and shared with her consent when possible. However, where safeguarding concerns and/or risks of serious harm are present, relevant information can be shared in an appropriate manner, protecting </w:t>
      </w:r>
      <w:r w:rsidR="00807645" w:rsidRPr="000C4DFB">
        <w:rPr>
          <w:rFonts w:ascii="Arial" w:hAnsi="Arial" w:cs="Arial"/>
          <w:sz w:val="22"/>
          <w:szCs w:val="22"/>
        </w:rPr>
        <w:t xml:space="preserve">Mrs Thompson’s </w:t>
      </w:r>
      <w:r w:rsidRPr="000C4DFB">
        <w:rPr>
          <w:rFonts w:ascii="Arial" w:hAnsi="Arial" w:cs="Arial"/>
          <w:sz w:val="22"/>
          <w:szCs w:val="22"/>
        </w:rPr>
        <w:t>wellbeing and complying with professional and legal guidance</w:t>
      </w:r>
      <w:r w:rsidR="00807645" w:rsidRPr="000C4DFB">
        <w:rPr>
          <w:rFonts w:ascii="Arial" w:hAnsi="Arial" w:cs="Arial"/>
          <w:sz w:val="22"/>
          <w:szCs w:val="22"/>
        </w:rPr>
        <w:t xml:space="preserve"> set out by the legislation</w:t>
      </w:r>
      <w:r w:rsidRPr="000C4DFB">
        <w:rPr>
          <w:rFonts w:ascii="Arial" w:hAnsi="Arial" w:cs="Arial"/>
          <w:sz w:val="22"/>
          <w:szCs w:val="22"/>
        </w:rPr>
        <w:t>.</w:t>
      </w:r>
    </w:p>
    <w:p w14:paraId="0ECF34F6" w14:textId="32E4DA02" w:rsidR="00910C42" w:rsidRPr="000C4DFB" w:rsidRDefault="00910C42" w:rsidP="00910C42">
      <w:pPr>
        <w:rPr>
          <w:rFonts w:ascii="Arial" w:hAnsi="Arial" w:cs="Arial"/>
          <w:sz w:val="22"/>
          <w:szCs w:val="22"/>
        </w:rPr>
      </w:pPr>
      <w:r w:rsidRPr="000C4DFB">
        <w:rPr>
          <w:rFonts w:ascii="Arial" w:hAnsi="Arial" w:cs="Arial"/>
          <w:sz w:val="22"/>
          <w:szCs w:val="22"/>
        </w:rPr>
        <w:t>Legislation from the Health and Social Care Act 2008 (Regulated Activities) Regulations 2014, supports administrative practice</w:t>
      </w:r>
      <w:r w:rsidR="00807645" w:rsidRPr="000C4DFB">
        <w:rPr>
          <w:rFonts w:ascii="Arial" w:hAnsi="Arial" w:cs="Arial"/>
          <w:sz w:val="22"/>
          <w:szCs w:val="22"/>
        </w:rPr>
        <w:t>s</w:t>
      </w:r>
      <w:r w:rsidRPr="000C4DFB">
        <w:rPr>
          <w:rFonts w:ascii="Arial" w:hAnsi="Arial" w:cs="Arial"/>
          <w:sz w:val="22"/>
          <w:szCs w:val="22"/>
        </w:rPr>
        <w:t xml:space="preserve">, requiring providers to keep concurrent and accurate records, and also the Care Act 2014, making safeguarding at-risk adults a duty of care. In the case of Mrs Thompson, accuracy in documentation ensures identification of concerns over her medication; increased confusion and self-neglect are </w:t>
      </w:r>
      <w:r w:rsidR="00807645" w:rsidRPr="000C4DFB">
        <w:rPr>
          <w:rFonts w:ascii="Arial" w:hAnsi="Arial" w:cs="Arial"/>
          <w:sz w:val="22"/>
          <w:szCs w:val="22"/>
        </w:rPr>
        <w:t>noticed</w:t>
      </w:r>
      <w:r w:rsidRPr="000C4DFB">
        <w:rPr>
          <w:rFonts w:ascii="Arial" w:hAnsi="Arial" w:cs="Arial"/>
          <w:sz w:val="22"/>
          <w:szCs w:val="22"/>
        </w:rPr>
        <w:t xml:space="preserve"> promptly to improve </w:t>
      </w:r>
      <w:r w:rsidR="00807645" w:rsidRPr="000C4DFB">
        <w:rPr>
          <w:rFonts w:ascii="Arial" w:hAnsi="Arial" w:cs="Arial"/>
          <w:sz w:val="22"/>
          <w:szCs w:val="22"/>
        </w:rPr>
        <w:t>Mrs Thompson’s</w:t>
      </w:r>
      <w:r w:rsidRPr="000C4DFB">
        <w:rPr>
          <w:rFonts w:ascii="Arial" w:hAnsi="Arial" w:cs="Arial"/>
          <w:sz w:val="22"/>
          <w:szCs w:val="22"/>
        </w:rPr>
        <w:t xml:space="preserve"> safety and wellbeing.</w:t>
      </w:r>
    </w:p>
    <w:p w14:paraId="5DDD533D" w14:textId="77777777" w:rsidR="00910C42" w:rsidRPr="000C4DFB" w:rsidRDefault="00910C42" w:rsidP="0094543A">
      <w:pPr>
        <w:rPr>
          <w:rFonts w:ascii="Arial" w:hAnsi="Arial" w:cs="Arial"/>
          <w:sz w:val="22"/>
          <w:szCs w:val="22"/>
        </w:rPr>
      </w:pPr>
    </w:p>
    <w:p w14:paraId="221D3309" w14:textId="77777777" w:rsidR="00807645" w:rsidRDefault="00807645" w:rsidP="0094543A">
      <w:pPr>
        <w:rPr>
          <w:rFonts w:ascii="Arial" w:hAnsi="Arial" w:cs="Arial"/>
          <w:b/>
          <w:bCs/>
          <w:sz w:val="22"/>
          <w:szCs w:val="22"/>
        </w:rPr>
      </w:pPr>
    </w:p>
    <w:p w14:paraId="5C700A60" w14:textId="77777777" w:rsidR="00930756" w:rsidRPr="000C4DFB" w:rsidRDefault="00930756" w:rsidP="0094543A">
      <w:pPr>
        <w:rPr>
          <w:rFonts w:ascii="Arial" w:hAnsi="Arial" w:cs="Arial"/>
          <w:b/>
          <w:bCs/>
          <w:sz w:val="22"/>
          <w:szCs w:val="22"/>
        </w:rPr>
      </w:pPr>
    </w:p>
    <w:p w14:paraId="3D6644C7" w14:textId="1F1C7765" w:rsidR="0094543A" w:rsidRPr="000C4DFB" w:rsidRDefault="0094543A" w:rsidP="0094543A">
      <w:pPr>
        <w:rPr>
          <w:rFonts w:ascii="Arial" w:hAnsi="Arial" w:cs="Arial"/>
          <w:b/>
          <w:bCs/>
          <w:sz w:val="22"/>
          <w:szCs w:val="22"/>
        </w:rPr>
      </w:pPr>
      <w:r w:rsidRPr="000C4DFB">
        <w:rPr>
          <w:rFonts w:ascii="Arial" w:hAnsi="Arial" w:cs="Arial"/>
          <w:b/>
          <w:bCs/>
          <w:sz w:val="22"/>
          <w:szCs w:val="22"/>
        </w:rPr>
        <w:lastRenderedPageBreak/>
        <w:t>3. The Importance of Collaborative Working in Mrs Thompson's Care</w:t>
      </w:r>
    </w:p>
    <w:p w14:paraId="7166EA48" w14:textId="77777777" w:rsidR="00F37A63" w:rsidRPr="000C4DFB" w:rsidRDefault="00F37A63" w:rsidP="00F37A63">
      <w:pPr>
        <w:rPr>
          <w:rFonts w:ascii="Arial" w:hAnsi="Arial" w:cs="Arial"/>
          <w:sz w:val="22"/>
          <w:szCs w:val="22"/>
        </w:rPr>
      </w:pPr>
      <w:r w:rsidRPr="000C4DFB">
        <w:rPr>
          <w:rFonts w:ascii="Arial" w:hAnsi="Arial" w:cs="Arial"/>
          <w:sz w:val="22"/>
          <w:szCs w:val="22"/>
        </w:rPr>
        <w:t>Collaborative working is essential in care as it enables the sharing of knowledge between professionals, safe delivery, coordination with interventions and person-focused care. Older individuals with complex cognitive, physical and social needs tend to require support from multiple services. With Mrs Thompson's care, her recent hospital discharge, missed medication, mild dementia, and concerns for safeguarding show a need for efficient multidisciplinary working for promotion of her health, independence and safety.</w:t>
      </w:r>
    </w:p>
    <w:p w14:paraId="1E55DFA9" w14:textId="77777777" w:rsidR="00A21182" w:rsidRPr="000C4DFB" w:rsidRDefault="00A21182" w:rsidP="00A21182">
      <w:pPr>
        <w:rPr>
          <w:rFonts w:ascii="Arial" w:hAnsi="Arial" w:cs="Arial"/>
          <w:sz w:val="22"/>
          <w:szCs w:val="22"/>
        </w:rPr>
      </w:pPr>
      <w:r w:rsidRPr="000C4DFB">
        <w:rPr>
          <w:rFonts w:ascii="Arial" w:hAnsi="Arial" w:cs="Arial"/>
          <w:sz w:val="22"/>
          <w:szCs w:val="22"/>
        </w:rPr>
        <w:t>Multiple professionals from various fields contribute to the care of Mrs Thompson. This includes the GP reviewing her medication and health, and the community nurse monitoring her recovery from pneumonia and changes in her condition. Domiciliary care staff are involved in providing her daily support, assisting with medication, recording concerns and observing any changes in her health. Pharmacists review her medicines and recommend strategies like monitoring dosage to improve medication adherence. Social workers and local authority safeguarding teams work together to assess risks, ensure appropriate safeguarding measures, and coordinate support services.</w:t>
      </w:r>
    </w:p>
    <w:p w14:paraId="08122404" w14:textId="77777777" w:rsidR="00A21182" w:rsidRPr="000C4DFB" w:rsidRDefault="00A21182" w:rsidP="00A21182">
      <w:pPr>
        <w:rPr>
          <w:rFonts w:ascii="Arial" w:hAnsi="Arial" w:cs="Arial"/>
          <w:sz w:val="22"/>
          <w:szCs w:val="22"/>
        </w:rPr>
      </w:pPr>
      <w:r w:rsidRPr="000C4DFB">
        <w:rPr>
          <w:rFonts w:ascii="Arial" w:hAnsi="Arial" w:cs="Arial"/>
          <w:sz w:val="22"/>
          <w:szCs w:val="22"/>
        </w:rPr>
        <w:t>Solid effective collaboration between professionals relies on concise communication, shared care plans, accurate record-keeping, and mutual respect between each other. Timely sharing of information allows potential issues to be noticed quickly, reduces errors amongst others, and supports correct decision making. The Care Act 2014 puts a duty on these organisations to work together in order to safeguard those at risk of neglect or abuse and promote their wellbeing. NICE (2018) recommends coordination of person-focused care for those living with dementia, improving continuity of care and maintenance of independence. The Social Care Institute for Excellence (SCIE, 2022) gave evidence to show that multidisciplinary collaboration strengthens communication, supports better outcomes and improves coordination of care for those with long-term and complex needs.</w:t>
      </w:r>
    </w:p>
    <w:p w14:paraId="5692B809" w14:textId="77777777" w:rsidR="009A0E7D" w:rsidRDefault="009A0E7D" w:rsidP="009A0E7D">
      <w:pPr>
        <w:rPr>
          <w:rFonts w:ascii="Arial" w:hAnsi="Arial" w:cs="Arial"/>
          <w:sz w:val="22"/>
          <w:szCs w:val="22"/>
        </w:rPr>
      </w:pPr>
      <w:r w:rsidRPr="000C4DFB">
        <w:rPr>
          <w:rFonts w:ascii="Arial" w:hAnsi="Arial" w:cs="Arial"/>
          <w:sz w:val="22"/>
          <w:szCs w:val="22"/>
        </w:rPr>
        <w:t>Poor communication, staff shortages, delays in sharing information, and unclear roles can affect collaborative working despite its benefits. This could lead to a delay in recognising Mrs Thompson's deteriorating dementia, further missed medication and continued concerns over safeguarding. This can be countered by holding regular meetings between multidisciplinary professionals, allowing them to work together effectively and provide a higher level of person-focused care.</w:t>
      </w:r>
    </w:p>
    <w:p w14:paraId="79A8280C" w14:textId="77777777" w:rsidR="000C4DFB" w:rsidRDefault="000C4DFB" w:rsidP="009A0E7D">
      <w:pPr>
        <w:rPr>
          <w:rFonts w:ascii="Arial" w:hAnsi="Arial" w:cs="Arial"/>
          <w:sz w:val="22"/>
          <w:szCs w:val="22"/>
        </w:rPr>
      </w:pPr>
    </w:p>
    <w:p w14:paraId="0A468518" w14:textId="74A85A96" w:rsidR="009A0E7D" w:rsidRPr="000C4DFB" w:rsidRDefault="009A0E7D" w:rsidP="009A0E7D">
      <w:pPr>
        <w:rPr>
          <w:rFonts w:ascii="Arial" w:hAnsi="Arial" w:cs="Arial"/>
          <w:b/>
          <w:bCs/>
          <w:sz w:val="22"/>
          <w:szCs w:val="22"/>
        </w:rPr>
      </w:pPr>
      <w:r w:rsidRPr="000C4DFB">
        <w:rPr>
          <w:rFonts w:ascii="Arial" w:hAnsi="Arial" w:cs="Arial"/>
          <w:b/>
          <w:bCs/>
          <w:sz w:val="22"/>
          <w:szCs w:val="22"/>
        </w:rPr>
        <w:t>Conclusion</w:t>
      </w:r>
    </w:p>
    <w:p w14:paraId="2AB5E05B" w14:textId="553BB5D6" w:rsidR="00807645" w:rsidRDefault="006E276B" w:rsidP="000C4DFB">
      <w:pPr>
        <w:spacing w:line="360" w:lineRule="auto"/>
        <w:rPr>
          <w:rFonts w:ascii="Arial" w:hAnsi="Arial" w:cs="Arial"/>
          <w:sz w:val="22"/>
          <w:szCs w:val="22"/>
        </w:rPr>
      </w:pPr>
      <w:r w:rsidRPr="000C4DFB">
        <w:rPr>
          <w:rFonts w:ascii="Arial" w:hAnsi="Arial" w:cs="Arial"/>
          <w:sz w:val="22"/>
          <w:szCs w:val="22"/>
        </w:rPr>
        <w:t xml:space="preserve">Collaborative working, good administration practice and effective communication are integral to providing safe, person-centred, high-quality care. For Mrs Thompson, this is essential to manage the effects of dementia, recover from pneumonia, respond appropriately to concerns over safeguarding and reduce medication errors. This effective communication allows professionals to involve Mrs Thompson in decision-making and for them to understand her needs, this makes record-keeping accurate and effective, sharing information, promoting well-informed decision-making and continuity of care. Promoting Mrs Thompson's safety, wellbeing and dignity is possible through collaboration by allowing </w:t>
      </w:r>
      <w:r w:rsidRPr="000C4DFB">
        <w:rPr>
          <w:rFonts w:ascii="Arial" w:hAnsi="Arial" w:cs="Arial"/>
          <w:sz w:val="22"/>
          <w:szCs w:val="22"/>
        </w:rPr>
        <w:lastRenderedPageBreak/>
        <w:t xml:space="preserve">professionals to identify risks, coordinate interventions and provide support that is consistent. By using and applying relevant legislation, evidence-based practice and national guidance, these professionals can deliver coordinated care that improves Mrs Thompson's outcomes and maintains her quality of life and independence. </w:t>
      </w:r>
    </w:p>
    <w:p w14:paraId="20539475" w14:textId="77777777" w:rsidR="00646E0A" w:rsidRDefault="00646E0A" w:rsidP="000C4DFB">
      <w:pPr>
        <w:spacing w:line="360" w:lineRule="auto"/>
        <w:rPr>
          <w:rFonts w:ascii="Arial" w:hAnsi="Arial" w:cs="Arial"/>
          <w:sz w:val="22"/>
          <w:szCs w:val="22"/>
        </w:rPr>
      </w:pPr>
    </w:p>
    <w:p w14:paraId="7545E12B" w14:textId="77777777" w:rsidR="00646E0A" w:rsidRDefault="00646E0A" w:rsidP="000C4DFB">
      <w:pPr>
        <w:spacing w:line="360" w:lineRule="auto"/>
        <w:rPr>
          <w:rFonts w:ascii="Arial" w:hAnsi="Arial" w:cs="Arial"/>
          <w:sz w:val="22"/>
          <w:szCs w:val="22"/>
        </w:rPr>
      </w:pPr>
    </w:p>
    <w:p w14:paraId="5EBDBDCF" w14:textId="77777777" w:rsidR="00646E0A" w:rsidRDefault="00646E0A" w:rsidP="000C4DFB">
      <w:pPr>
        <w:spacing w:line="360" w:lineRule="auto"/>
        <w:rPr>
          <w:rFonts w:ascii="Arial" w:hAnsi="Arial" w:cs="Arial"/>
          <w:sz w:val="22"/>
          <w:szCs w:val="22"/>
        </w:rPr>
      </w:pPr>
    </w:p>
    <w:p w14:paraId="787DCF16" w14:textId="77777777" w:rsidR="00646E0A" w:rsidRPr="000C4DFB" w:rsidRDefault="00646E0A" w:rsidP="000C4DFB">
      <w:pPr>
        <w:spacing w:line="360" w:lineRule="auto"/>
        <w:rPr>
          <w:rFonts w:ascii="Arial" w:hAnsi="Arial" w:cs="Arial"/>
          <w:sz w:val="22"/>
          <w:szCs w:val="22"/>
        </w:rPr>
      </w:pPr>
    </w:p>
    <w:p w14:paraId="46E82E99" w14:textId="1E6CDE40" w:rsidR="00807645" w:rsidRPr="000C4DFB" w:rsidRDefault="00807645" w:rsidP="00807645">
      <w:pPr>
        <w:rPr>
          <w:sz w:val="22"/>
          <w:szCs w:val="22"/>
        </w:rPr>
      </w:pPr>
      <w:r w:rsidRPr="000C4DFB">
        <w:rPr>
          <w:rFonts w:ascii="Arial" w:hAnsi="Arial" w:cs="Arial"/>
          <w:b/>
          <w:bCs/>
          <w:sz w:val="22"/>
          <w:szCs w:val="22"/>
        </w:rPr>
        <w:t>References list:</w:t>
      </w:r>
    </w:p>
    <w:p w14:paraId="54506FDC"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Bramhall, E. (2014). Effective Communication Skills in Nursing Practice. </w:t>
      </w:r>
      <w:r w:rsidRPr="000C4DFB">
        <w:rPr>
          <w:rFonts w:ascii="Arial" w:hAnsi="Arial" w:cs="Arial"/>
          <w:i/>
          <w:iCs/>
          <w:sz w:val="22"/>
          <w:szCs w:val="22"/>
        </w:rPr>
        <w:t>Nursing Standard</w:t>
      </w:r>
      <w:r w:rsidRPr="000C4DFB">
        <w:rPr>
          <w:rFonts w:ascii="Arial" w:hAnsi="Arial" w:cs="Arial"/>
          <w:sz w:val="22"/>
          <w:szCs w:val="22"/>
        </w:rPr>
        <w:t>, [online] 29(14), pp.53–59. doi:10.7748/ns.29.14.53.e9355.</w:t>
      </w:r>
    </w:p>
    <w:p w14:paraId="78CB5A01" w14:textId="44E19F4F" w:rsidR="00807645" w:rsidRPr="000C4DFB" w:rsidRDefault="00807645" w:rsidP="00807645">
      <w:pPr>
        <w:rPr>
          <w:rFonts w:ascii="Arial" w:hAnsi="Arial" w:cs="Arial"/>
          <w:sz w:val="22"/>
          <w:szCs w:val="22"/>
        </w:rPr>
      </w:pPr>
      <w:r w:rsidRPr="000C4DFB">
        <w:rPr>
          <w:rFonts w:ascii="Arial" w:hAnsi="Arial" w:cs="Arial"/>
          <w:sz w:val="22"/>
          <w:szCs w:val="22"/>
        </w:rPr>
        <w:t xml:space="preserve">Care Quality Commission (2025). </w:t>
      </w:r>
      <w:r w:rsidRPr="000C4DFB">
        <w:rPr>
          <w:rFonts w:ascii="Arial" w:hAnsi="Arial" w:cs="Arial"/>
          <w:i/>
          <w:iCs/>
          <w:sz w:val="22"/>
          <w:szCs w:val="22"/>
        </w:rPr>
        <w:t>Regulation 17: Good Governance - Care Quality Commission</w:t>
      </w:r>
      <w:r w:rsidRPr="000C4DFB">
        <w:rPr>
          <w:rFonts w:ascii="Arial" w:hAnsi="Arial" w:cs="Arial"/>
          <w:sz w:val="22"/>
          <w:szCs w:val="22"/>
        </w:rPr>
        <w:t xml:space="preserve">. [online] </w:t>
      </w:r>
      <w:r w:rsidRPr="000C4DFB">
        <w:rPr>
          <w:rFonts w:ascii="Arial" w:hAnsi="Arial" w:cs="Arial"/>
          <w:i/>
          <w:iCs/>
          <w:sz w:val="22"/>
          <w:szCs w:val="22"/>
        </w:rPr>
        <w:t>Cqc.org.uk</w:t>
      </w:r>
      <w:r w:rsidRPr="000C4DFB">
        <w:rPr>
          <w:rFonts w:ascii="Arial" w:hAnsi="Arial" w:cs="Arial"/>
          <w:sz w:val="22"/>
          <w:szCs w:val="22"/>
        </w:rPr>
        <w:t>. Available at: https://www.cqc.org.uk/guidance-regulation/providers/regulations-service-providers-and-managers/health-social-care-act/regulation-17 [Accessed 23 July 2026].</w:t>
      </w:r>
    </w:p>
    <w:p w14:paraId="2C48E215"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Gov.UK (2010). </w:t>
      </w:r>
      <w:r w:rsidRPr="000C4DFB">
        <w:rPr>
          <w:rFonts w:ascii="Arial" w:hAnsi="Arial" w:cs="Arial"/>
          <w:i/>
          <w:iCs/>
          <w:sz w:val="22"/>
          <w:szCs w:val="22"/>
        </w:rPr>
        <w:t>Equality Act 2010</w:t>
      </w:r>
      <w:r w:rsidRPr="000C4DFB">
        <w:rPr>
          <w:rFonts w:ascii="Arial" w:hAnsi="Arial" w:cs="Arial"/>
          <w:sz w:val="22"/>
          <w:szCs w:val="22"/>
        </w:rPr>
        <w:t xml:space="preserve">. [online] </w:t>
      </w:r>
      <w:r w:rsidRPr="000C4DFB">
        <w:rPr>
          <w:rFonts w:ascii="Arial" w:hAnsi="Arial" w:cs="Arial"/>
          <w:i/>
          <w:iCs/>
          <w:sz w:val="22"/>
          <w:szCs w:val="22"/>
        </w:rPr>
        <w:t>Legislation.gov.uk</w:t>
      </w:r>
      <w:r w:rsidRPr="000C4DFB">
        <w:rPr>
          <w:rFonts w:ascii="Arial" w:hAnsi="Arial" w:cs="Arial"/>
          <w:sz w:val="22"/>
          <w:szCs w:val="22"/>
        </w:rPr>
        <w:t>. Available at: https://www.legislation.gov.uk/ukpga/2010/15/section/15 [Accessed 23 July 2026].</w:t>
      </w:r>
    </w:p>
    <w:p w14:paraId="076B928B" w14:textId="77777777" w:rsidR="00807645" w:rsidRPr="000C4DFB" w:rsidRDefault="00807645" w:rsidP="00807645">
      <w:pPr>
        <w:rPr>
          <w:rFonts w:ascii="Arial" w:hAnsi="Arial" w:cs="Arial"/>
          <w:b/>
          <w:bCs/>
          <w:sz w:val="22"/>
          <w:szCs w:val="22"/>
        </w:rPr>
      </w:pPr>
      <w:r w:rsidRPr="000C4DFB">
        <w:rPr>
          <w:rFonts w:ascii="Arial" w:hAnsi="Arial" w:cs="Arial"/>
          <w:sz w:val="22"/>
          <w:szCs w:val="22"/>
        </w:rPr>
        <w:t xml:space="preserve">GOV.UK (2014). </w:t>
      </w:r>
      <w:r w:rsidRPr="000C4DFB">
        <w:rPr>
          <w:rFonts w:ascii="Arial" w:hAnsi="Arial" w:cs="Arial"/>
          <w:i/>
          <w:iCs/>
          <w:sz w:val="22"/>
          <w:szCs w:val="22"/>
        </w:rPr>
        <w:t>Care Act 2014 (c. 23)</w:t>
      </w:r>
      <w:r w:rsidRPr="000C4DFB">
        <w:rPr>
          <w:rFonts w:ascii="Arial" w:hAnsi="Arial" w:cs="Arial"/>
          <w:sz w:val="22"/>
          <w:szCs w:val="22"/>
        </w:rPr>
        <w:t xml:space="preserve">. [online] </w:t>
      </w:r>
      <w:r w:rsidRPr="000C4DFB">
        <w:rPr>
          <w:rFonts w:ascii="Arial" w:hAnsi="Arial" w:cs="Arial"/>
          <w:i/>
          <w:iCs/>
          <w:sz w:val="22"/>
          <w:szCs w:val="22"/>
        </w:rPr>
        <w:t>Legislation.gov.uk</w:t>
      </w:r>
      <w:r w:rsidRPr="000C4DFB">
        <w:rPr>
          <w:rFonts w:ascii="Arial" w:hAnsi="Arial" w:cs="Arial"/>
          <w:sz w:val="22"/>
          <w:szCs w:val="22"/>
        </w:rPr>
        <w:t>. Available at: https://www.legislation.gov.uk/ukpga/2014/23/data.xht?wrap=true [Accessed 23 July 2026].</w:t>
      </w:r>
    </w:p>
    <w:p w14:paraId="59F30357"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Legislation.gov.uk (2014). </w:t>
      </w:r>
      <w:r w:rsidRPr="000C4DFB">
        <w:rPr>
          <w:rFonts w:ascii="Arial" w:hAnsi="Arial" w:cs="Arial"/>
          <w:i/>
          <w:iCs/>
          <w:sz w:val="22"/>
          <w:szCs w:val="22"/>
        </w:rPr>
        <w:t>The Health and Social Care Act 2008 (Regulated Activities) Regulations 2014</w:t>
      </w:r>
      <w:r w:rsidRPr="000C4DFB">
        <w:rPr>
          <w:rFonts w:ascii="Arial" w:hAnsi="Arial" w:cs="Arial"/>
          <w:sz w:val="22"/>
          <w:szCs w:val="22"/>
        </w:rPr>
        <w:t xml:space="preserve">. [online] </w:t>
      </w:r>
      <w:r w:rsidRPr="000C4DFB">
        <w:rPr>
          <w:rFonts w:ascii="Arial" w:hAnsi="Arial" w:cs="Arial"/>
          <w:i/>
          <w:iCs/>
          <w:sz w:val="22"/>
          <w:szCs w:val="22"/>
        </w:rPr>
        <w:t>Legislation.gov.uk</w:t>
      </w:r>
      <w:r w:rsidRPr="000C4DFB">
        <w:rPr>
          <w:rFonts w:ascii="Arial" w:hAnsi="Arial" w:cs="Arial"/>
          <w:sz w:val="22"/>
          <w:szCs w:val="22"/>
        </w:rPr>
        <w:t>. Available at: https://www.legislation.gov.uk/uksi/2014/2936/contents [Accessed 23 July 2026].</w:t>
      </w:r>
    </w:p>
    <w:p w14:paraId="14A7DD38" w14:textId="1C5D6827" w:rsidR="00807645" w:rsidRPr="000C4DFB" w:rsidRDefault="00807645" w:rsidP="00807645">
      <w:pPr>
        <w:rPr>
          <w:rFonts w:ascii="Arial" w:hAnsi="Arial" w:cs="Arial"/>
          <w:sz w:val="22"/>
          <w:szCs w:val="22"/>
        </w:rPr>
      </w:pPr>
      <w:proofErr w:type="spellStart"/>
      <w:r w:rsidRPr="000C4DFB">
        <w:rPr>
          <w:rFonts w:ascii="Arial" w:hAnsi="Arial" w:cs="Arial"/>
          <w:sz w:val="22"/>
          <w:szCs w:val="22"/>
        </w:rPr>
        <w:t>Mundadan</w:t>
      </w:r>
      <w:proofErr w:type="spellEnd"/>
      <w:r w:rsidRPr="000C4DFB">
        <w:rPr>
          <w:rFonts w:ascii="Arial" w:hAnsi="Arial" w:cs="Arial"/>
          <w:sz w:val="22"/>
          <w:szCs w:val="22"/>
        </w:rPr>
        <w:t xml:space="preserve">, R.G., </w:t>
      </w:r>
      <w:proofErr w:type="spellStart"/>
      <w:r w:rsidRPr="000C4DFB">
        <w:rPr>
          <w:rFonts w:ascii="Arial" w:hAnsi="Arial" w:cs="Arial"/>
          <w:sz w:val="22"/>
          <w:szCs w:val="22"/>
        </w:rPr>
        <w:t>Savundranayagam</w:t>
      </w:r>
      <w:proofErr w:type="spellEnd"/>
      <w:r w:rsidRPr="000C4DFB">
        <w:rPr>
          <w:rFonts w:ascii="Arial" w:hAnsi="Arial" w:cs="Arial"/>
          <w:sz w:val="22"/>
          <w:szCs w:val="22"/>
        </w:rPr>
        <w:t>, M.Y., Orange, J.B. and Murray, L. (2022). Language-Based Strategies that Support Person-</w:t>
      </w:r>
      <w:proofErr w:type="spellStart"/>
      <w:r w:rsidRPr="000C4DFB">
        <w:rPr>
          <w:rFonts w:ascii="Arial" w:hAnsi="Arial" w:cs="Arial"/>
          <w:sz w:val="22"/>
          <w:szCs w:val="22"/>
        </w:rPr>
        <w:t>Centered</w:t>
      </w:r>
      <w:proofErr w:type="spellEnd"/>
      <w:r w:rsidRPr="000C4DFB">
        <w:rPr>
          <w:rFonts w:ascii="Arial" w:hAnsi="Arial" w:cs="Arial"/>
          <w:sz w:val="22"/>
          <w:szCs w:val="22"/>
        </w:rPr>
        <w:t xml:space="preserve"> Communication in Formal Home Care Interactions with Persons Living with Dementia. </w:t>
      </w:r>
      <w:r w:rsidRPr="000C4DFB">
        <w:rPr>
          <w:rFonts w:ascii="Arial" w:hAnsi="Arial" w:cs="Arial"/>
          <w:i/>
          <w:iCs/>
          <w:sz w:val="22"/>
          <w:szCs w:val="22"/>
        </w:rPr>
        <w:t>Journal of Applied Gerontology</w:t>
      </w:r>
      <w:r w:rsidRPr="000C4DFB">
        <w:rPr>
          <w:rFonts w:ascii="Arial" w:hAnsi="Arial" w:cs="Arial"/>
          <w:sz w:val="22"/>
          <w:szCs w:val="22"/>
        </w:rPr>
        <w:t>, 42(4), p.073346482211428. doi:10.1177/07334648221142852.</w:t>
      </w:r>
    </w:p>
    <w:p w14:paraId="785EAF7F"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NICE (2015). </w:t>
      </w:r>
      <w:r w:rsidRPr="000C4DFB">
        <w:rPr>
          <w:rFonts w:ascii="Arial" w:hAnsi="Arial" w:cs="Arial"/>
          <w:i/>
          <w:iCs/>
          <w:sz w:val="22"/>
          <w:szCs w:val="22"/>
        </w:rPr>
        <w:t>Overview | Medicines optimisation: the Safe and Effective Use of Medicines to Enable the Best Possible Outcomes | Guidance | NICE</w:t>
      </w:r>
      <w:r w:rsidRPr="000C4DFB">
        <w:rPr>
          <w:rFonts w:ascii="Arial" w:hAnsi="Arial" w:cs="Arial"/>
          <w:sz w:val="22"/>
          <w:szCs w:val="22"/>
        </w:rPr>
        <w:t xml:space="preserve">. [online] </w:t>
      </w:r>
      <w:r w:rsidRPr="000C4DFB">
        <w:rPr>
          <w:rFonts w:ascii="Arial" w:hAnsi="Arial" w:cs="Arial"/>
          <w:i/>
          <w:iCs/>
          <w:sz w:val="22"/>
          <w:szCs w:val="22"/>
        </w:rPr>
        <w:t>Nice.org.uk</w:t>
      </w:r>
      <w:r w:rsidRPr="000C4DFB">
        <w:rPr>
          <w:rFonts w:ascii="Arial" w:hAnsi="Arial" w:cs="Arial"/>
          <w:sz w:val="22"/>
          <w:szCs w:val="22"/>
        </w:rPr>
        <w:t>. NICE. Available at: https://www.nice.org.uk/guidance/NG5 [Accessed 23 July 2026].</w:t>
      </w:r>
    </w:p>
    <w:p w14:paraId="3ABBE5F4"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NICE (2018). </w:t>
      </w:r>
      <w:r w:rsidRPr="000C4DFB">
        <w:rPr>
          <w:rFonts w:ascii="Arial" w:hAnsi="Arial" w:cs="Arial"/>
          <w:i/>
          <w:iCs/>
          <w:sz w:val="22"/>
          <w:szCs w:val="22"/>
        </w:rPr>
        <w:t>Dementia: assessment, Management and Support for People Living with Dementia and Their Carers | Guidance | NICE</w:t>
      </w:r>
      <w:r w:rsidRPr="000C4DFB">
        <w:rPr>
          <w:rFonts w:ascii="Arial" w:hAnsi="Arial" w:cs="Arial"/>
          <w:sz w:val="22"/>
          <w:szCs w:val="22"/>
        </w:rPr>
        <w:t xml:space="preserve">. [online] </w:t>
      </w:r>
      <w:r w:rsidRPr="000C4DFB">
        <w:rPr>
          <w:rFonts w:ascii="Arial" w:hAnsi="Arial" w:cs="Arial"/>
          <w:i/>
          <w:iCs/>
          <w:sz w:val="22"/>
          <w:szCs w:val="22"/>
        </w:rPr>
        <w:t>Nice.org.uk</w:t>
      </w:r>
      <w:r w:rsidRPr="000C4DFB">
        <w:rPr>
          <w:rFonts w:ascii="Arial" w:hAnsi="Arial" w:cs="Arial"/>
          <w:sz w:val="22"/>
          <w:szCs w:val="22"/>
        </w:rPr>
        <w:t>. NICE. Available at: https://www.nice.org.uk/guidance/ng97 [Accessed 23 July 2026].</w:t>
      </w:r>
    </w:p>
    <w:p w14:paraId="52DE7C38" w14:textId="77777777" w:rsidR="00807645" w:rsidRPr="000C4DFB" w:rsidRDefault="00807645" w:rsidP="00807645">
      <w:pPr>
        <w:rPr>
          <w:rFonts w:ascii="Arial" w:hAnsi="Arial" w:cs="Arial"/>
          <w:sz w:val="22"/>
          <w:szCs w:val="22"/>
        </w:rPr>
      </w:pPr>
      <w:r w:rsidRPr="000C4DFB">
        <w:rPr>
          <w:rFonts w:ascii="Arial" w:hAnsi="Arial" w:cs="Arial"/>
          <w:sz w:val="22"/>
          <w:szCs w:val="22"/>
        </w:rPr>
        <w:t xml:space="preserve">Social Care Institute For Excellence (2022). </w:t>
      </w:r>
      <w:r w:rsidRPr="000C4DFB">
        <w:rPr>
          <w:rFonts w:ascii="Arial" w:hAnsi="Arial" w:cs="Arial"/>
          <w:i/>
          <w:iCs/>
          <w:sz w:val="22"/>
          <w:szCs w:val="22"/>
        </w:rPr>
        <w:t>Multidisciplinary Teams Working for Integrated Care</w:t>
      </w:r>
      <w:r w:rsidRPr="000C4DFB">
        <w:rPr>
          <w:rFonts w:ascii="Arial" w:hAnsi="Arial" w:cs="Arial"/>
          <w:sz w:val="22"/>
          <w:szCs w:val="22"/>
        </w:rPr>
        <w:t xml:space="preserve">. [online] </w:t>
      </w:r>
      <w:r w:rsidRPr="000C4DFB">
        <w:rPr>
          <w:rFonts w:ascii="Arial" w:hAnsi="Arial" w:cs="Arial"/>
          <w:i/>
          <w:iCs/>
          <w:sz w:val="22"/>
          <w:szCs w:val="22"/>
        </w:rPr>
        <w:t xml:space="preserve">Social Care Institute for Excellence </w:t>
      </w:r>
      <w:r w:rsidRPr="000C4DFB">
        <w:rPr>
          <w:rFonts w:ascii="Arial" w:hAnsi="Arial" w:cs="Arial"/>
          <w:sz w:val="22"/>
          <w:szCs w:val="22"/>
        </w:rPr>
        <w:t>. Available at: https://www.scie.org.uk/integrated-care/research-practice/activities/multidisciplinary-teams/ [Accessed 23 July 2026].</w:t>
      </w:r>
    </w:p>
    <w:sectPr w:rsidR="00807645" w:rsidRPr="000C4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A06"/>
    <w:rsid w:val="000C4DFB"/>
    <w:rsid w:val="00141F90"/>
    <w:rsid w:val="00152A06"/>
    <w:rsid w:val="003733FA"/>
    <w:rsid w:val="003A51CA"/>
    <w:rsid w:val="006444EC"/>
    <w:rsid w:val="00646E0A"/>
    <w:rsid w:val="006E276B"/>
    <w:rsid w:val="00807645"/>
    <w:rsid w:val="008A3491"/>
    <w:rsid w:val="009072A1"/>
    <w:rsid w:val="00910C42"/>
    <w:rsid w:val="00930756"/>
    <w:rsid w:val="0094242F"/>
    <w:rsid w:val="0094543A"/>
    <w:rsid w:val="009501E4"/>
    <w:rsid w:val="009A0E7D"/>
    <w:rsid w:val="00A12895"/>
    <w:rsid w:val="00A21182"/>
    <w:rsid w:val="00A64439"/>
    <w:rsid w:val="00AE49CD"/>
    <w:rsid w:val="00B34841"/>
    <w:rsid w:val="00C73C4A"/>
    <w:rsid w:val="00CA1046"/>
    <w:rsid w:val="00D75088"/>
    <w:rsid w:val="00EA7331"/>
    <w:rsid w:val="00F37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219F"/>
  <w15:chartTrackingRefBased/>
  <w15:docId w15:val="{8EC7088B-BBB9-407C-8F0F-5619B48D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A06"/>
  </w:style>
  <w:style w:type="paragraph" w:styleId="Heading1">
    <w:name w:val="heading 1"/>
    <w:basedOn w:val="Normal"/>
    <w:next w:val="Normal"/>
    <w:link w:val="Heading1Char"/>
    <w:uiPriority w:val="9"/>
    <w:qFormat/>
    <w:rsid w:val="00152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A06"/>
    <w:rPr>
      <w:rFonts w:eastAsiaTheme="majorEastAsia" w:cstheme="majorBidi"/>
      <w:color w:val="272727" w:themeColor="text1" w:themeTint="D8"/>
    </w:rPr>
  </w:style>
  <w:style w:type="paragraph" w:styleId="Title">
    <w:name w:val="Title"/>
    <w:basedOn w:val="Normal"/>
    <w:next w:val="Normal"/>
    <w:link w:val="TitleChar"/>
    <w:uiPriority w:val="10"/>
    <w:qFormat/>
    <w:rsid w:val="00152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A06"/>
    <w:pPr>
      <w:spacing w:before="160"/>
      <w:jc w:val="center"/>
    </w:pPr>
    <w:rPr>
      <w:i/>
      <w:iCs/>
      <w:color w:val="404040" w:themeColor="text1" w:themeTint="BF"/>
    </w:rPr>
  </w:style>
  <w:style w:type="character" w:customStyle="1" w:styleId="QuoteChar">
    <w:name w:val="Quote Char"/>
    <w:basedOn w:val="DefaultParagraphFont"/>
    <w:link w:val="Quote"/>
    <w:uiPriority w:val="29"/>
    <w:rsid w:val="00152A06"/>
    <w:rPr>
      <w:i/>
      <w:iCs/>
      <w:color w:val="404040" w:themeColor="text1" w:themeTint="BF"/>
    </w:rPr>
  </w:style>
  <w:style w:type="paragraph" w:styleId="ListParagraph">
    <w:name w:val="List Paragraph"/>
    <w:basedOn w:val="Normal"/>
    <w:uiPriority w:val="34"/>
    <w:qFormat/>
    <w:rsid w:val="00152A06"/>
    <w:pPr>
      <w:ind w:left="720"/>
      <w:contextualSpacing/>
    </w:pPr>
  </w:style>
  <w:style w:type="character" w:styleId="IntenseEmphasis">
    <w:name w:val="Intense Emphasis"/>
    <w:basedOn w:val="DefaultParagraphFont"/>
    <w:uiPriority w:val="21"/>
    <w:qFormat/>
    <w:rsid w:val="00152A06"/>
    <w:rPr>
      <w:i/>
      <w:iCs/>
      <w:color w:val="0F4761" w:themeColor="accent1" w:themeShade="BF"/>
    </w:rPr>
  </w:style>
  <w:style w:type="paragraph" w:styleId="IntenseQuote">
    <w:name w:val="Intense Quote"/>
    <w:basedOn w:val="Normal"/>
    <w:next w:val="Normal"/>
    <w:link w:val="IntenseQuoteChar"/>
    <w:uiPriority w:val="30"/>
    <w:qFormat/>
    <w:rsid w:val="00152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A06"/>
    <w:rPr>
      <w:i/>
      <w:iCs/>
      <w:color w:val="0F4761" w:themeColor="accent1" w:themeShade="BF"/>
    </w:rPr>
  </w:style>
  <w:style w:type="character" w:styleId="IntenseReference">
    <w:name w:val="Intense Reference"/>
    <w:basedOn w:val="DefaultParagraphFont"/>
    <w:uiPriority w:val="32"/>
    <w:qFormat/>
    <w:rsid w:val="00152A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1823</Words>
  <Characters>10393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Malgorzata Ziemian</dc:creator>
  <cp:keywords/>
  <dc:description/>
  <cp:lastModifiedBy>Malgorzata Ziemian</cp:lastModifiedBy>
  <cp:revision>2</cp:revision>
  <dcterms:created xsi:type="dcterms:W3CDTF">2026-07-24T06:19:00Z</dcterms:created>
  <dcterms:modified xsi:type="dcterms:W3CDTF">2026-07-24T06:19:00Z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4e70c933-9781-43d9-bfda-7c5f0e716675</vt:lpwstr>
  </property>
</Properties>
</file>