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6ACF93" w14:textId="5B815D62" w:rsidR="0048096E" w:rsidRDefault="0048096E" w:rsidP="0048096E">
      <w:pPr>
        <w:jc w:val="center"/>
        <w:rPr>
          <w:b/>
          <w:bCs/>
        </w:rPr>
      </w:pPr>
      <w:r>
        <w:rPr>
          <w:b/>
          <w:bCs/>
          <w:noProof/>
          <w:lang w:eastAsia="en-GB" w:bidi="ar-SA"/>
        </w:rPr>
        <w:drawing>
          <wp:inline distT="0" distB="0" distL="0" distR="0" wp14:anchorId="1CA8E826" wp14:editId="05670040">
            <wp:extent cx="2390140" cy="1061085"/>
            <wp:effectExtent l="0" t="0" r="0" b="5715"/>
            <wp:docPr id="21238169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0140" cy="1061085"/>
                    </a:xfrm>
                    <a:prstGeom prst="rect">
                      <a:avLst/>
                    </a:prstGeom>
                    <a:noFill/>
                  </pic:spPr>
                </pic:pic>
              </a:graphicData>
            </a:graphic>
          </wp:inline>
        </w:drawing>
      </w:r>
    </w:p>
    <w:p w14:paraId="0F4CDE7C" w14:textId="53DD2639" w:rsidR="004B3EF1" w:rsidRDefault="00372BE1" w:rsidP="0048096E">
      <w:pPr>
        <w:jc w:val="center"/>
        <w:rPr>
          <w:b/>
          <w:bCs/>
        </w:rPr>
      </w:pPr>
      <w:r w:rsidRPr="0048096E">
        <w:rPr>
          <w:b/>
          <w:bCs/>
        </w:rPr>
        <w:t>ASSIGNMENT TITLE</w:t>
      </w:r>
    </w:p>
    <w:p w14:paraId="76D1CEE7" w14:textId="11A3092E" w:rsidR="0048096E" w:rsidRDefault="00372BE1" w:rsidP="0048096E">
      <w:pPr>
        <w:jc w:val="center"/>
      </w:pPr>
      <w:r w:rsidRPr="00372BE1">
        <w:t>FINANCIAL PERFORMANCE ANALYSIS AND INVESTMENT APPRAISAL</w:t>
      </w:r>
    </w:p>
    <w:p w14:paraId="731F44DF" w14:textId="77777777" w:rsidR="00372BE1" w:rsidRDefault="00372BE1" w:rsidP="0048096E">
      <w:pPr>
        <w:jc w:val="center"/>
        <w:rPr>
          <w:b/>
          <w:bCs/>
        </w:rPr>
      </w:pPr>
    </w:p>
    <w:p w14:paraId="0E7E1B48" w14:textId="74B01F6F" w:rsidR="00372BE1" w:rsidRDefault="00372BE1" w:rsidP="004B3EF1">
      <w:pPr>
        <w:jc w:val="center"/>
      </w:pPr>
      <w:r w:rsidRPr="0048096E">
        <w:rPr>
          <w:b/>
          <w:bCs/>
        </w:rPr>
        <w:t>MODULE TITLE:</w:t>
      </w:r>
      <w:r w:rsidRPr="0048096E">
        <w:t xml:space="preserve"> </w:t>
      </w:r>
      <w:r w:rsidRPr="00372BE1">
        <w:t>FINANCE FOR BUSINESS MANAGERS</w:t>
      </w:r>
    </w:p>
    <w:p w14:paraId="66484201" w14:textId="15E8458D" w:rsidR="004B3EF1" w:rsidRDefault="00372BE1" w:rsidP="0048096E">
      <w:pPr>
        <w:jc w:val="center"/>
      </w:pPr>
      <w:r w:rsidRPr="0048096E">
        <w:rPr>
          <w:b/>
          <w:bCs/>
        </w:rPr>
        <w:t>MODULE CODE:</w:t>
      </w:r>
      <w:r w:rsidRPr="0048096E">
        <w:t xml:space="preserve"> </w:t>
      </w:r>
      <w:r w:rsidRPr="00372BE1">
        <w:t>BMMB7005</w:t>
      </w:r>
    </w:p>
    <w:p w14:paraId="2FEC489F" w14:textId="77777777" w:rsidR="0048096E" w:rsidRDefault="0048096E" w:rsidP="0048096E">
      <w:pPr>
        <w:jc w:val="center"/>
        <w:rPr>
          <w:b/>
          <w:bCs/>
        </w:rPr>
      </w:pPr>
    </w:p>
    <w:p w14:paraId="16AACD83" w14:textId="74660FE7" w:rsidR="0048096E" w:rsidRPr="0048096E" w:rsidRDefault="00372BE1" w:rsidP="0048096E">
      <w:pPr>
        <w:jc w:val="center"/>
      </w:pPr>
      <w:r w:rsidRPr="0048096E">
        <w:rPr>
          <w:b/>
          <w:bCs/>
        </w:rPr>
        <w:t>MODULE TUTOR:</w:t>
      </w:r>
      <w:r w:rsidR="00DD31D5">
        <w:rPr>
          <w:b/>
          <w:bCs/>
        </w:rPr>
        <w:t xml:space="preserve"> </w:t>
      </w:r>
      <w:r w:rsidR="00DD31D5">
        <w:t xml:space="preserve">Marie </w:t>
      </w:r>
      <w:proofErr w:type="spellStart"/>
      <w:r w:rsidR="00DD31D5">
        <w:t>Pitson</w:t>
      </w:r>
      <w:proofErr w:type="spellEnd"/>
    </w:p>
    <w:p w14:paraId="319AD496" w14:textId="77777777" w:rsidR="0048096E" w:rsidRDefault="0048096E" w:rsidP="0048096E">
      <w:pPr>
        <w:pStyle w:val="TOCHeading"/>
      </w:pPr>
    </w:p>
    <w:p w14:paraId="201FE1B6" w14:textId="77777777" w:rsidR="0048096E" w:rsidRDefault="0048096E" w:rsidP="0048096E">
      <w:pPr>
        <w:jc w:val="center"/>
        <w:rPr>
          <w:b/>
          <w:bCs/>
        </w:rPr>
      </w:pPr>
    </w:p>
    <w:p w14:paraId="0BE892AF" w14:textId="77777777" w:rsidR="0048096E" w:rsidRDefault="0048096E" w:rsidP="0048096E">
      <w:pPr>
        <w:jc w:val="center"/>
        <w:rPr>
          <w:b/>
          <w:bCs/>
        </w:rPr>
      </w:pPr>
    </w:p>
    <w:p w14:paraId="460831A0" w14:textId="74802DB3" w:rsidR="0048096E" w:rsidRDefault="0048096E" w:rsidP="0048096E">
      <w:pPr>
        <w:jc w:val="center"/>
        <w:rPr>
          <w:b/>
          <w:bCs/>
        </w:rPr>
      </w:pPr>
      <w:r>
        <w:rPr>
          <w:b/>
          <w:bCs/>
        </w:rPr>
        <w:br/>
      </w:r>
      <w:r w:rsidR="00372BE1" w:rsidRPr="0048096E">
        <w:rPr>
          <w:b/>
          <w:bCs/>
        </w:rPr>
        <w:t>STUDENT NAME:</w:t>
      </w:r>
      <w:r w:rsidR="00DD31D5">
        <w:rPr>
          <w:b/>
          <w:bCs/>
        </w:rPr>
        <w:t xml:space="preserve"> </w:t>
      </w:r>
      <w:proofErr w:type="spellStart"/>
      <w:proofErr w:type="gramStart"/>
      <w:r w:rsidR="00DD31D5">
        <w:t>Mst</w:t>
      </w:r>
      <w:proofErr w:type="spellEnd"/>
      <w:proofErr w:type="gramEnd"/>
      <w:r w:rsidR="00DD31D5">
        <w:t xml:space="preserve"> Hanna </w:t>
      </w:r>
      <w:proofErr w:type="spellStart"/>
      <w:r w:rsidR="00DD31D5">
        <w:t>Bagum</w:t>
      </w:r>
      <w:proofErr w:type="spellEnd"/>
      <w:r w:rsidR="00DD31D5">
        <w:t xml:space="preserve"> Rima</w:t>
      </w:r>
      <w:r w:rsidR="00372BE1" w:rsidRPr="0048096E">
        <w:br/>
      </w:r>
      <w:r w:rsidR="00372BE1" w:rsidRPr="0048096E">
        <w:rPr>
          <w:b/>
          <w:bCs/>
        </w:rPr>
        <w:t>STUDENT ID:</w:t>
      </w:r>
      <w:r w:rsidR="00DD31D5">
        <w:t xml:space="preserve"> 2437621</w:t>
      </w:r>
      <w:r w:rsidR="00372BE1" w:rsidRPr="0048096E">
        <w:br/>
      </w:r>
    </w:p>
    <w:p w14:paraId="6969C8A4" w14:textId="57EEC9FB" w:rsidR="0048096E" w:rsidRDefault="00372BE1" w:rsidP="0048096E">
      <w:pPr>
        <w:jc w:val="center"/>
      </w:pPr>
      <w:r>
        <w:rPr>
          <w:b/>
          <w:bCs/>
        </w:rPr>
        <w:br/>
      </w:r>
      <w:r>
        <w:t>DATE OF SUBM</w:t>
      </w:r>
      <w:r w:rsidR="00DD31D5">
        <w:t>ISSION: 10-01-2026</w:t>
      </w:r>
      <w:bookmarkStart w:id="0" w:name="_GoBack"/>
      <w:bookmarkEnd w:id="0"/>
    </w:p>
    <w:p w14:paraId="3A415C56" w14:textId="53D90512" w:rsidR="00335559" w:rsidRDefault="00335559">
      <w:pPr>
        <w:spacing w:line="259" w:lineRule="auto"/>
        <w:jc w:val="left"/>
      </w:pPr>
      <w:r>
        <w:br w:type="page"/>
      </w:r>
    </w:p>
    <w:sdt>
      <w:sdtPr>
        <w:rPr>
          <w:b/>
          <w:bCs/>
        </w:rPr>
        <w:id w:val="-1452698217"/>
        <w:docPartObj>
          <w:docPartGallery w:val="Table of Contents"/>
          <w:docPartUnique/>
        </w:docPartObj>
      </w:sdtPr>
      <w:sdtEndPr>
        <w:rPr>
          <w:noProof/>
        </w:rPr>
      </w:sdtEndPr>
      <w:sdtContent>
        <w:p w14:paraId="5DED6E7A" w14:textId="5DDA3554" w:rsidR="0048096E" w:rsidRPr="00B55F4F" w:rsidRDefault="00B55F4F" w:rsidP="0090653E">
          <w:pPr>
            <w:spacing w:after="0"/>
            <w:jc w:val="center"/>
            <w:rPr>
              <w:b/>
              <w:bCs/>
            </w:rPr>
          </w:pPr>
          <w:r w:rsidRPr="00B55F4F">
            <w:rPr>
              <w:b/>
              <w:bCs/>
            </w:rPr>
            <w:t>TABLE OF CONTENTS</w:t>
          </w:r>
        </w:p>
        <w:p w14:paraId="3968821F" w14:textId="2D2239F2" w:rsidR="00D628C9" w:rsidRDefault="0048096E">
          <w:pPr>
            <w:pStyle w:val="TOC1"/>
            <w:tabs>
              <w:tab w:val="right" w:leader="dot" w:pos="9016"/>
            </w:tabs>
            <w:rPr>
              <w:rFonts w:asciiTheme="minorHAnsi" w:eastAsiaTheme="minorEastAsia" w:hAnsiTheme="minorHAnsi"/>
              <w:noProof/>
              <w:szCs w:val="21"/>
              <w:lang w:eastAsia="en-GB" w:bidi="hi-IN"/>
            </w:rPr>
          </w:pPr>
          <w:r>
            <w:fldChar w:fldCharType="begin"/>
          </w:r>
          <w:r>
            <w:instrText xml:space="preserve"> TOC \o "1-3" \h \z \u </w:instrText>
          </w:r>
          <w:r>
            <w:fldChar w:fldCharType="separate"/>
          </w:r>
          <w:hyperlink w:anchor="_Toc216738272" w:history="1">
            <w:r w:rsidR="00D628C9" w:rsidRPr="00255D12">
              <w:rPr>
                <w:rStyle w:val="Hyperlink"/>
                <w:noProof/>
              </w:rPr>
              <w:t>EXECUTIVE SUMMARY</w:t>
            </w:r>
            <w:r w:rsidR="00D628C9">
              <w:rPr>
                <w:noProof/>
                <w:webHidden/>
              </w:rPr>
              <w:tab/>
            </w:r>
            <w:r w:rsidR="00D628C9">
              <w:rPr>
                <w:noProof/>
                <w:webHidden/>
              </w:rPr>
              <w:fldChar w:fldCharType="begin"/>
            </w:r>
            <w:r w:rsidR="00D628C9">
              <w:rPr>
                <w:noProof/>
                <w:webHidden/>
              </w:rPr>
              <w:instrText xml:space="preserve"> PAGEREF _Toc216738272 \h </w:instrText>
            </w:r>
            <w:r w:rsidR="00D628C9">
              <w:rPr>
                <w:noProof/>
                <w:webHidden/>
              </w:rPr>
            </w:r>
            <w:r w:rsidR="00D628C9">
              <w:rPr>
                <w:noProof/>
                <w:webHidden/>
              </w:rPr>
              <w:fldChar w:fldCharType="separate"/>
            </w:r>
            <w:r w:rsidR="00D628C9">
              <w:rPr>
                <w:noProof/>
                <w:webHidden/>
              </w:rPr>
              <w:t>4</w:t>
            </w:r>
            <w:r w:rsidR="00D628C9">
              <w:rPr>
                <w:noProof/>
                <w:webHidden/>
              </w:rPr>
              <w:fldChar w:fldCharType="end"/>
            </w:r>
          </w:hyperlink>
        </w:p>
        <w:p w14:paraId="7954AD09" w14:textId="0093AFAE" w:rsidR="00D628C9" w:rsidRDefault="00DD31D5">
          <w:pPr>
            <w:pStyle w:val="TOC1"/>
            <w:tabs>
              <w:tab w:val="left" w:pos="480"/>
              <w:tab w:val="right" w:leader="dot" w:pos="9016"/>
            </w:tabs>
            <w:rPr>
              <w:rFonts w:asciiTheme="minorHAnsi" w:eastAsiaTheme="minorEastAsia" w:hAnsiTheme="minorHAnsi"/>
              <w:noProof/>
              <w:szCs w:val="21"/>
              <w:lang w:eastAsia="en-GB" w:bidi="hi-IN"/>
            </w:rPr>
          </w:pPr>
          <w:hyperlink w:anchor="_Toc216738273" w:history="1">
            <w:r w:rsidR="00D628C9" w:rsidRPr="00255D12">
              <w:rPr>
                <w:rStyle w:val="Hyperlink"/>
                <w:noProof/>
              </w:rPr>
              <w:t>1.</w:t>
            </w:r>
            <w:r w:rsidR="00D628C9">
              <w:rPr>
                <w:rFonts w:asciiTheme="minorHAnsi" w:eastAsiaTheme="minorEastAsia" w:hAnsiTheme="minorHAnsi"/>
                <w:noProof/>
                <w:szCs w:val="21"/>
                <w:lang w:eastAsia="en-GB" w:bidi="hi-IN"/>
              </w:rPr>
              <w:tab/>
            </w:r>
            <w:r w:rsidR="00D628C9" w:rsidRPr="00255D12">
              <w:rPr>
                <w:rStyle w:val="Hyperlink"/>
                <w:noProof/>
              </w:rPr>
              <w:t>INTRODUCTION</w:t>
            </w:r>
            <w:r w:rsidR="00D628C9">
              <w:rPr>
                <w:noProof/>
                <w:webHidden/>
              </w:rPr>
              <w:tab/>
            </w:r>
            <w:r w:rsidR="00D628C9">
              <w:rPr>
                <w:noProof/>
                <w:webHidden/>
              </w:rPr>
              <w:fldChar w:fldCharType="begin"/>
            </w:r>
            <w:r w:rsidR="00D628C9">
              <w:rPr>
                <w:noProof/>
                <w:webHidden/>
              </w:rPr>
              <w:instrText xml:space="preserve"> PAGEREF _Toc216738273 \h </w:instrText>
            </w:r>
            <w:r w:rsidR="00D628C9">
              <w:rPr>
                <w:noProof/>
                <w:webHidden/>
              </w:rPr>
            </w:r>
            <w:r w:rsidR="00D628C9">
              <w:rPr>
                <w:noProof/>
                <w:webHidden/>
              </w:rPr>
              <w:fldChar w:fldCharType="separate"/>
            </w:r>
            <w:r w:rsidR="00D628C9">
              <w:rPr>
                <w:noProof/>
                <w:webHidden/>
              </w:rPr>
              <w:t>1</w:t>
            </w:r>
            <w:r w:rsidR="00D628C9">
              <w:rPr>
                <w:noProof/>
                <w:webHidden/>
              </w:rPr>
              <w:fldChar w:fldCharType="end"/>
            </w:r>
          </w:hyperlink>
        </w:p>
        <w:p w14:paraId="407F20F0" w14:textId="44250501" w:rsidR="00D628C9" w:rsidRDefault="00DD31D5">
          <w:pPr>
            <w:pStyle w:val="TOC1"/>
            <w:tabs>
              <w:tab w:val="right" w:leader="dot" w:pos="9016"/>
            </w:tabs>
            <w:rPr>
              <w:rFonts w:asciiTheme="minorHAnsi" w:eastAsiaTheme="minorEastAsia" w:hAnsiTheme="minorHAnsi"/>
              <w:noProof/>
              <w:szCs w:val="21"/>
              <w:lang w:eastAsia="en-GB" w:bidi="hi-IN"/>
            </w:rPr>
          </w:pPr>
          <w:hyperlink w:anchor="_Toc216738274" w:history="1">
            <w:r w:rsidR="00D628C9" w:rsidRPr="00255D12">
              <w:rPr>
                <w:rStyle w:val="Hyperlink"/>
                <w:noProof/>
              </w:rPr>
              <w:t>2. TASK 1: FINANCIAL PERFORMANCE ANALYSIS OF AMAZON</w:t>
            </w:r>
            <w:r w:rsidR="00D628C9">
              <w:rPr>
                <w:noProof/>
                <w:webHidden/>
              </w:rPr>
              <w:tab/>
            </w:r>
            <w:r w:rsidR="00D628C9">
              <w:rPr>
                <w:noProof/>
                <w:webHidden/>
              </w:rPr>
              <w:fldChar w:fldCharType="begin"/>
            </w:r>
            <w:r w:rsidR="00D628C9">
              <w:rPr>
                <w:noProof/>
                <w:webHidden/>
              </w:rPr>
              <w:instrText xml:space="preserve"> PAGEREF _Toc216738274 \h </w:instrText>
            </w:r>
            <w:r w:rsidR="00D628C9">
              <w:rPr>
                <w:noProof/>
                <w:webHidden/>
              </w:rPr>
            </w:r>
            <w:r w:rsidR="00D628C9">
              <w:rPr>
                <w:noProof/>
                <w:webHidden/>
              </w:rPr>
              <w:fldChar w:fldCharType="separate"/>
            </w:r>
            <w:r w:rsidR="00D628C9">
              <w:rPr>
                <w:noProof/>
                <w:webHidden/>
              </w:rPr>
              <w:t>1</w:t>
            </w:r>
            <w:r w:rsidR="00D628C9">
              <w:rPr>
                <w:noProof/>
                <w:webHidden/>
              </w:rPr>
              <w:fldChar w:fldCharType="end"/>
            </w:r>
          </w:hyperlink>
        </w:p>
        <w:p w14:paraId="681F7BF7" w14:textId="6ADDA899"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75" w:history="1">
            <w:r w:rsidR="00D628C9" w:rsidRPr="00255D12">
              <w:rPr>
                <w:rStyle w:val="Hyperlink"/>
                <w:noProof/>
              </w:rPr>
              <w:t>2.1 COMPANY OVERVIEW AND FINANCIAL CONTEXT</w:t>
            </w:r>
            <w:r w:rsidR="00D628C9">
              <w:rPr>
                <w:noProof/>
                <w:webHidden/>
              </w:rPr>
              <w:tab/>
            </w:r>
            <w:r w:rsidR="00D628C9">
              <w:rPr>
                <w:noProof/>
                <w:webHidden/>
              </w:rPr>
              <w:fldChar w:fldCharType="begin"/>
            </w:r>
            <w:r w:rsidR="00D628C9">
              <w:rPr>
                <w:noProof/>
                <w:webHidden/>
              </w:rPr>
              <w:instrText xml:space="preserve"> PAGEREF _Toc216738275 \h </w:instrText>
            </w:r>
            <w:r w:rsidR="00D628C9">
              <w:rPr>
                <w:noProof/>
                <w:webHidden/>
              </w:rPr>
            </w:r>
            <w:r w:rsidR="00D628C9">
              <w:rPr>
                <w:noProof/>
                <w:webHidden/>
              </w:rPr>
              <w:fldChar w:fldCharType="separate"/>
            </w:r>
            <w:r w:rsidR="00D628C9">
              <w:rPr>
                <w:noProof/>
                <w:webHidden/>
              </w:rPr>
              <w:t>1</w:t>
            </w:r>
            <w:r w:rsidR="00D628C9">
              <w:rPr>
                <w:noProof/>
                <w:webHidden/>
              </w:rPr>
              <w:fldChar w:fldCharType="end"/>
            </w:r>
          </w:hyperlink>
        </w:p>
        <w:p w14:paraId="1AE39856" w14:textId="3023C107"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76" w:history="1">
            <w:r w:rsidR="00D628C9" w:rsidRPr="00255D12">
              <w:rPr>
                <w:rStyle w:val="Hyperlink"/>
                <w:noProof/>
              </w:rPr>
              <w:t>2.2 METHODOLOGY AND DATA SOURCES FOR RATIO ANALYSIS</w:t>
            </w:r>
            <w:r w:rsidR="00D628C9">
              <w:rPr>
                <w:noProof/>
                <w:webHidden/>
              </w:rPr>
              <w:tab/>
            </w:r>
            <w:r w:rsidR="00D628C9">
              <w:rPr>
                <w:noProof/>
                <w:webHidden/>
              </w:rPr>
              <w:fldChar w:fldCharType="begin"/>
            </w:r>
            <w:r w:rsidR="00D628C9">
              <w:rPr>
                <w:noProof/>
                <w:webHidden/>
              </w:rPr>
              <w:instrText xml:space="preserve"> PAGEREF _Toc216738276 \h </w:instrText>
            </w:r>
            <w:r w:rsidR="00D628C9">
              <w:rPr>
                <w:noProof/>
                <w:webHidden/>
              </w:rPr>
            </w:r>
            <w:r w:rsidR="00D628C9">
              <w:rPr>
                <w:noProof/>
                <w:webHidden/>
              </w:rPr>
              <w:fldChar w:fldCharType="separate"/>
            </w:r>
            <w:r w:rsidR="00D628C9">
              <w:rPr>
                <w:noProof/>
                <w:webHidden/>
              </w:rPr>
              <w:t>2</w:t>
            </w:r>
            <w:r w:rsidR="00D628C9">
              <w:rPr>
                <w:noProof/>
                <w:webHidden/>
              </w:rPr>
              <w:fldChar w:fldCharType="end"/>
            </w:r>
          </w:hyperlink>
        </w:p>
        <w:p w14:paraId="2857DA69" w14:textId="2EF8827E"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77" w:history="1">
            <w:r w:rsidR="00D628C9" w:rsidRPr="00255D12">
              <w:rPr>
                <w:rStyle w:val="Hyperlink"/>
                <w:noProof/>
              </w:rPr>
              <w:t>2.3 PROFITABILITY ANALYSIS</w:t>
            </w:r>
            <w:r w:rsidR="00D628C9">
              <w:rPr>
                <w:noProof/>
                <w:webHidden/>
              </w:rPr>
              <w:tab/>
            </w:r>
            <w:r w:rsidR="00D628C9">
              <w:rPr>
                <w:noProof/>
                <w:webHidden/>
              </w:rPr>
              <w:fldChar w:fldCharType="begin"/>
            </w:r>
            <w:r w:rsidR="00D628C9">
              <w:rPr>
                <w:noProof/>
                <w:webHidden/>
              </w:rPr>
              <w:instrText xml:space="preserve"> PAGEREF _Toc216738277 \h </w:instrText>
            </w:r>
            <w:r w:rsidR="00D628C9">
              <w:rPr>
                <w:noProof/>
                <w:webHidden/>
              </w:rPr>
            </w:r>
            <w:r w:rsidR="00D628C9">
              <w:rPr>
                <w:noProof/>
                <w:webHidden/>
              </w:rPr>
              <w:fldChar w:fldCharType="separate"/>
            </w:r>
            <w:r w:rsidR="00D628C9">
              <w:rPr>
                <w:noProof/>
                <w:webHidden/>
              </w:rPr>
              <w:t>3</w:t>
            </w:r>
            <w:r w:rsidR="00D628C9">
              <w:rPr>
                <w:noProof/>
                <w:webHidden/>
              </w:rPr>
              <w:fldChar w:fldCharType="end"/>
            </w:r>
          </w:hyperlink>
        </w:p>
        <w:p w14:paraId="4D62A657" w14:textId="7F801C7E"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78" w:history="1">
            <w:r w:rsidR="00D628C9" w:rsidRPr="00255D12">
              <w:rPr>
                <w:rStyle w:val="Hyperlink"/>
                <w:noProof/>
              </w:rPr>
              <w:t>2.4 LIQUIDITY ANALYSIS</w:t>
            </w:r>
            <w:r w:rsidR="00D628C9">
              <w:rPr>
                <w:noProof/>
                <w:webHidden/>
              </w:rPr>
              <w:tab/>
            </w:r>
            <w:r w:rsidR="00D628C9">
              <w:rPr>
                <w:noProof/>
                <w:webHidden/>
              </w:rPr>
              <w:fldChar w:fldCharType="begin"/>
            </w:r>
            <w:r w:rsidR="00D628C9">
              <w:rPr>
                <w:noProof/>
                <w:webHidden/>
              </w:rPr>
              <w:instrText xml:space="preserve"> PAGEREF _Toc216738278 \h </w:instrText>
            </w:r>
            <w:r w:rsidR="00D628C9">
              <w:rPr>
                <w:noProof/>
                <w:webHidden/>
              </w:rPr>
            </w:r>
            <w:r w:rsidR="00D628C9">
              <w:rPr>
                <w:noProof/>
                <w:webHidden/>
              </w:rPr>
              <w:fldChar w:fldCharType="separate"/>
            </w:r>
            <w:r w:rsidR="00D628C9">
              <w:rPr>
                <w:noProof/>
                <w:webHidden/>
              </w:rPr>
              <w:t>5</w:t>
            </w:r>
            <w:r w:rsidR="00D628C9">
              <w:rPr>
                <w:noProof/>
                <w:webHidden/>
              </w:rPr>
              <w:fldChar w:fldCharType="end"/>
            </w:r>
          </w:hyperlink>
        </w:p>
        <w:p w14:paraId="5C943A49" w14:textId="44C5691F"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79" w:history="1">
            <w:r w:rsidR="00D628C9" w:rsidRPr="00255D12">
              <w:rPr>
                <w:rStyle w:val="Hyperlink"/>
                <w:noProof/>
              </w:rPr>
              <w:t>2.5 EFFICIENCY (ACTIVITY) ANALYSIS</w:t>
            </w:r>
            <w:r w:rsidR="00D628C9">
              <w:rPr>
                <w:noProof/>
                <w:webHidden/>
              </w:rPr>
              <w:tab/>
            </w:r>
            <w:r w:rsidR="00D628C9">
              <w:rPr>
                <w:noProof/>
                <w:webHidden/>
              </w:rPr>
              <w:fldChar w:fldCharType="begin"/>
            </w:r>
            <w:r w:rsidR="00D628C9">
              <w:rPr>
                <w:noProof/>
                <w:webHidden/>
              </w:rPr>
              <w:instrText xml:space="preserve"> PAGEREF _Toc216738279 \h </w:instrText>
            </w:r>
            <w:r w:rsidR="00D628C9">
              <w:rPr>
                <w:noProof/>
                <w:webHidden/>
              </w:rPr>
            </w:r>
            <w:r w:rsidR="00D628C9">
              <w:rPr>
                <w:noProof/>
                <w:webHidden/>
              </w:rPr>
              <w:fldChar w:fldCharType="separate"/>
            </w:r>
            <w:r w:rsidR="00D628C9">
              <w:rPr>
                <w:noProof/>
                <w:webHidden/>
              </w:rPr>
              <w:t>7</w:t>
            </w:r>
            <w:r w:rsidR="00D628C9">
              <w:rPr>
                <w:noProof/>
                <w:webHidden/>
              </w:rPr>
              <w:fldChar w:fldCharType="end"/>
            </w:r>
          </w:hyperlink>
        </w:p>
        <w:p w14:paraId="3D8CE4D3" w14:textId="1FAD3565"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80" w:history="1">
            <w:r w:rsidR="00D628C9" w:rsidRPr="00255D12">
              <w:rPr>
                <w:rStyle w:val="Hyperlink"/>
                <w:noProof/>
              </w:rPr>
              <w:t>2.6 GEARING (CAPITAL STRUCTURE) ANALYSIS</w:t>
            </w:r>
            <w:r w:rsidR="00D628C9">
              <w:rPr>
                <w:noProof/>
                <w:webHidden/>
              </w:rPr>
              <w:tab/>
            </w:r>
            <w:r w:rsidR="00D628C9">
              <w:rPr>
                <w:noProof/>
                <w:webHidden/>
              </w:rPr>
              <w:fldChar w:fldCharType="begin"/>
            </w:r>
            <w:r w:rsidR="00D628C9">
              <w:rPr>
                <w:noProof/>
                <w:webHidden/>
              </w:rPr>
              <w:instrText xml:space="preserve"> PAGEREF _Toc216738280 \h </w:instrText>
            </w:r>
            <w:r w:rsidR="00D628C9">
              <w:rPr>
                <w:noProof/>
                <w:webHidden/>
              </w:rPr>
            </w:r>
            <w:r w:rsidR="00D628C9">
              <w:rPr>
                <w:noProof/>
                <w:webHidden/>
              </w:rPr>
              <w:fldChar w:fldCharType="separate"/>
            </w:r>
            <w:r w:rsidR="00D628C9">
              <w:rPr>
                <w:noProof/>
                <w:webHidden/>
              </w:rPr>
              <w:t>8</w:t>
            </w:r>
            <w:r w:rsidR="00D628C9">
              <w:rPr>
                <w:noProof/>
                <w:webHidden/>
              </w:rPr>
              <w:fldChar w:fldCharType="end"/>
            </w:r>
          </w:hyperlink>
        </w:p>
        <w:p w14:paraId="6133587A" w14:textId="5FBD622C"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81" w:history="1">
            <w:r w:rsidR="00D628C9" w:rsidRPr="00255D12">
              <w:rPr>
                <w:rStyle w:val="Hyperlink"/>
                <w:noProof/>
              </w:rPr>
              <w:t>2.7 INVESTOR RATIOS</w:t>
            </w:r>
            <w:r w:rsidR="00D628C9">
              <w:rPr>
                <w:noProof/>
                <w:webHidden/>
              </w:rPr>
              <w:tab/>
            </w:r>
            <w:r w:rsidR="00D628C9">
              <w:rPr>
                <w:noProof/>
                <w:webHidden/>
              </w:rPr>
              <w:fldChar w:fldCharType="begin"/>
            </w:r>
            <w:r w:rsidR="00D628C9">
              <w:rPr>
                <w:noProof/>
                <w:webHidden/>
              </w:rPr>
              <w:instrText xml:space="preserve"> PAGEREF _Toc216738281 \h </w:instrText>
            </w:r>
            <w:r w:rsidR="00D628C9">
              <w:rPr>
                <w:noProof/>
                <w:webHidden/>
              </w:rPr>
            </w:r>
            <w:r w:rsidR="00D628C9">
              <w:rPr>
                <w:noProof/>
                <w:webHidden/>
              </w:rPr>
              <w:fldChar w:fldCharType="separate"/>
            </w:r>
            <w:r w:rsidR="00D628C9">
              <w:rPr>
                <w:noProof/>
                <w:webHidden/>
              </w:rPr>
              <w:t>10</w:t>
            </w:r>
            <w:r w:rsidR="00D628C9">
              <w:rPr>
                <w:noProof/>
                <w:webHidden/>
              </w:rPr>
              <w:fldChar w:fldCharType="end"/>
            </w:r>
          </w:hyperlink>
        </w:p>
        <w:p w14:paraId="09D63AC2" w14:textId="7044E15B"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82" w:history="1">
            <w:r w:rsidR="00D628C9" w:rsidRPr="00255D12">
              <w:rPr>
                <w:rStyle w:val="Hyperlink"/>
                <w:noProof/>
              </w:rPr>
              <w:t>2.8 LIMITATIONS OF RATIO ANALYSIS</w:t>
            </w:r>
            <w:r w:rsidR="00D628C9">
              <w:rPr>
                <w:noProof/>
                <w:webHidden/>
              </w:rPr>
              <w:tab/>
            </w:r>
            <w:r w:rsidR="00D628C9">
              <w:rPr>
                <w:noProof/>
                <w:webHidden/>
              </w:rPr>
              <w:fldChar w:fldCharType="begin"/>
            </w:r>
            <w:r w:rsidR="00D628C9">
              <w:rPr>
                <w:noProof/>
                <w:webHidden/>
              </w:rPr>
              <w:instrText xml:space="preserve"> PAGEREF _Toc216738282 \h </w:instrText>
            </w:r>
            <w:r w:rsidR="00D628C9">
              <w:rPr>
                <w:noProof/>
                <w:webHidden/>
              </w:rPr>
            </w:r>
            <w:r w:rsidR="00D628C9">
              <w:rPr>
                <w:noProof/>
                <w:webHidden/>
              </w:rPr>
              <w:fldChar w:fldCharType="separate"/>
            </w:r>
            <w:r w:rsidR="00D628C9">
              <w:rPr>
                <w:noProof/>
                <w:webHidden/>
              </w:rPr>
              <w:t>11</w:t>
            </w:r>
            <w:r w:rsidR="00D628C9">
              <w:rPr>
                <w:noProof/>
                <w:webHidden/>
              </w:rPr>
              <w:fldChar w:fldCharType="end"/>
            </w:r>
          </w:hyperlink>
        </w:p>
        <w:p w14:paraId="7A98D04E" w14:textId="43A6E470" w:rsidR="00D628C9" w:rsidRDefault="00DD31D5">
          <w:pPr>
            <w:pStyle w:val="TOC1"/>
            <w:tabs>
              <w:tab w:val="right" w:leader="dot" w:pos="9016"/>
            </w:tabs>
            <w:rPr>
              <w:rFonts w:asciiTheme="minorHAnsi" w:eastAsiaTheme="minorEastAsia" w:hAnsiTheme="minorHAnsi"/>
              <w:noProof/>
              <w:szCs w:val="21"/>
              <w:lang w:eastAsia="en-GB" w:bidi="hi-IN"/>
            </w:rPr>
          </w:pPr>
          <w:hyperlink w:anchor="_Toc216738283" w:history="1">
            <w:r w:rsidR="00D628C9" w:rsidRPr="00255D12">
              <w:rPr>
                <w:rStyle w:val="Hyperlink"/>
                <w:noProof/>
              </w:rPr>
              <w:t>3. TASK 2: WESTWARD PLC INVESTMENT APPRAISAL</w:t>
            </w:r>
            <w:r w:rsidR="00D628C9">
              <w:rPr>
                <w:noProof/>
                <w:webHidden/>
              </w:rPr>
              <w:tab/>
            </w:r>
            <w:r w:rsidR="00D628C9">
              <w:rPr>
                <w:noProof/>
                <w:webHidden/>
              </w:rPr>
              <w:fldChar w:fldCharType="begin"/>
            </w:r>
            <w:r w:rsidR="00D628C9">
              <w:rPr>
                <w:noProof/>
                <w:webHidden/>
              </w:rPr>
              <w:instrText xml:space="preserve"> PAGEREF _Toc216738283 \h </w:instrText>
            </w:r>
            <w:r w:rsidR="00D628C9">
              <w:rPr>
                <w:noProof/>
                <w:webHidden/>
              </w:rPr>
            </w:r>
            <w:r w:rsidR="00D628C9">
              <w:rPr>
                <w:noProof/>
                <w:webHidden/>
              </w:rPr>
              <w:fldChar w:fldCharType="separate"/>
            </w:r>
            <w:r w:rsidR="00D628C9">
              <w:rPr>
                <w:noProof/>
                <w:webHidden/>
              </w:rPr>
              <w:t>13</w:t>
            </w:r>
            <w:r w:rsidR="00D628C9">
              <w:rPr>
                <w:noProof/>
                <w:webHidden/>
              </w:rPr>
              <w:fldChar w:fldCharType="end"/>
            </w:r>
          </w:hyperlink>
        </w:p>
        <w:p w14:paraId="537C4A81" w14:textId="497F1F89"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84" w:history="1">
            <w:r w:rsidR="00D628C9" w:rsidRPr="00255D12">
              <w:rPr>
                <w:rStyle w:val="Hyperlink"/>
                <w:noProof/>
              </w:rPr>
              <w:t>3.1 PROJECT INFORMATION AND KEY ASSUMPTIONS</w:t>
            </w:r>
            <w:r w:rsidR="00D628C9">
              <w:rPr>
                <w:noProof/>
                <w:webHidden/>
              </w:rPr>
              <w:tab/>
            </w:r>
            <w:r w:rsidR="00D628C9">
              <w:rPr>
                <w:noProof/>
                <w:webHidden/>
              </w:rPr>
              <w:fldChar w:fldCharType="begin"/>
            </w:r>
            <w:r w:rsidR="00D628C9">
              <w:rPr>
                <w:noProof/>
                <w:webHidden/>
              </w:rPr>
              <w:instrText xml:space="preserve"> PAGEREF _Toc216738284 \h </w:instrText>
            </w:r>
            <w:r w:rsidR="00D628C9">
              <w:rPr>
                <w:noProof/>
                <w:webHidden/>
              </w:rPr>
            </w:r>
            <w:r w:rsidR="00D628C9">
              <w:rPr>
                <w:noProof/>
                <w:webHidden/>
              </w:rPr>
              <w:fldChar w:fldCharType="separate"/>
            </w:r>
            <w:r w:rsidR="00D628C9">
              <w:rPr>
                <w:noProof/>
                <w:webHidden/>
              </w:rPr>
              <w:t>13</w:t>
            </w:r>
            <w:r w:rsidR="00D628C9">
              <w:rPr>
                <w:noProof/>
                <w:webHidden/>
              </w:rPr>
              <w:fldChar w:fldCharType="end"/>
            </w:r>
          </w:hyperlink>
        </w:p>
        <w:p w14:paraId="62430E9A" w14:textId="1C007377"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85" w:history="1">
            <w:r w:rsidR="00D628C9" w:rsidRPr="00255D12">
              <w:rPr>
                <w:rStyle w:val="Hyperlink"/>
                <w:noProof/>
              </w:rPr>
              <w:t>3.2 METHODOLOGY: NPV, IRR AND CAPITAL RATIONING</w:t>
            </w:r>
            <w:r w:rsidR="00D628C9">
              <w:rPr>
                <w:noProof/>
                <w:webHidden/>
              </w:rPr>
              <w:tab/>
            </w:r>
            <w:r w:rsidR="00D628C9">
              <w:rPr>
                <w:noProof/>
                <w:webHidden/>
              </w:rPr>
              <w:fldChar w:fldCharType="begin"/>
            </w:r>
            <w:r w:rsidR="00D628C9">
              <w:rPr>
                <w:noProof/>
                <w:webHidden/>
              </w:rPr>
              <w:instrText xml:space="preserve"> PAGEREF _Toc216738285 \h </w:instrText>
            </w:r>
            <w:r w:rsidR="00D628C9">
              <w:rPr>
                <w:noProof/>
                <w:webHidden/>
              </w:rPr>
            </w:r>
            <w:r w:rsidR="00D628C9">
              <w:rPr>
                <w:noProof/>
                <w:webHidden/>
              </w:rPr>
              <w:fldChar w:fldCharType="separate"/>
            </w:r>
            <w:r w:rsidR="00D628C9">
              <w:rPr>
                <w:noProof/>
                <w:webHidden/>
              </w:rPr>
              <w:t>13</w:t>
            </w:r>
            <w:r w:rsidR="00D628C9">
              <w:rPr>
                <w:noProof/>
                <w:webHidden/>
              </w:rPr>
              <w:fldChar w:fldCharType="end"/>
            </w:r>
          </w:hyperlink>
        </w:p>
        <w:p w14:paraId="41941EAF" w14:textId="1D711041"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86" w:history="1">
            <w:r w:rsidR="00D628C9" w:rsidRPr="00255D12">
              <w:rPr>
                <w:rStyle w:val="Hyperlink"/>
                <w:noProof/>
              </w:rPr>
              <w:t>3.3 NPV RESULTS AND INTERPRETATION</w:t>
            </w:r>
            <w:r w:rsidR="00D628C9">
              <w:rPr>
                <w:noProof/>
                <w:webHidden/>
              </w:rPr>
              <w:tab/>
            </w:r>
            <w:r w:rsidR="00D628C9">
              <w:rPr>
                <w:noProof/>
                <w:webHidden/>
              </w:rPr>
              <w:fldChar w:fldCharType="begin"/>
            </w:r>
            <w:r w:rsidR="00D628C9">
              <w:rPr>
                <w:noProof/>
                <w:webHidden/>
              </w:rPr>
              <w:instrText xml:space="preserve"> PAGEREF _Toc216738286 \h </w:instrText>
            </w:r>
            <w:r w:rsidR="00D628C9">
              <w:rPr>
                <w:noProof/>
                <w:webHidden/>
              </w:rPr>
            </w:r>
            <w:r w:rsidR="00D628C9">
              <w:rPr>
                <w:noProof/>
                <w:webHidden/>
              </w:rPr>
              <w:fldChar w:fldCharType="separate"/>
            </w:r>
            <w:r w:rsidR="00D628C9">
              <w:rPr>
                <w:noProof/>
                <w:webHidden/>
              </w:rPr>
              <w:t>14</w:t>
            </w:r>
            <w:r w:rsidR="00D628C9">
              <w:rPr>
                <w:noProof/>
                <w:webHidden/>
              </w:rPr>
              <w:fldChar w:fldCharType="end"/>
            </w:r>
          </w:hyperlink>
        </w:p>
        <w:p w14:paraId="6A69F943" w14:textId="4EE611C4"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87" w:history="1">
            <w:r w:rsidR="00D628C9" w:rsidRPr="00255D12">
              <w:rPr>
                <w:rStyle w:val="Hyperlink"/>
                <w:noProof/>
              </w:rPr>
              <w:t>3.4 IRR FOR THE PREFERRED PROJECT</w:t>
            </w:r>
            <w:r w:rsidR="00D628C9">
              <w:rPr>
                <w:noProof/>
                <w:webHidden/>
              </w:rPr>
              <w:tab/>
            </w:r>
            <w:r w:rsidR="00D628C9">
              <w:rPr>
                <w:noProof/>
                <w:webHidden/>
              </w:rPr>
              <w:fldChar w:fldCharType="begin"/>
            </w:r>
            <w:r w:rsidR="00D628C9">
              <w:rPr>
                <w:noProof/>
                <w:webHidden/>
              </w:rPr>
              <w:instrText xml:space="preserve"> PAGEREF _Toc216738287 \h </w:instrText>
            </w:r>
            <w:r w:rsidR="00D628C9">
              <w:rPr>
                <w:noProof/>
                <w:webHidden/>
              </w:rPr>
            </w:r>
            <w:r w:rsidR="00D628C9">
              <w:rPr>
                <w:noProof/>
                <w:webHidden/>
              </w:rPr>
              <w:fldChar w:fldCharType="separate"/>
            </w:r>
            <w:r w:rsidR="00D628C9">
              <w:rPr>
                <w:noProof/>
                <w:webHidden/>
              </w:rPr>
              <w:t>15</w:t>
            </w:r>
            <w:r w:rsidR="00D628C9">
              <w:rPr>
                <w:noProof/>
                <w:webHidden/>
              </w:rPr>
              <w:fldChar w:fldCharType="end"/>
            </w:r>
          </w:hyperlink>
        </w:p>
        <w:p w14:paraId="7E8C696F" w14:textId="3BD770FA"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88" w:history="1">
            <w:r w:rsidR="00D628C9" w:rsidRPr="00255D12">
              <w:rPr>
                <w:rStyle w:val="Hyperlink"/>
                <w:noProof/>
              </w:rPr>
              <w:t>3.5 CRITICAL DISCUSSION OF INVESTMENT APPRAISAL METHODS</w:t>
            </w:r>
            <w:r w:rsidR="00D628C9">
              <w:rPr>
                <w:noProof/>
                <w:webHidden/>
              </w:rPr>
              <w:tab/>
            </w:r>
            <w:r w:rsidR="00D628C9">
              <w:rPr>
                <w:noProof/>
                <w:webHidden/>
              </w:rPr>
              <w:fldChar w:fldCharType="begin"/>
            </w:r>
            <w:r w:rsidR="00D628C9">
              <w:rPr>
                <w:noProof/>
                <w:webHidden/>
              </w:rPr>
              <w:instrText xml:space="preserve"> PAGEREF _Toc216738288 \h </w:instrText>
            </w:r>
            <w:r w:rsidR="00D628C9">
              <w:rPr>
                <w:noProof/>
                <w:webHidden/>
              </w:rPr>
            </w:r>
            <w:r w:rsidR="00D628C9">
              <w:rPr>
                <w:noProof/>
                <w:webHidden/>
              </w:rPr>
              <w:fldChar w:fldCharType="separate"/>
            </w:r>
            <w:r w:rsidR="00D628C9">
              <w:rPr>
                <w:noProof/>
                <w:webHidden/>
              </w:rPr>
              <w:t>16</w:t>
            </w:r>
            <w:r w:rsidR="00D628C9">
              <w:rPr>
                <w:noProof/>
                <w:webHidden/>
              </w:rPr>
              <w:fldChar w:fldCharType="end"/>
            </w:r>
          </w:hyperlink>
        </w:p>
        <w:p w14:paraId="6BB5CF51" w14:textId="0D04B201" w:rsidR="00D628C9" w:rsidRDefault="00DD31D5">
          <w:pPr>
            <w:pStyle w:val="TOC3"/>
            <w:tabs>
              <w:tab w:val="right" w:leader="dot" w:pos="9016"/>
            </w:tabs>
            <w:rPr>
              <w:rFonts w:asciiTheme="minorHAnsi" w:eastAsiaTheme="minorEastAsia" w:hAnsiTheme="minorHAnsi"/>
              <w:noProof/>
              <w:szCs w:val="21"/>
              <w:lang w:eastAsia="en-GB" w:bidi="hi-IN"/>
            </w:rPr>
          </w:pPr>
          <w:hyperlink w:anchor="_Toc216738289" w:history="1">
            <w:r w:rsidR="00D628C9" w:rsidRPr="00255D12">
              <w:rPr>
                <w:rStyle w:val="Hyperlink"/>
                <w:noProof/>
              </w:rPr>
              <w:t>3.5.1 WHY NPV IS PREFERRED IN THEORY</w:t>
            </w:r>
            <w:r w:rsidR="00D628C9">
              <w:rPr>
                <w:noProof/>
                <w:webHidden/>
              </w:rPr>
              <w:tab/>
            </w:r>
            <w:r w:rsidR="00D628C9">
              <w:rPr>
                <w:noProof/>
                <w:webHidden/>
              </w:rPr>
              <w:fldChar w:fldCharType="begin"/>
            </w:r>
            <w:r w:rsidR="00D628C9">
              <w:rPr>
                <w:noProof/>
                <w:webHidden/>
              </w:rPr>
              <w:instrText xml:space="preserve"> PAGEREF _Toc216738289 \h </w:instrText>
            </w:r>
            <w:r w:rsidR="00D628C9">
              <w:rPr>
                <w:noProof/>
                <w:webHidden/>
              </w:rPr>
            </w:r>
            <w:r w:rsidR="00D628C9">
              <w:rPr>
                <w:noProof/>
                <w:webHidden/>
              </w:rPr>
              <w:fldChar w:fldCharType="separate"/>
            </w:r>
            <w:r w:rsidR="00D628C9">
              <w:rPr>
                <w:noProof/>
                <w:webHidden/>
              </w:rPr>
              <w:t>16</w:t>
            </w:r>
            <w:r w:rsidR="00D628C9">
              <w:rPr>
                <w:noProof/>
                <w:webHidden/>
              </w:rPr>
              <w:fldChar w:fldCharType="end"/>
            </w:r>
          </w:hyperlink>
        </w:p>
        <w:p w14:paraId="38DF4A57" w14:textId="539AF2A0" w:rsidR="00D628C9" w:rsidRDefault="00DD31D5">
          <w:pPr>
            <w:pStyle w:val="TOC3"/>
            <w:tabs>
              <w:tab w:val="right" w:leader="dot" w:pos="9016"/>
            </w:tabs>
            <w:rPr>
              <w:rFonts w:asciiTheme="minorHAnsi" w:eastAsiaTheme="minorEastAsia" w:hAnsiTheme="minorHAnsi"/>
              <w:noProof/>
              <w:szCs w:val="21"/>
              <w:lang w:eastAsia="en-GB" w:bidi="hi-IN"/>
            </w:rPr>
          </w:pPr>
          <w:hyperlink w:anchor="_Toc216738290" w:history="1">
            <w:r w:rsidR="00D628C9" w:rsidRPr="00255D12">
              <w:rPr>
                <w:rStyle w:val="Hyperlink"/>
                <w:noProof/>
              </w:rPr>
              <w:t>3.5.2 WHY NON-DISCOUNTING METHODS ARE STILL USED</w:t>
            </w:r>
            <w:r w:rsidR="00D628C9">
              <w:rPr>
                <w:noProof/>
                <w:webHidden/>
              </w:rPr>
              <w:tab/>
            </w:r>
            <w:r w:rsidR="00D628C9">
              <w:rPr>
                <w:noProof/>
                <w:webHidden/>
              </w:rPr>
              <w:fldChar w:fldCharType="begin"/>
            </w:r>
            <w:r w:rsidR="00D628C9">
              <w:rPr>
                <w:noProof/>
                <w:webHidden/>
              </w:rPr>
              <w:instrText xml:space="preserve"> PAGEREF _Toc216738290 \h </w:instrText>
            </w:r>
            <w:r w:rsidR="00D628C9">
              <w:rPr>
                <w:noProof/>
                <w:webHidden/>
              </w:rPr>
            </w:r>
            <w:r w:rsidR="00D628C9">
              <w:rPr>
                <w:noProof/>
                <w:webHidden/>
              </w:rPr>
              <w:fldChar w:fldCharType="separate"/>
            </w:r>
            <w:r w:rsidR="00D628C9">
              <w:rPr>
                <w:noProof/>
                <w:webHidden/>
              </w:rPr>
              <w:t>16</w:t>
            </w:r>
            <w:r w:rsidR="00D628C9">
              <w:rPr>
                <w:noProof/>
                <w:webHidden/>
              </w:rPr>
              <w:fldChar w:fldCharType="end"/>
            </w:r>
          </w:hyperlink>
        </w:p>
        <w:p w14:paraId="6933C571" w14:textId="05228AD2" w:rsidR="00D628C9" w:rsidRDefault="00DD31D5">
          <w:pPr>
            <w:pStyle w:val="TOC3"/>
            <w:tabs>
              <w:tab w:val="right" w:leader="dot" w:pos="9016"/>
            </w:tabs>
            <w:rPr>
              <w:rFonts w:asciiTheme="minorHAnsi" w:eastAsiaTheme="minorEastAsia" w:hAnsiTheme="minorHAnsi"/>
              <w:noProof/>
              <w:szCs w:val="21"/>
              <w:lang w:eastAsia="en-GB" w:bidi="hi-IN"/>
            </w:rPr>
          </w:pPr>
          <w:hyperlink w:anchor="_Toc216738291" w:history="1">
            <w:r w:rsidR="00D628C9" w:rsidRPr="00255D12">
              <w:rPr>
                <w:rStyle w:val="Hyperlink"/>
                <w:noProof/>
              </w:rPr>
              <w:t>3.5.3 QUALITATIVE AND STRATEGIC CONSIDERATIONS</w:t>
            </w:r>
            <w:r w:rsidR="00D628C9">
              <w:rPr>
                <w:noProof/>
                <w:webHidden/>
              </w:rPr>
              <w:tab/>
            </w:r>
            <w:r w:rsidR="00D628C9">
              <w:rPr>
                <w:noProof/>
                <w:webHidden/>
              </w:rPr>
              <w:fldChar w:fldCharType="begin"/>
            </w:r>
            <w:r w:rsidR="00D628C9">
              <w:rPr>
                <w:noProof/>
                <w:webHidden/>
              </w:rPr>
              <w:instrText xml:space="preserve"> PAGEREF _Toc216738291 \h </w:instrText>
            </w:r>
            <w:r w:rsidR="00D628C9">
              <w:rPr>
                <w:noProof/>
                <w:webHidden/>
              </w:rPr>
            </w:r>
            <w:r w:rsidR="00D628C9">
              <w:rPr>
                <w:noProof/>
                <w:webHidden/>
              </w:rPr>
              <w:fldChar w:fldCharType="separate"/>
            </w:r>
            <w:r w:rsidR="00D628C9">
              <w:rPr>
                <w:noProof/>
                <w:webHidden/>
              </w:rPr>
              <w:t>17</w:t>
            </w:r>
            <w:r w:rsidR="00D628C9">
              <w:rPr>
                <w:noProof/>
                <w:webHidden/>
              </w:rPr>
              <w:fldChar w:fldCharType="end"/>
            </w:r>
          </w:hyperlink>
        </w:p>
        <w:p w14:paraId="022A7817" w14:textId="085895B4"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92" w:history="1">
            <w:r w:rsidR="00D628C9" w:rsidRPr="00255D12">
              <w:rPr>
                <w:rStyle w:val="Hyperlink"/>
                <w:noProof/>
              </w:rPr>
              <w:t>3.6 CAPITAL RATIONING AND OPTIMAL INVESTMENT POLICY</w:t>
            </w:r>
            <w:r w:rsidR="00D628C9">
              <w:rPr>
                <w:noProof/>
                <w:webHidden/>
              </w:rPr>
              <w:tab/>
            </w:r>
            <w:r w:rsidR="00D628C9">
              <w:rPr>
                <w:noProof/>
                <w:webHidden/>
              </w:rPr>
              <w:fldChar w:fldCharType="begin"/>
            </w:r>
            <w:r w:rsidR="00D628C9">
              <w:rPr>
                <w:noProof/>
                <w:webHidden/>
              </w:rPr>
              <w:instrText xml:space="preserve"> PAGEREF _Toc216738292 \h </w:instrText>
            </w:r>
            <w:r w:rsidR="00D628C9">
              <w:rPr>
                <w:noProof/>
                <w:webHidden/>
              </w:rPr>
            </w:r>
            <w:r w:rsidR="00D628C9">
              <w:rPr>
                <w:noProof/>
                <w:webHidden/>
              </w:rPr>
              <w:fldChar w:fldCharType="separate"/>
            </w:r>
            <w:r w:rsidR="00D628C9">
              <w:rPr>
                <w:noProof/>
                <w:webHidden/>
              </w:rPr>
              <w:t>18</w:t>
            </w:r>
            <w:r w:rsidR="00D628C9">
              <w:rPr>
                <w:noProof/>
                <w:webHidden/>
              </w:rPr>
              <w:fldChar w:fldCharType="end"/>
            </w:r>
          </w:hyperlink>
        </w:p>
        <w:p w14:paraId="324DBD62" w14:textId="7C00C00E"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93" w:history="1">
            <w:r w:rsidR="00D628C9" w:rsidRPr="00255D12">
              <w:rPr>
                <w:rStyle w:val="Hyperlink"/>
                <w:noProof/>
              </w:rPr>
              <w:t>3.7 FINANCING THE INVESTMENT PROGRAMME</w:t>
            </w:r>
            <w:r w:rsidR="00D628C9">
              <w:rPr>
                <w:noProof/>
                <w:webHidden/>
              </w:rPr>
              <w:tab/>
            </w:r>
            <w:r w:rsidR="00D628C9">
              <w:rPr>
                <w:noProof/>
                <w:webHidden/>
              </w:rPr>
              <w:fldChar w:fldCharType="begin"/>
            </w:r>
            <w:r w:rsidR="00D628C9">
              <w:rPr>
                <w:noProof/>
                <w:webHidden/>
              </w:rPr>
              <w:instrText xml:space="preserve"> PAGEREF _Toc216738293 \h </w:instrText>
            </w:r>
            <w:r w:rsidR="00D628C9">
              <w:rPr>
                <w:noProof/>
                <w:webHidden/>
              </w:rPr>
            </w:r>
            <w:r w:rsidR="00D628C9">
              <w:rPr>
                <w:noProof/>
                <w:webHidden/>
              </w:rPr>
              <w:fldChar w:fldCharType="separate"/>
            </w:r>
            <w:r w:rsidR="00D628C9">
              <w:rPr>
                <w:noProof/>
                <w:webHidden/>
              </w:rPr>
              <w:t>19</w:t>
            </w:r>
            <w:r w:rsidR="00D628C9">
              <w:rPr>
                <w:noProof/>
                <w:webHidden/>
              </w:rPr>
              <w:fldChar w:fldCharType="end"/>
            </w:r>
          </w:hyperlink>
        </w:p>
        <w:p w14:paraId="6B6726D4" w14:textId="596CA8F0" w:rsidR="00D628C9" w:rsidRDefault="00DD31D5">
          <w:pPr>
            <w:pStyle w:val="TOC1"/>
            <w:tabs>
              <w:tab w:val="right" w:leader="dot" w:pos="9016"/>
            </w:tabs>
            <w:rPr>
              <w:rFonts w:asciiTheme="minorHAnsi" w:eastAsiaTheme="minorEastAsia" w:hAnsiTheme="minorHAnsi"/>
              <w:noProof/>
              <w:szCs w:val="21"/>
              <w:lang w:eastAsia="en-GB" w:bidi="hi-IN"/>
            </w:rPr>
          </w:pPr>
          <w:hyperlink w:anchor="_Toc216738294" w:history="1">
            <w:r w:rsidR="00D628C9" w:rsidRPr="00255D12">
              <w:rPr>
                <w:rStyle w:val="Hyperlink"/>
                <w:noProof/>
              </w:rPr>
              <w:t>4. CONCLUSION</w:t>
            </w:r>
            <w:r w:rsidR="00D628C9">
              <w:rPr>
                <w:noProof/>
                <w:webHidden/>
              </w:rPr>
              <w:tab/>
            </w:r>
            <w:r w:rsidR="00D628C9">
              <w:rPr>
                <w:noProof/>
                <w:webHidden/>
              </w:rPr>
              <w:fldChar w:fldCharType="begin"/>
            </w:r>
            <w:r w:rsidR="00D628C9">
              <w:rPr>
                <w:noProof/>
                <w:webHidden/>
              </w:rPr>
              <w:instrText xml:space="preserve"> PAGEREF _Toc216738294 \h </w:instrText>
            </w:r>
            <w:r w:rsidR="00D628C9">
              <w:rPr>
                <w:noProof/>
                <w:webHidden/>
              </w:rPr>
            </w:r>
            <w:r w:rsidR="00D628C9">
              <w:rPr>
                <w:noProof/>
                <w:webHidden/>
              </w:rPr>
              <w:fldChar w:fldCharType="separate"/>
            </w:r>
            <w:r w:rsidR="00D628C9">
              <w:rPr>
                <w:noProof/>
                <w:webHidden/>
              </w:rPr>
              <w:t>20</w:t>
            </w:r>
            <w:r w:rsidR="00D628C9">
              <w:rPr>
                <w:noProof/>
                <w:webHidden/>
              </w:rPr>
              <w:fldChar w:fldCharType="end"/>
            </w:r>
          </w:hyperlink>
        </w:p>
        <w:p w14:paraId="6F4975C5" w14:textId="010DD462" w:rsidR="00D628C9" w:rsidRDefault="00DD31D5">
          <w:pPr>
            <w:pStyle w:val="TOC1"/>
            <w:tabs>
              <w:tab w:val="left" w:pos="480"/>
              <w:tab w:val="right" w:leader="dot" w:pos="9016"/>
            </w:tabs>
            <w:rPr>
              <w:rFonts w:asciiTheme="minorHAnsi" w:eastAsiaTheme="minorEastAsia" w:hAnsiTheme="minorHAnsi"/>
              <w:noProof/>
              <w:szCs w:val="21"/>
              <w:lang w:eastAsia="en-GB" w:bidi="hi-IN"/>
            </w:rPr>
          </w:pPr>
          <w:hyperlink w:anchor="_Toc216738295" w:history="1">
            <w:r w:rsidR="00D628C9" w:rsidRPr="00255D12">
              <w:rPr>
                <w:rStyle w:val="Hyperlink"/>
                <w:noProof/>
              </w:rPr>
              <w:t>5.</w:t>
            </w:r>
            <w:r w:rsidR="00D628C9">
              <w:rPr>
                <w:rFonts w:asciiTheme="minorHAnsi" w:eastAsiaTheme="minorEastAsia" w:hAnsiTheme="minorHAnsi"/>
                <w:noProof/>
                <w:szCs w:val="21"/>
                <w:lang w:eastAsia="en-GB" w:bidi="hi-IN"/>
              </w:rPr>
              <w:tab/>
            </w:r>
            <w:r w:rsidR="00D628C9" w:rsidRPr="00255D12">
              <w:rPr>
                <w:rStyle w:val="Hyperlink"/>
                <w:noProof/>
              </w:rPr>
              <w:t>REFERENCES</w:t>
            </w:r>
            <w:r w:rsidR="00D628C9">
              <w:rPr>
                <w:noProof/>
                <w:webHidden/>
              </w:rPr>
              <w:tab/>
            </w:r>
            <w:r w:rsidR="00D628C9">
              <w:rPr>
                <w:noProof/>
                <w:webHidden/>
              </w:rPr>
              <w:fldChar w:fldCharType="begin"/>
            </w:r>
            <w:r w:rsidR="00D628C9">
              <w:rPr>
                <w:noProof/>
                <w:webHidden/>
              </w:rPr>
              <w:instrText xml:space="preserve"> PAGEREF _Toc216738295 \h </w:instrText>
            </w:r>
            <w:r w:rsidR="00D628C9">
              <w:rPr>
                <w:noProof/>
                <w:webHidden/>
              </w:rPr>
            </w:r>
            <w:r w:rsidR="00D628C9">
              <w:rPr>
                <w:noProof/>
                <w:webHidden/>
              </w:rPr>
              <w:fldChar w:fldCharType="separate"/>
            </w:r>
            <w:r w:rsidR="00D628C9">
              <w:rPr>
                <w:noProof/>
                <w:webHidden/>
              </w:rPr>
              <w:t>21</w:t>
            </w:r>
            <w:r w:rsidR="00D628C9">
              <w:rPr>
                <w:noProof/>
                <w:webHidden/>
              </w:rPr>
              <w:fldChar w:fldCharType="end"/>
            </w:r>
          </w:hyperlink>
        </w:p>
        <w:p w14:paraId="7037EFFD" w14:textId="39D21EEA" w:rsidR="00D628C9" w:rsidRDefault="00DD31D5">
          <w:pPr>
            <w:pStyle w:val="TOC1"/>
            <w:tabs>
              <w:tab w:val="right" w:leader="dot" w:pos="9016"/>
            </w:tabs>
            <w:rPr>
              <w:rFonts w:asciiTheme="minorHAnsi" w:eastAsiaTheme="minorEastAsia" w:hAnsiTheme="minorHAnsi"/>
              <w:noProof/>
              <w:szCs w:val="21"/>
              <w:lang w:eastAsia="en-GB" w:bidi="hi-IN"/>
            </w:rPr>
          </w:pPr>
          <w:hyperlink w:anchor="_Toc216738296" w:history="1">
            <w:r w:rsidR="00D628C9" w:rsidRPr="00255D12">
              <w:rPr>
                <w:rStyle w:val="Hyperlink"/>
                <w:noProof/>
              </w:rPr>
              <w:t>APPENDICES</w:t>
            </w:r>
            <w:r w:rsidR="00D628C9">
              <w:rPr>
                <w:noProof/>
                <w:webHidden/>
              </w:rPr>
              <w:tab/>
            </w:r>
            <w:r w:rsidR="00D628C9">
              <w:rPr>
                <w:noProof/>
                <w:webHidden/>
              </w:rPr>
              <w:fldChar w:fldCharType="begin"/>
            </w:r>
            <w:r w:rsidR="00D628C9">
              <w:rPr>
                <w:noProof/>
                <w:webHidden/>
              </w:rPr>
              <w:instrText xml:space="preserve"> PAGEREF _Toc216738296 \h </w:instrText>
            </w:r>
            <w:r w:rsidR="00D628C9">
              <w:rPr>
                <w:noProof/>
                <w:webHidden/>
              </w:rPr>
            </w:r>
            <w:r w:rsidR="00D628C9">
              <w:rPr>
                <w:noProof/>
                <w:webHidden/>
              </w:rPr>
              <w:fldChar w:fldCharType="separate"/>
            </w:r>
            <w:r w:rsidR="00D628C9">
              <w:rPr>
                <w:noProof/>
                <w:webHidden/>
              </w:rPr>
              <w:t>23</w:t>
            </w:r>
            <w:r w:rsidR="00D628C9">
              <w:rPr>
                <w:noProof/>
                <w:webHidden/>
              </w:rPr>
              <w:fldChar w:fldCharType="end"/>
            </w:r>
          </w:hyperlink>
        </w:p>
        <w:p w14:paraId="2CFEACA1" w14:textId="7F0DE66F"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97" w:history="1">
            <w:r w:rsidR="00D628C9" w:rsidRPr="00255D12">
              <w:rPr>
                <w:rStyle w:val="Hyperlink"/>
                <w:noProof/>
              </w:rPr>
              <w:t>APPENDIX A : AMAZON FINANCIAL STATEMENTS</w:t>
            </w:r>
            <w:r w:rsidR="00D628C9">
              <w:rPr>
                <w:noProof/>
                <w:webHidden/>
              </w:rPr>
              <w:tab/>
            </w:r>
            <w:r w:rsidR="00D628C9">
              <w:rPr>
                <w:noProof/>
                <w:webHidden/>
              </w:rPr>
              <w:fldChar w:fldCharType="begin"/>
            </w:r>
            <w:r w:rsidR="00D628C9">
              <w:rPr>
                <w:noProof/>
                <w:webHidden/>
              </w:rPr>
              <w:instrText xml:space="preserve"> PAGEREF _Toc216738297 \h </w:instrText>
            </w:r>
            <w:r w:rsidR="00D628C9">
              <w:rPr>
                <w:noProof/>
                <w:webHidden/>
              </w:rPr>
            </w:r>
            <w:r w:rsidR="00D628C9">
              <w:rPr>
                <w:noProof/>
                <w:webHidden/>
              </w:rPr>
              <w:fldChar w:fldCharType="separate"/>
            </w:r>
            <w:r w:rsidR="00D628C9">
              <w:rPr>
                <w:noProof/>
                <w:webHidden/>
              </w:rPr>
              <w:t>23</w:t>
            </w:r>
            <w:r w:rsidR="00D628C9">
              <w:rPr>
                <w:noProof/>
                <w:webHidden/>
              </w:rPr>
              <w:fldChar w:fldCharType="end"/>
            </w:r>
          </w:hyperlink>
        </w:p>
        <w:p w14:paraId="41316FBC" w14:textId="7A99F1EC"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98" w:history="1">
            <w:r w:rsidR="00D628C9" w:rsidRPr="00255D12">
              <w:rPr>
                <w:rStyle w:val="Hyperlink"/>
                <w:noProof/>
              </w:rPr>
              <w:t>APPENDIX B: AMAZON RATIO CALCULATIONS</w:t>
            </w:r>
            <w:r w:rsidR="00D628C9">
              <w:rPr>
                <w:noProof/>
                <w:webHidden/>
              </w:rPr>
              <w:tab/>
            </w:r>
            <w:r w:rsidR="00D628C9">
              <w:rPr>
                <w:noProof/>
                <w:webHidden/>
              </w:rPr>
              <w:fldChar w:fldCharType="begin"/>
            </w:r>
            <w:r w:rsidR="00D628C9">
              <w:rPr>
                <w:noProof/>
                <w:webHidden/>
              </w:rPr>
              <w:instrText xml:space="preserve"> PAGEREF _Toc216738298 \h </w:instrText>
            </w:r>
            <w:r w:rsidR="00D628C9">
              <w:rPr>
                <w:noProof/>
                <w:webHidden/>
              </w:rPr>
            </w:r>
            <w:r w:rsidR="00D628C9">
              <w:rPr>
                <w:noProof/>
                <w:webHidden/>
              </w:rPr>
              <w:fldChar w:fldCharType="separate"/>
            </w:r>
            <w:r w:rsidR="00D628C9">
              <w:rPr>
                <w:noProof/>
                <w:webHidden/>
              </w:rPr>
              <w:t>25</w:t>
            </w:r>
            <w:r w:rsidR="00D628C9">
              <w:rPr>
                <w:noProof/>
                <w:webHidden/>
              </w:rPr>
              <w:fldChar w:fldCharType="end"/>
            </w:r>
          </w:hyperlink>
        </w:p>
        <w:p w14:paraId="20985192" w14:textId="6333614F" w:rsidR="00D628C9" w:rsidRDefault="00DD31D5">
          <w:pPr>
            <w:pStyle w:val="TOC2"/>
            <w:tabs>
              <w:tab w:val="right" w:leader="dot" w:pos="9016"/>
            </w:tabs>
            <w:rPr>
              <w:rFonts w:asciiTheme="minorHAnsi" w:eastAsiaTheme="minorEastAsia" w:hAnsiTheme="minorHAnsi"/>
              <w:noProof/>
              <w:szCs w:val="21"/>
              <w:lang w:eastAsia="en-GB" w:bidi="hi-IN"/>
            </w:rPr>
          </w:pPr>
          <w:hyperlink w:anchor="_Toc216738299" w:history="1">
            <w:r w:rsidR="00D628C9" w:rsidRPr="00255D12">
              <w:rPr>
                <w:rStyle w:val="Hyperlink"/>
                <w:noProof/>
              </w:rPr>
              <w:t>APPENDIX C: CASH FLOW, TAX, NPV AND IRR CALCULATIONS FOR PROJECTS A, B AND C</w:t>
            </w:r>
            <w:r w:rsidR="00D628C9">
              <w:rPr>
                <w:noProof/>
                <w:webHidden/>
              </w:rPr>
              <w:tab/>
            </w:r>
            <w:r w:rsidR="00D628C9">
              <w:rPr>
                <w:noProof/>
                <w:webHidden/>
              </w:rPr>
              <w:fldChar w:fldCharType="begin"/>
            </w:r>
            <w:r w:rsidR="00D628C9">
              <w:rPr>
                <w:noProof/>
                <w:webHidden/>
              </w:rPr>
              <w:instrText xml:space="preserve"> PAGEREF _Toc216738299 \h </w:instrText>
            </w:r>
            <w:r w:rsidR="00D628C9">
              <w:rPr>
                <w:noProof/>
                <w:webHidden/>
              </w:rPr>
            </w:r>
            <w:r w:rsidR="00D628C9">
              <w:rPr>
                <w:noProof/>
                <w:webHidden/>
              </w:rPr>
              <w:fldChar w:fldCharType="separate"/>
            </w:r>
            <w:r w:rsidR="00D628C9">
              <w:rPr>
                <w:noProof/>
                <w:webHidden/>
              </w:rPr>
              <w:t>26</w:t>
            </w:r>
            <w:r w:rsidR="00D628C9">
              <w:rPr>
                <w:noProof/>
                <w:webHidden/>
              </w:rPr>
              <w:fldChar w:fldCharType="end"/>
            </w:r>
          </w:hyperlink>
        </w:p>
        <w:p w14:paraId="78B41BAE" w14:textId="0E7E1274" w:rsidR="0048096E" w:rsidRDefault="0048096E" w:rsidP="0090653E">
          <w:pPr>
            <w:spacing w:after="0"/>
          </w:pPr>
          <w:r>
            <w:rPr>
              <w:b/>
              <w:bCs/>
              <w:noProof/>
            </w:rPr>
            <w:fldChar w:fldCharType="end"/>
          </w:r>
        </w:p>
      </w:sdtContent>
    </w:sdt>
    <w:p w14:paraId="768119F0" w14:textId="77777777" w:rsidR="00372BE1" w:rsidRDefault="00335559" w:rsidP="00372BE1">
      <w:pPr>
        <w:spacing w:line="259" w:lineRule="auto"/>
        <w:jc w:val="left"/>
      </w:pPr>
      <w:r>
        <w:br w:type="page"/>
      </w:r>
    </w:p>
    <w:p w14:paraId="3F30CECE" w14:textId="43B68063" w:rsidR="00372BE1" w:rsidRDefault="00372BE1" w:rsidP="00372BE1">
      <w:pPr>
        <w:pStyle w:val="Heading1"/>
        <w:jc w:val="center"/>
      </w:pPr>
      <w:bookmarkStart w:id="1" w:name="_Toc216738272"/>
      <w:r>
        <w:lastRenderedPageBreak/>
        <w:t>EXECUTIVE SUMMARY</w:t>
      </w:r>
      <w:bookmarkEnd w:id="1"/>
    </w:p>
    <w:p w14:paraId="49A01C81" w14:textId="11F00125" w:rsidR="00D628C9" w:rsidRDefault="00D628C9" w:rsidP="00D628C9">
      <w:pPr>
        <w:sectPr w:rsidR="00D628C9">
          <w:pgSz w:w="11906" w:h="16838"/>
          <w:pgMar w:top="1440" w:right="1440" w:bottom="1440" w:left="1440" w:header="708" w:footer="708" w:gutter="0"/>
          <w:cols w:space="708"/>
          <w:docGrid w:linePitch="360"/>
        </w:sectPr>
      </w:pPr>
      <w:r w:rsidRPr="00E501C7">
        <w:t>This report explores how financial management information supports business decisions in two related ways</w:t>
      </w:r>
      <w:r w:rsidR="00372BE1" w:rsidRPr="00372BE1">
        <w:t>. The first part analyses Amazon’s recent financial performance using ratio analysis for 2023 and 2024. The results show that profitability has improved strongly: gross margin, operating margin, net profit margin and ROCE all increased, and earnings per share almost doubled. Liquidity ratios (current and quick) remain low in textbook terms, but are supported by a negative cash conversion cycle and strong operating cash flow, so short-term solvency appears sound. Efficiency ratios confirm very effective working capital management, with slightly lower inventory and receivables days and higher payables days. Gearing has fallen and interest cover has risen sharply, indicating a conservative and resilient capital structure.</w:t>
      </w:r>
      <w:r>
        <w:t xml:space="preserve"> </w:t>
      </w:r>
      <w:r w:rsidR="00372BE1" w:rsidRPr="00372BE1">
        <w:t>Overall, Amazon’s financial position is strong</w:t>
      </w:r>
      <w:r>
        <w:t xml:space="preserve"> with further scopes of improvement. Hence evidences-based </w:t>
      </w:r>
      <w:r w:rsidR="00372BE1" w:rsidRPr="00372BE1">
        <w:t xml:space="preserve">recommendations are </w:t>
      </w:r>
      <w:r>
        <w:t>provided for better</w:t>
      </w:r>
      <w:r w:rsidR="00372BE1" w:rsidRPr="00372BE1">
        <w:t xml:space="preserve"> performance.</w:t>
      </w:r>
      <w:r>
        <w:t xml:space="preserve"> </w:t>
      </w:r>
      <w:r w:rsidRPr="00D628C9">
        <w:t>The second part evaluates three investment options for Westward plc using discounted cash flow methods. All three projects</w:t>
      </w:r>
      <w:r>
        <w:t xml:space="preserve"> fond to</w:t>
      </w:r>
      <w:r w:rsidRPr="00D628C9">
        <w:t xml:space="preserve"> have positive NPVs </w:t>
      </w:r>
      <w:r>
        <w:t>with higher NPV, o</w:t>
      </w:r>
      <w:r w:rsidRPr="00D628C9">
        <w:t>ption B</w:t>
      </w:r>
      <w:r>
        <w:t xml:space="preserve"> is </w:t>
      </w:r>
      <w:r w:rsidRPr="00D628C9">
        <w:t xml:space="preserve">preferred </w:t>
      </w:r>
      <w:r>
        <w:t xml:space="preserve">with </w:t>
      </w:r>
      <w:r w:rsidRPr="00D628C9">
        <w:t>an estimated IRR of about 32%, well above the cost of capital. Under capital rationing with a £2.5 million limit and divisible projects, the optimal combination is to undertake A and B in full and 56.25% of C, giving a total NPV of about £1.85 million. A balanced mix of retained earnings and medium-term debt is recommended to finance this programme while maintaining a moderate level of financial risk.</w:t>
      </w:r>
    </w:p>
    <w:p w14:paraId="06E83AF2" w14:textId="0D2966DA" w:rsidR="00583FA5" w:rsidRPr="007F05F5" w:rsidRDefault="00583FA5" w:rsidP="00004E06">
      <w:pPr>
        <w:pStyle w:val="Heading1"/>
        <w:numPr>
          <w:ilvl w:val="0"/>
          <w:numId w:val="14"/>
        </w:numPr>
      </w:pPr>
      <w:bookmarkStart w:id="2" w:name="_Toc216738273"/>
      <w:r w:rsidRPr="007F05F5">
        <w:lastRenderedPageBreak/>
        <w:t>INTRODUCTION</w:t>
      </w:r>
      <w:bookmarkEnd w:id="2"/>
    </w:p>
    <w:p w14:paraId="162A098B" w14:textId="77777777" w:rsidR="00583FA5" w:rsidRPr="00822B31" w:rsidRDefault="00583FA5" w:rsidP="00583FA5">
      <w:r w:rsidRPr="00E501C7">
        <w:t>This report explores how financial management information supports business decisions in two related ways.</w:t>
      </w:r>
      <w:r>
        <w:t xml:space="preserve"> </w:t>
      </w:r>
      <w:r w:rsidRPr="00E501C7">
        <w:t xml:space="preserve">First, it analyses the recent financial performance of Amazon, using ratio analysis based on its 2023 and 2024 consolidated financial statements. By calculating and interpreting key profitability, liquidity, efficiency, gearing and investor ratios, the report assesses how effectively Amazon converts revenue into profit, controls working capital, structures its capital, and creates value for shareholders. </w:t>
      </w:r>
      <w:r w:rsidRPr="00822B31">
        <w:t>The aim is not just describing the numbers but to critically evaluate and understand what those mean for Amazon at present and near future.</w:t>
      </w:r>
    </w:p>
    <w:p w14:paraId="65BCD2BD" w14:textId="77777777" w:rsidR="00583FA5" w:rsidRPr="00E501C7" w:rsidRDefault="00583FA5" w:rsidP="00583FA5">
      <w:r w:rsidRPr="00822B31">
        <w:t>Second, the paper analyse different investment decision and select the best fitted one for Westward plc.</w:t>
      </w:r>
      <w:r w:rsidRPr="00E501C7">
        <w:t xml:space="preserve"> Using discounted cash flow methods, especially Net Present Value (NPV) and Internal Rate of Return (IRR), the report examines which projects are financially acceptable at a 6% cost of capital. It then applies a capital rationing framework, where available funds are limited, and identifies the combination of projects that gives the highest total NPV.</w:t>
      </w:r>
    </w:p>
    <w:p w14:paraId="17ED942C" w14:textId="77777777" w:rsidR="00583FA5" w:rsidRPr="00E501C7" w:rsidRDefault="00583FA5" w:rsidP="00583FA5">
      <w:r w:rsidRPr="00E501C7">
        <w:t>The report also discusses the advantages and limitations of the investment appraisal methods used and reviews alternative sources of finance for Westward’s chosen investment programme. The conclusion brings together the main findings from both tasks and shows how financial analysis can support directors in making informed and consistent decisions.</w:t>
      </w:r>
    </w:p>
    <w:p w14:paraId="105A2AF6" w14:textId="77777777" w:rsidR="00583FA5" w:rsidRPr="007F05F5" w:rsidRDefault="00583FA5" w:rsidP="00583FA5">
      <w:pPr>
        <w:pStyle w:val="Heading1"/>
        <w:rPr>
          <w:rStyle w:val="Heading1Char"/>
          <w:b/>
        </w:rPr>
      </w:pPr>
      <w:bookmarkStart w:id="3" w:name="_Toc216738274"/>
      <w:r w:rsidRPr="007F05F5">
        <w:t xml:space="preserve">2. </w:t>
      </w:r>
      <w:r w:rsidRPr="007F05F5">
        <w:rPr>
          <w:rStyle w:val="Heading1Char"/>
          <w:b/>
        </w:rPr>
        <w:t>TASK 1: FINANCIAL PERFORMANCE ANALYSIS OF AMAZON</w:t>
      </w:r>
      <w:bookmarkEnd w:id="3"/>
    </w:p>
    <w:p w14:paraId="6E2EE413" w14:textId="77777777" w:rsidR="00583FA5" w:rsidRPr="00E501C7" w:rsidRDefault="00583FA5" w:rsidP="00492D49">
      <w:pPr>
        <w:pStyle w:val="Heading2"/>
      </w:pPr>
      <w:bookmarkStart w:id="4" w:name="_Toc216738275"/>
      <w:r w:rsidRPr="00E501C7">
        <w:t>2.1 COMPANY OVERVIEW AND FINANCIAL CONTEXT</w:t>
      </w:r>
      <w:bookmarkEnd w:id="4"/>
    </w:p>
    <w:p w14:paraId="17F09C66" w14:textId="77777777" w:rsidR="00583FA5" w:rsidRPr="00E501C7" w:rsidRDefault="00583FA5" w:rsidP="00583FA5">
      <w:r w:rsidRPr="00E501C7">
        <w:t xml:space="preserve">Amazon is a global technology company operating mainly in </w:t>
      </w:r>
      <w:r w:rsidRPr="007F05F5">
        <w:t>e-commerce</w:t>
      </w:r>
      <w:r w:rsidRPr="00E501C7">
        <w:t xml:space="preserve">, </w:t>
      </w:r>
      <w:r w:rsidRPr="007F05F5">
        <w:t>cloud computing</w:t>
      </w:r>
      <w:r w:rsidRPr="00E501C7">
        <w:t xml:space="preserve"> through Amazon Web Services (AWS), digital advertising and subscription services. It reports three main operating segments: </w:t>
      </w:r>
      <w:r w:rsidRPr="007F05F5">
        <w:t>North America</w:t>
      </w:r>
      <w:r w:rsidRPr="00E501C7">
        <w:t xml:space="preserve">, </w:t>
      </w:r>
      <w:r w:rsidRPr="007F05F5">
        <w:t>International</w:t>
      </w:r>
      <w:r w:rsidRPr="00E501C7">
        <w:t xml:space="preserve"> and </w:t>
      </w:r>
      <w:r w:rsidRPr="007F05F5">
        <w:t>AWS</w:t>
      </w:r>
      <w:r w:rsidRPr="00E501C7">
        <w:t>, which reflect how management monitors performance and allocates resources (Amazon, 2024).</w:t>
      </w:r>
    </w:p>
    <w:p w14:paraId="04ACB353" w14:textId="77777777" w:rsidR="00583FA5" w:rsidRPr="00E501C7" w:rsidRDefault="00583FA5" w:rsidP="00583FA5">
      <w:r w:rsidRPr="00E501C7">
        <w:lastRenderedPageBreak/>
        <w:t xml:space="preserve">In </w:t>
      </w:r>
      <w:r w:rsidRPr="007F05F5">
        <w:t>2024</w:t>
      </w:r>
      <w:r w:rsidRPr="00E501C7">
        <w:t xml:space="preserve">, Amazon generated </w:t>
      </w:r>
      <w:r w:rsidRPr="007F05F5">
        <w:t>net sales of about $638.0 billion</w:t>
      </w:r>
      <w:r w:rsidRPr="00E501C7">
        <w:t xml:space="preserve">, an increase of around </w:t>
      </w:r>
      <w:r w:rsidRPr="007F05F5">
        <w:t>11%</w:t>
      </w:r>
      <w:r w:rsidRPr="00E501C7">
        <w:t xml:space="preserve"> from </w:t>
      </w:r>
      <w:r w:rsidRPr="007F05F5">
        <w:t>$574.8 billion in 2023</w:t>
      </w:r>
      <w:r w:rsidRPr="00E501C7">
        <w:t xml:space="preserve"> (Amazon, 2024). Revenue grew in all segments, with AWS showing particularly strong growth, underlining its role as a key driver of profit. Operating performance improved even more. </w:t>
      </w:r>
      <w:r w:rsidRPr="007F05F5">
        <w:t>Operating income</w:t>
      </w:r>
      <w:r w:rsidRPr="00E501C7">
        <w:t xml:space="preserve"> rose from </w:t>
      </w:r>
      <w:r w:rsidRPr="007F05F5">
        <w:t>$36.9 billion in 2023</w:t>
      </w:r>
      <w:r w:rsidRPr="00E501C7">
        <w:t xml:space="preserve"> to </w:t>
      </w:r>
      <w:r w:rsidRPr="007F05F5">
        <w:t>$68.6 billion in 2024</w:t>
      </w:r>
      <w:r w:rsidRPr="00E501C7">
        <w:t xml:space="preserve">, and the </w:t>
      </w:r>
      <w:r w:rsidRPr="007F05F5">
        <w:t>operating margin</w:t>
      </w:r>
      <w:r w:rsidRPr="00E501C7">
        <w:t xml:space="preserve"> increased from about </w:t>
      </w:r>
      <w:r w:rsidRPr="007F05F5">
        <w:t>6.4% to 10.8%</w:t>
      </w:r>
      <w:r w:rsidRPr="00E501C7">
        <w:t xml:space="preserve"> (Amazon, 2024). Management attribute this to higher sales volumes, efficiency gains in fulfilment and logistics, growth in AWS and advertising, and a change in the estimated useful lives of servers, which reduced depreciation expense in 2024 (Amazon, 2024).</w:t>
      </w:r>
    </w:p>
    <w:p w14:paraId="70682874" w14:textId="77777777" w:rsidR="00583FA5" w:rsidRPr="00E501C7" w:rsidRDefault="00583FA5" w:rsidP="00583FA5">
      <w:r w:rsidRPr="00E501C7">
        <w:t xml:space="preserve">Strategically, Amazon continues to invest heavily in </w:t>
      </w:r>
      <w:r w:rsidRPr="007F05F5">
        <w:t>AI infrastructure</w:t>
      </w:r>
      <w:r w:rsidRPr="00E501C7">
        <w:t xml:space="preserve">, </w:t>
      </w:r>
      <w:r w:rsidRPr="007F05F5">
        <w:t>custom chips</w:t>
      </w:r>
      <w:r w:rsidRPr="00E501C7">
        <w:t xml:space="preserve"> (such as Trainium), new </w:t>
      </w:r>
      <w:r w:rsidRPr="007F05F5">
        <w:t>AWS data centres</w:t>
      </w:r>
      <w:r w:rsidRPr="00E501C7">
        <w:t>, robotics and faster delivery networks. These investments support long-term growth but also increase capital intensity and exposure to technological and regulatory risk (Amazon, 2024).</w:t>
      </w:r>
    </w:p>
    <w:p w14:paraId="66E4D7E9" w14:textId="77777777" w:rsidR="00583FA5" w:rsidRPr="00E501C7" w:rsidRDefault="00583FA5" w:rsidP="00492D49">
      <w:pPr>
        <w:pStyle w:val="Heading2"/>
      </w:pPr>
      <w:bookmarkStart w:id="5" w:name="_Toc216738276"/>
      <w:r w:rsidRPr="00E501C7">
        <w:t>2.2 METHODOLOGY AND DATA SOURCES FOR RATIO ANALYSIS</w:t>
      </w:r>
      <w:bookmarkEnd w:id="5"/>
    </w:p>
    <w:p w14:paraId="743BE387" w14:textId="77777777" w:rsidR="00583FA5" w:rsidRPr="00E501C7" w:rsidRDefault="00583FA5" w:rsidP="00583FA5">
      <w:r w:rsidRPr="00E501C7">
        <w:t xml:space="preserve">The ratio analysis is based on data from </w:t>
      </w:r>
      <w:r w:rsidRPr="007F05F5">
        <w:t>Amazon’s 2024 Annual Report and Form 10-K</w:t>
      </w:r>
      <w:r w:rsidRPr="00E501C7">
        <w:t xml:space="preserve"> for the year ended 31 December 2024, which include comparative figures for 2023 (Amazon, 2024). Figures are taken from the consolidated statement of operations, balance sheet and relevant notes, including debt and earnings per share information.</w:t>
      </w:r>
    </w:p>
    <w:p w14:paraId="3894A2BC" w14:textId="77777777" w:rsidR="00583FA5" w:rsidRPr="00E501C7" w:rsidRDefault="00583FA5" w:rsidP="00583FA5">
      <w:r w:rsidRPr="00E501C7">
        <w:t xml:space="preserve">Ratios are calculated for </w:t>
      </w:r>
      <w:r w:rsidRPr="007F05F5">
        <w:t>2023 and 2024</w:t>
      </w:r>
      <w:r w:rsidRPr="00E501C7">
        <w:t xml:space="preserve"> using consistent definitions so that trends can be compared. Following standard guidance on financial statement analysis (Atrill, 2019), the ratios are organised into five groups:</w:t>
      </w:r>
    </w:p>
    <w:p w14:paraId="3933E754" w14:textId="77777777" w:rsidR="00583FA5" w:rsidRPr="00E501C7" w:rsidRDefault="00583FA5" w:rsidP="00004E06">
      <w:pPr>
        <w:numPr>
          <w:ilvl w:val="0"/>
          <w:numId w:val="2"/>
        </w:numPr>
      </w:pPr>
      <w:r w:rsidRPr="00E501C7">
        <w:rPr>
          <w:b/>
          <w:bCs/>
        </w:rPr>
        <w:t>Profitability</w:t>
      </w:r>
      <w:r w:rsidRPr="00E501C7">
        <w:t>: gross profit margin, operating margin, net profit margin, return on capital employed (ROCE).</w:t>
      </w:r>
    </w:p>
    <w:p w14:paraId="173E63F9" w14:textId="77777777" w:rsidR="00583FA5" w:rsidRPr="00E501C7" w:rsidRDefault="00583FA5" w:rsidP="00004E06">
      <w:pPr>
        <w:numPr>
          <w:ilvl w:val="0"/>
          <w:numId w:val="2"/>
        </w:numPr>
      </w:pPr>
      <w:r w:rsidRPr="00E501C7">
        <w:rPr>
          <w:b/>
          <w:bCs/>
        </w:rPr>
        <w:t>Liquidity</w:t>
      </w:r>
      <w:r w:rsidRPr="00E501C7">
        <w:t>: current ratio, quick (acid-test) ratio.</w:t>
      </w:r>
    </w:p>
    <w:p w14:paraId="4F8E14DB" w14:textId="77777777" w:rsidR="00583FA5" w:rsidRPr="00E501C7" w:rsidRDefault="00583FA5" w:rsidP="00004E06">
      <w:pPr>
        <w:numPr>
          <w:ilvl w:val="0"/>
          <w:numId w:val="2"/>
        </w:numPr>
      </w:pPr>
      <w:r w:rsidRPr="00E501C7">
        <w:rPr>
          <w:b/>
          <w:bCs/>
        </w:rPr>
        <w:t>Efficiency (activity)</w:t>
      </w:r>
      <w:r w:rsidRPr="00E501C7">
        <w:t>: inventory days, receivables days, payables days.</w:t>
      </w:r>
    </w:p>
    <w:p w14:paraId="18C307C1" w14:textId="77777777" w:rsidR="00583FA5" w:rsidRPr="00E501C7" w:rsidRDefault="00583FA5" w:rsidP="00004E06">
      <w:pPr>
        <w:numPr>
          <w:ilvl w:val="0"/>
          <w:numId w:val="2"/>
        </w:numPr>
      </w:pPr>
      <w:r w:rsidRPr="00E501C7">
        <w:rPr>
          <w:b/>
          <w:bCs/>
        </w:rPr>
        <w:lastRenderedPageBreak/>
        <w:t>Gearing (capital structure)</w:t>
      </w:r>
      <w:r w:rsidRPr="00E501C7">
        <w:t>: debt-to-equity ratio, interest coverage.</w:t>
      </w:r>
    </w:p>
    <w:p w14:paraId="0D0D23B3" w14:textId="77777777" w:rsidR="00583FA5" w:rsidRPr="00E501C7" w:rsidRDefault="00583FA5" w:rsidP="00004E06">
      <w:pPr>
        <w:numPr>
          <w:ilvl w:val="0"/>
          <w:numId w:val="2"/>
        </w:numPr>
      </w:pPr>
      <w:r w:rsidRPr="00E501C7">
        <w:rPr>
          <w:b/>
          <w:bCs/>
        </w:rPr>
        <w:t>Investor</w:t>
      </w:r>
      <w:r w:rsidRPr="00E501C7">
        <w:t>: basic earnings per share (EPS).</w:t>
      </w:r>
    </w:p>
    <w:p w14:paraId="78C96F06" w14:textId="50EAC5F8" w:rsidR="00583FA5" w:rsidRPr="00E501C7" w:rsidRDefault="00BB00C7" w:rsidP="00583FA5">
      <w:r w:rsidRPr="00BB00C7">
        <w:t>Full ratio calculations and extracts of the financial statements are presented in the appendices.</w:t>
      </w:r>
      <w:r>
        <w:t xml:space="preserve"> s</w:t>
      </w:r>
      <w:r w:rsidR="00583FA5" w:rsidRPr="00E501C7">
        <w:t>ections 2.3–2.7 focus on interpreting movements in these ratios and linking them to Amazon’s strategy and risk profile.</w:t>
      </w:r>
    </w:p>
    <w:p w14:paraId="62B53B67" w14:textId="77777777" w:rsidR="00583FA5" w:rsidRPr="00BB00C7" w:rsidRDefault="00583FA5" w:rsidP="00492D49">
      <w:pPr>
        <w:pStyle w:val="Heading2"/>
      </w:pPr>
      <w:bookmarkStart w:id="6" w:name="_Toc216738277"/>
      <w:r w:rsidRPr="00BB00C7">
        <w:t xml:space="preserve">2.3 </w:t>
      </w:r>
      <w:r w:rsidRPr="00BB00C7">
        <w:rPr>
          <w:rStyle w:val="Heading2Char"/>
          <w:b/>
          <w:bCs/>
        </w:rPr>
        <w:t>PROFITABILITY ANALYSIS</w:t>
      </w:r>
      <w:bookmarkEnd w:id="6"/>
    </w:p>
    <w:p w14:paraId="5DB4D2EE" w14:textId="77777777" w:rsidR="00583FA5" w:rsidRDefault="00583FA5" w:rsidP="00583FA5">
      <w:r w:rsidRPr="00E501C7">
        <w:t>Amazon’s profitability improved across all major measures between 2023 and 2024.</w:t>
      </w:r>
      <w:r>
        <w:t xml:space="preserve"> </w:t>
      </w:r>
      <w:r w:rsidRPr="00E501C7">
        <w:t xml:space="preserve">The </w:t>
      </w:r>
      <w:r w:rsidRPr="007F05F5">
        <w:t>gross profit margin</w:t>
      </w:r>
      <w:r w:rsidRPr="00E501C7">
        <w:t xml:space="preserve"> increased from </w:t>
      </w:r>
      <w:r w:rsidRPr="007F05F5">
        <w:t>46.98%</w:t>
      </w:r>
      <w:r w:rsidRPr="00E501C7">
        <w:t xml:space="preserve"> in 2023 to </w:t>
      </w:r>
      <w:r w:rsidRPr="007F05F5">
        <w:t>48.85%</w:t>
      </w:r>
      <w:r w:rsidRPr="00E501C7">
        <w:t xml:space="preserve"> in 2024. This means Amazon retained a higher share of revenue after cost of sales. The improvement reflects growth in higher-margin activities such as </w:t>
      </w:r>
      <w:r w:rsidRPr="007F05F5">
        <w:t>AWS</w:t>
      </w:r>
      <w:r w:rsidRPr="00E501C7">
        <w:t xml:space="preserve"> and </w:t>
      </w:r>
      <w:r w:rsidRPr="007F05F5">
        <w:t>advertising</w:t>
      </w:r>
      <w:r w:rsidRPr="00E501C7">
        <w:t>, as well as better cost efficiency in the retail network (Amazon, 2024). A rising gross margin suggests stronger pricing power and effective cost control (Atrill, 2019).</w:t>
      </w:r>
    </w:p>
    <w:p w14:paraId="1796F73A" w14:textId="77777777" w:rsidR="00BB00C7" w:rsidRDefault="00BB00C7" w:rsidP="00BB00C7">
      <w:pPr>
        <w:pStyle w:val="NormalWeb"/>
        <w:spacing w:after="0" w:line="240" w:lineRule="auto"/>
        <w:jc w:val="center"/>
      </w:pPr>
      <w:r>
        <w:rPr>
          <w:noProof/>
          <w:lang w:eastAsia="en-GB" w:bidi="ar-SA"/>
        </w:rPr>
        <w:drawing>
          <wp:inline distT="0" distB="0" distL="0" distR="0" wp14:anchorId="60857C55" wp14:editId="0D7B4307">
            <wp:extent cx="4174195" cy="2160000"/>
            <wp:effectExtent l="0" t="0" r="0" b="0"/>
            <wp:docPr id="3220782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74195" cy="2160000"/>
                    </a:xfrm>
                    <a:prstGeom prst="rect">
                      <a:avLst/>
                    </a:prstGeom>
                    <a:noFill/>
                  </pic:spPr>
                </pic:pic>
              </a:graphicData>
            </a:graphic>
          </wp:inline>
        </w:drawing>
      </w:r>
    </w:p>
    <w:p w14:paraId="15971822" w14:textId="77777777" w:rsidR="00BB00C7" w:rsidRDefault="00BB00C7" w:rsidP="00BB00C7">
      <w:pPr>
        <w:pStyle w:val="NormalWeb"/>
        <w:spacing w:line="240" w:lineRule="auto"/>
        <w:jc w:val="center"/>
        <w:rPr>
          <w:b/>
          <w:bCs/>
          <w:sz w:val="20"/>
          <w:szCs w:val="24"/>
        </w:rPr>
      </w:pPr>
      <w:r w:rsidRPr="007B1C73">
        <w:rPr>
          <w:b/>
          <w:bCs/>
          <w:sz w:val="20"/>
          <w:szCs w:val="24"/>
        </w:rPr>
        <w:t>FIGURE 2.1: GROSS PROFIT MARGIN FOR AMAZON, 2023–2024</w:t>
      </w:r>
    </w:p>
    <w:p w14:paraId="71EB33C4" w14:textId="77777777" w:rsidR="00583FA5" w:rsidRPr="00E501C7" w:rsidRDefault="00583FA5" w:rsidP="00583FA5">
      <w:r w:rsidRPr="00E501C7">
        <w:t xml:space="preserve">The </w:t>
      </w:r>
      <w:r w:rsidRPr="007F05F5">
        <w:t>operating profit margin</w:t>
      </w:r>
      <w:r w:rsidRPr="00E501C7">
        <w:t xml:space="preserve"> rose more sharply, from </w:t>
      </w:r>
      <w:r w:rsidRPr="007F05F5">
        <w:t>6.41%</w:t>
      </w:r>
      <w:r w:rsidRPr="00E501C7">
        <w:t xml:space="preserve"> to </w:t>
      </w:r>
      <w:r w:rsidRPr="007F05F5">
        <w:t>10.75%</w:t>
      </w:r>
      <w:r w:rsidRPr="00E501C7">
        <w:t xml:space="preserve">, with operating income almost doubling from </w:t>
      </w:r>
      <w:r w:rsidRPr="007F05F5">
        <w:t>$36.9 billion</w:t>
      </w:r>
      <w:r w:rsidRPr="00E501C7">
        <w:t xml:space="preserve"> to </w:t>
      </w:r>
      <w:r w:rsidRPr="007F05F5">
        <w:t>$68.6 billion</w:t>
      </w:r>
      <w:r w:rsidRPr="00E501C7">
        <w:t xml:space="preserve"> (Amazon, 2024). This reflects scale economies, improved fulfilment efficiency, a richer mix of high-margin services, and the change in estimated useful lives of servers from five to six years, which reduced 2024 depreciation. Operating margin measures how effectively the firm converts sales into operating </w:t>
      </w:r>
      <w:r w:rsidRPr="00E501C7">
        <w:lastRenderedPageBreak/>
        <w:t>profit, so this increase indicates a much stronger underlying operating performance (Atrill, 2019).</w:t>
      </w:r>
    </w:p>
    <w:p w14:paraId="21FBC1F9" w14:textId="77777777" w:rsidR="00BB00C7" w:rsidRDefault="00BB00C7" w:rsidP="00BB00C7">
      <w:pPr>
        <w:pStyle w:val="NormalWeb"/>
        <w:spacing w:after="0" w:line="240" w:lineRule="auto"/>
        <w:jc w:val="center"/>
      </w:pPr>
      <w:r w:rsidRPr="00937DFE">
        <w:rPr>
          <w:noProof/>
          <w:sz w:val="20"/>
          <w:szCs w:val="24"/>
          <w:lang w:eastAsia="en-GB" w:bidi="ar-SA"/>
        </w:rPr>
        <w:drawing>
          <wp:inline distT="0" distB="0" distL="0" distR="0" wp14:anchorId="78F18912" wp14:editId="63EB5324">
            <wp:extent cx="4466850" cy="2160000"/>
            <wp:effectExtent l="0" t="0" r="0" b="0"/>
            <wp:docPr id="8438989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66850" cy="2160000"/>
                    </a:xfrm>
                    <a:prstGeom prst="rect">
                      <a:avLst/>
                    </a:prstGeom>
                    <a:noFill/>
                  </pic:spPr>
                </pic:pic>
              </a:graphicData>
            </a:graphic>
          </wp:inline>
        </w:drawing>
      </w:r>
    </w:p>
    <w:p w14:paraId="524D4233" w14:textId="77777777" w:rsidR="00BB00C7" w:rsidRDefault="00BB00C7" w:rsidP="00BB00C7">
      <w:pPr>
        <w:pStyle w:val="NormalWeb"/>
        <w:spacing w:after="0" w:line="240" w:lineRule="auto"/>
        <w:jc w:val="center"/>
        <w:rPr>
          <w:b/>
          <w:bCs/>
          <w:sz w:val="20"/>
          <w:szCs w:val="24"/>
        </w:rPr>
      </w:pPr>
      <w:r w:rsidRPr="007B1C73">
        <w:rPr>
          <w:b/>
          <w:bCs/>
          <w:sz w:val="20"/>
          <w:szCs w:val="24"/>
        </w:rPr>
        <w:t>FIGURE 2.2: OPERATING PROFIT MARGIN FOR AMAZON, 2023–2024</w:t>
      </w:r>
    </w:p>
    <w:p w14:paraId="55E4C286" w14:textId="77777777" w:rsidR="00BB00C7" w:rsidRDefault="00BB00C7" w:rsidP="00BB00C7">
      <w:pPr>
        <w:pStyle w:val="NormalWeb"/>
        <w:spacing w:after="0" w:line="240" w:lineRule="auto"/>
        <w:jc w:val="center"/>
        <w:rPr>
          <w:b/>
          <w:bCs/>
          <w:sz w:val="20"/>
          <w:szCs w:val="24"/>
        </w:rPr>
      </w:pPr>
    </w:p>
    <w:p w14:paraId="67EFA9E3" w14:textId="77777777" w:rsidR="00583FA5" w:rsidRPr="00E501C7" w:rsidRDefault="00583FA5" w:rsidP="00BB00C7">
      <w:r w:rsidRPr="00E501C7">
        <w:t xml:space="preserve">The </w:t>
      </w:r>
      <w:r w:rsidRPr="007F05F5">
        <w:t>net profit margin</w:t>
      </w:r>
      <w:r w:rsidRPr="00E501C7">
        <w:t xml:space="preserve"> also improved strongly, from </w:t>
      </w:r>
      <w:r w:rsidRPr="007F05F5">
        <w:t>5.29%</w:t>
      </w:r>
      <w:r w:rsidRPr="00E501C7">
        <w:t xml:space="preserve"> in 2023 to </w:t>
      </w:r>
      <w:r w:rsidRPr="007F05F5">
        <w:t>9.29%</w:t>
      </w:r>
      <w:r w:rsidRPr="00E501C7">
        <w:t xml:space="preserve"> in 2024. This was driven by the stronger operating result, lower interest expense and more favourable non-operating items than in the previous year (Amazon, 2024).</w:t>
      </w:r>
    </w:p>
    <w:p w14:paraId="6953A3C1" w14:textId="77777777" w:rsidR="00BB00C7" w:rsidRPr="007B1C73" w:rsidRDefault="00BB00C7" w:rsidP="00BB00C7">
      <w:pPr>
        <w:pStyle w:val="NormalWeb"/>
        <w:spacing w:after="0" w:line="240" w:lineRule="auto"/>
        <w:jc w:val="center"/>
      </w:pPr>
      <w:r>
        <w:rPr>
          <w:noProof/>
          <w:lang w:eastAsia="en-GB" w:bidi="ar-SA"/>
        </w:rPr>
        <w:drawing>
          <wp:inline distT="0" distB="0" distL="0" distR="0" wp14:anchorId="3D69D99F" wp14:editId="29CEC810">
            <wp:extent cx="4610362" cy="2160000"/>
            <wp:effectExtent l="0" t="0" r="0" b="0"/>
            <wp:docPr id="14376673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10362" cy="2160000"/>
                    </a:xfrm>
                    <a:prstGeom prst="rect">
                      <a:avLst/>
                    </a:prstGeom>
                    <a:noFill/>
                  </pic:spPr>
                </pic:pic>
              </a:graphicData>
            </a:graphic>
          </wp:inline>
        </w:drawing>
      </w:r>
    </w:p>
    <w:p w14:paraId="48BE08F1" w14:textId="77777777" w:rsidR="00BB00C7" w:rsidRDefault="00BB00C7" w:rsidP="00BB00C7">
      <w:pPr>
        <w:pStyle w:val="NormalWeb"/>
        <w:spacing w:after="0" w:line="240" w:lineRule="auto"/>
        <w:jc w:val="center"/>
        <w:rPr>
          <w:b/>
          <w:bCs/>
          <w:sz w:val="20"/>
          <w:szCs w:val="24"/>
        </w:rPr>
      </w:pPr>
      <w:r w:rsidRPr="007B1C73">
        <w:rPr>
          <w:b/>
          <w:bCs/>
          <w:sz w:val="20"/>
          <w:szCs w:val="24"/>
        </w:rPr>
        <w:t>FIGURE 2.3: NET PROFIT MARGIN FOR AMAZON, 2023–2024</w:t>
      </w:r>
    </w:p>
    <w:p w14:paraId="14E697C6" w14:textId="1C824CD6" w:rsidR="00583FA5" w:rsidRPr="00E501C7" w:rsidRDefault="00583FA5" w:rsidP="00583FA5">
      <w:r w:rsidRPr="007F05F5">
        <w:t>ROCE</w:t>
      </w:r>
      <w:r w:rsidRPr="00E501C7">
        <w:t xml:space="preserve"> increased from around </w:t>
      </w:r>
      <w:r w:rsidRPr="007F05F5">
        <w:t>10.15%</w:t>
      </w:r>
      <w:r w:rsidRPr="00E501C7">
        <w:t xml:space="preserve"> to </w:t>
      </w:r>
      <w:r w:rsidRPr="007F05F5">
        <w:t>15.40%</w:t>
      </w:r>
      <w:r w:rsidRPr="00E501C7">
        <w:t>, showing that Amazon generated a higher return from the capital invested in the business. This suggests that recent spending on technology, logistics and data centres is beginning to deliver improved returns (Atrill, 2019).</w:t>
      </w:r>
    </w:p>
    <w:p w14:paraId="53A79B3F" w14:textId="77777777" w:rsidR="00BB00C7" w:rsidRPr="007B1C73" w:rsidRDefault="00BB00C7" w:rsidP="00BB00C7">
      <w:pPr>
        <w:pStyle w:val="NormalWeb"/>
        <w:spacing w:after="0" w:line="240" w:lineRule="auto"/>
        <w:jc w:val="center"/>
      </w:pPr>
      <w:r>
        <w:rPr>
          <w:noProof/>
          <w:lang w:eastAsia="en-GB" w:bidi="ar-SA"/>
        </w:rPr>
        <w:lastRenderedPageBreak/>
        <w:drawing>
          <wp:inline distT="0" distB="0" distL="0" distR="0" wp14:anchorId="53C674E9" wp14:editId="495D6672">
            <wp:extent cx="4267583" cy="2160000"/>
            <wp:effectExtent l="0" t="0" r="0" b="0"/>
            <wp:docPr id="5618616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67583" cy="2160000"/>
                    </a:xfrm>
                    <a:prstGeom prst="rect">
                      <a:avLst/>
                    </a:prstGeom>
                    <a:noFill/>
                  </pic:spPr>
                </pic:pic>
              </a:graphicData>
            </a:graphic>
          </wp:inline>
        </w:drawing>
      </w:r>
    </w:p>
    <w:p w14:paraId="5FFBA3C4" w14:textId="77777777" w:rsidR="00BB00C7" w:rsidRPr="007B1C73" w:rsidRDefault="00BB00C7" w:rsidP="00BB00C7">
      <w:pPr>
        <w:pStyle w:val="NormalWeb"/>
        <w:spacing w:after="0" w:line="240" w:lineRule="auto"/>
        <w:jc w:val="center"/>
        <w:rPr>
          <w:sz w:val="20"/>
          <w:szCs w:val="24"/>
        </w:rPr>
      </w:pPr>
      <w:r w:rsidRPr="007B1C73">
        <w:rPr>
          <w:b/>
          <w:bCs/>
          <w:sz w:val="20"/>
          <w:szCs w:val="24"/>
        </w:rPr>
        <w:t>FIGURE 2.4: ROCE FOR AMAZON, 2023–2024</w:t>
      </w:r>
    </w:p>
    <w:p w14:paraId="1555E01C" w14:textId="77777777" w:rsidR="00583FA5" w:rsidRPr="00E501C7" w:rsidRDefault="00583FA5" w:rsidP="00583FA5">
      <w:r w:rsidRPr="00E501C7">
        <w:t>Overall, Amazon’s profitability in 2024 was very strong. However, part of the improvement comes from changes in accounting estimates (for example, server lives) rather than only from cash-based performance, so directors should be cautious when projecting 2024 margins into the future.</w:t>
      </w:r>
    </w:p>
    <w:p w14:paraId="1A834341" w14:textId="77777777" w:rsidR="00583FA5" w:rsidRPr="00E501C7" w:rsidRDefault="00583FA5" w:rsidP="00492D49">
      <w:pPr>
        <w:pStyle w:val="Heading2"/>
      </w:pPr>
      <w:bookmarkStart w:id="7" w:name="_Toc216738278"/>
      <w:r w:rsidRPr="00E501C7">
        <w:t>2.4 LIQUIDITY ANALYSIS</w:t>
      </w:r>
      <w:bookmarkEnd w:id="7"/>
    </w:p>
    <w:p w14:paraId="38B7C71E" w14:textId="77777777" w:rsidR="00583FA5" w:rsidRDefault="00583FA5" w:rsidP="00583FA5">
      <w:pPr>
        <w:pStyle w:val="NormalWeb"/>
      </w:pPr>
      <w:r w:rsidRPr="007B1C73">
        <w:t xml:space="preserve">Liquidity ratios show a stable but lean position. The current ratio increased only marginally from 1.05 in 2023 to 1.06 in 2024, and the quick ratio rose from 0.84 to 0.87. On a narrow textbook view, a current ratio close to 1.0 and a quick ratio below 1.0 might suggest limited short-term buffer against shocks (Atrill, 2019). </w:t>
      </w:r>
    </w:p>
    <w:p w14:paraId="7D5E8DB5" w14:textId="77777777" w:rsidR="00583FA5" w:rsidRDefault="00583FA5" w:rsidP="005F2230">
      <w:pPr>
        <w:pStyle w:val="NormalWeb"/>
        <w:spacing w:line="240" w:lineRule="auto"/>
        <w:jc w:val="center"/>
      </w:pPr>
      <w:r>
        <w:rPr>
          <w:noProof/>
          <w:lang w:eastAsia="en-GB" w:bidi="ar-SA"/>
        </w:rPr>
        <w:drawing>
          <wp:inline distT="0" distB="0" distL="0" distR="0" wp14:anchorId="76422623" wp14:editId="6965EA13">
            <wp:extent cx="4114625" cy="2160000"/>
            <wp:effectExtent l="0" t="0" r="635" b="0"/>
            <wp:docPr id="18420927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14625" cy="2160000"/>
                    </a:xfrm>
                    <a:prstGeom prst="rect">
                      <a:avLst/>
                    </a:prstGeom>
                    <a:noFill/>
                  </pic:spPr>
                </pic:pic>
              </a:graphicData>
            </a:graphic>
          </wp:inline>
        </w:drawing>
      </w:r>
    </w:p>
    <w:p w14:paraId="2F6F415B" w14:textId="77777777" w:rsidR="00583FA5" w:rsidRDefault="00583FA5" w:rsidP="00583FA5">
      <w:pPr>
        <w:pStyle w:val="NormalWeb"/>
        <w:spacing w:line="240" w:lineRule="auto"/>
        <w:jc w:val="center"/>
        <w:rPr>
          <w:b/>
          <w:bCs/>
          <w:sz w:val="20"/>
          <w:szCs w:val="24"/>
        </w:rPr>
      </w:pPr>
      <w:r w:rsidRPr="007B1C73">
        <w:rPr>
          <w:b/>
          <w:bCs/>
          <w:sz w:val="20"/>
          <w:szCs w:val="24"/>
        </w:rPr>
        <w:t>FIGURE 2.5: CURRENT RATIO FOR AMAZON, 2023–2024</w:t>
      </w:r>
    </w:p>
    <w:p w14:paraId="5A2B096A" w14:textId="77777777" w:rsidR="00583FA5" w:rsidRPr="007B1C73" w:rsidRDefault="00583FA5" w:rsidP="00583FA5">
      <w:pPr>
        <w:pStyle w:val="NormalWeb"/>
        <w:spacing w:line="240" w:lineRule="auto"/>
        <w:jc w:val="center"/>
        <w:rPr>
          <w:sz w:val="20"/>
          <w:szCs w:val="24"/>
        </w:rPr>
      </w:pPr>
      <w:r>
        <w:rPr>
          <w:b/>
          <w:bCs/>
          <w:noProof/>
          <w:sz w:val="20"/>
          <w:szCs w:val="24"/>
          <w:lang w:eastAsia="en-GB" w:bidi="ar-SA"/>
        </w:rPr>
        <w:lastRenderedPageBreak/>
        <w:drawing>
          <wp:inline distT="0" distB="0" distL="0" distR="0" wp14:anchorId="2E3C398E" wp14:editId="2DB43837">
            <wp:extent cx="3878311" cy="2160000"/>
            <wp:effectExtent l="0" t="0" r="8255" b="0"/>
            <wp:docPr id="88087658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78311" cy="2160000"/>
                    </a:xfrm>
                    <a:prstGeom prst="rect">
                      <a:avLst/>
                    </a:prstGeom>
                    <a:noFill/>
                  </pic:spPr>
                </pic:pic>
              </a:graphicData>
            </a:graphic>
          </wp:inline>
        </w:drawing>
      </w:r>
      <w:r w:rsidRPr="007B1C73">
        <w:rPr>
          <w:sz w:val="20"/>
          <w:szCs w:val="24"/>
        </w:rPr>
        <w:br/>
      </w:r>
      <w:r w:rsidRPr="007B1C73">
        <w:rPr>
          <w:b/>
          <w:bCs/>
          <w:sz w:val="20"/>
          <w:szCs w:val="24"/>
        </w:rPr>
        <w:t>FIGURE 2.6: QUICK RATIO FOR AMAZON, 2023–2024</w:t>
      </w:r>
    </w:p>
    <w:p w14:paraId="289B7F2B" w14:textId="6B0CD6BA" w:rsidR="00BB00C7" w:rsidRPr="00BB00C7" w:rsidRDefault="00583FA5" w:rsidP="00583FA5">
      <w:pPr>
        <w:pStyle w:val="NormalWeb"/>
      </w:pPr>
      <w:r w:rsidRPr="007B1C73">
        <w:t xml:space="preserve">For Amazon, context is important. The company operates with fast inventory turnover, relatively short receivable periods and very long payables days, so it collects cash from customers well before it pays suppliers. This creates a negative cash conversion cycle, which reduces the need to hold large liquid balances. </w:t>
      </w:r>
      <w:r w:rsidRPr="00BB00C7">
        <w:t>The increase in quick assets</w:t>
      </w:r>
      <w:r w:rsidR="00BB00C7" w:rsidRPr="00BB00C7">
        <w:t xml:space="preserve"> (cash, marketable securities and receivables) was slightly faster compared to the increase in current liabilities which created a slight improvement in quick ratio. The big picture is of a company that’s efficiently using its working capital — not one that’s running out of liquidity.</w:t>
      </w:r>
    </w:p>
    <w:p w14:paraId="3A09057C" w14:textId="66947EB7" w:rsidR="00BB00C7" w:rsidRPr="00BB00C7" w:rsidRDefault="00BB00C7" w:rsidP="00583FA5">
      <w:pPr>
        <w:pStyle w:val="NormalWeb"/>
      </w:pPr>
      <w:r w:rsidRPr="00BB00C7">
        <w:t>There is still a trade-off. It is likely that holding a large amount of cash will lead to lower returns and be regarded as excessive under many circumstances, but insufficient liquidity can increase refinancing risk, particularly when the economy enters recession (Atrill, 2019). Amazon is also providing much of the capital expenditure to support AI infrastructure and logistics (Bitter, 2025). The retention of a reasonable level of liquidity in the form of cash and marketable securities provides some optionality to finance these projects without being solely dependent on new borrowings.</w:t>
      </w:r>
    </w:p>
    <w:p w14:paraId="103D807D" w14:textId="77777777" w:rsidR="00583FA5" w:rsidRPr="007B1C73" w:rsidRDefault="00583FA5" w:rsidP="00583FA5">
      <w:pPr>
        <w:pStyle w:val="NormalWeb"/>
      </w:pPr>
      <w:r w:rsidRPr="007B1C73">
        <w:t>Overall, the liquidity ratios appear low compared with some traditional benchmarks, but they are consistent with Amazon’s business model and strong underlying cash generation. They should still be monitored closely, especially if trading conditions weaken or if suppliers or credit markets become less accommodating.</w:t>
      </w:r>
    </w:p>
    <w:p w14:paraId="2276E84B" w14:textId="77777777" w:rsidR="00583FA5" w:rsidRPr="007B1C73" w:rsidRDefault="00583FA5" w:rsidP="00492D49">
      <w:pPr>
        <w:pStyle w:val="Heading2"/>
        <w:rPr>
          <w:rFonts w:cs="Times New Roman"/>
          <w:szCs w:val="30"/>
        </w:rPr>
      </w:pPr>
      <w:bookmarkStart w:id="8" w:name="_Toc216738279"/>
      <w:r w:rsidRPr="007B1C73">
        <w:lastRenderedPageBreak/>
        <w:t>2.5 EFFICIENCY (ACTIVITY) ANALYSIS</w:t>
      </w:r>
      <w:bookmarkEnd w:id="8"/>
    </w:p>
    <w:p w14:paraId="46BA5784" w14:textId="77777777" w:rsidR="00583FA5" w:rsidRDefault="00583FA5" w:rsidP="00583FA5">
      <w:pPr>
        <w:pStyle w:val="NormalWeb"/>
      </w:pPr>
      <w:r w:rsidRPr="007B1C73">
        <w:t>The efficiency ratios show how Amazon manages working capital. Inventory days fell slightly from 39.91 days in 2023 to 38.27 days in 2024. This means goods are held in stock for fewer days before being sold. For a retailer with a very broad product range and complex fulfilment operations, a fall in inventory days suggests improvements in demand forecasting, stock control and the regional layout of fulfilment centres (Amazon, 202</w:t>
      </w:r>
      <w:r>
        <w:t>4</w:t>
      </w:r>
      <w:r w:rsidRPr="007B1C73">
        <w:t xml:space="preserve">). </w:t>
      </w:r>
    </w:p>
    <w:p w14:paraId="75BC4DB9" w14:textId="77777777" w:rsidR="00583FA5" w:rsidRPr="007B1C73" w:rsidRDefault="00583FA5" w:rsidP="00BB00C7">
      <w:pPr>
        <w:pStyle w:val="NormalWeb"/>
        <w:spacing w:after="0" w:line="240" w:lineRule="auto"/>
        <w:jc w:val="center"/>
      </w:pPr>
      <w:r>
        <w:rPr>
          <w:noProof/>
          <w:lang w:eastAsia="en-GB" w:bidi="ar-SA"/>
        </w:rPr>
        <w:drawing>
          <wp:inline distT="0" distB="0" distL="0" distR="0" wp14:anchorId="4CD8FE0B" wp14:editId="680570E2">
            <wp:extent cx="4191635" cy="2216989"/>
            <wp:effectExtent l="0" t="0" r="0" b="0"/>
            <wp:docPr id="13081859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95400" cy="2218980"/>
                    </a:xfrm>
                    <a:prstGeom prst="rect">
                      <a:avLst/>
                    </a:prstGeom>
                    <a:noFill/>
                  </pic:spPr>
                </pic:pic>
              </a:graphicData>
            </a:graphic>
          </wp:inline>
        </w:drawing>
      </w:r>
    </w:p>
    <w:p w14:paraId="53FEAC30" w14:textId="77777777" w:rsidR="00583FA5" w:rsidRPr="007B1C73" w:rsidRDefault="00583FA5" w:rsidP="00BB00C7">
      <w:pPr>
        <w:pStyle w:val="NormalWeb"/>
        <w:spacing w:after="0" w:line="240" w:lineRule="auto"/>
        <w:jc w:val="center"/>
        <w:rPr>
          <w:sz w:val="20"/>
          <w:szCs w:val="24"/>
        </w:rPr>
      </w:pPr>
      <w:r w:rsidRPr="007B1C73">
        <w:rPr>
          <w:b/>
          <w:bCs/>
          <w:sz w:val="20"/>
          <w:szCs w:val="24"/>
        </w:rPr>
        <w:t>FIGURE 2.7: INVENTORY DAYS FOR AMAZON, 2023–2024</w:t>
      </w:r>
      <w:r w:rsidRPr="007B1C73">
        <w:rPr>
          <w:sz w:val="20"/>
          <w:szCs w:val="24"/>
        </w:rPr>
        <w:br/>
      </w:r>
    </w:p>
    <w:p w14:paraId="6C20A28C" w14:textId="4653D034" w:rsidR="00583FA5" w:rsidRDefault="00583FA5" w:rsidP="00583FA5">
      <w:pPr>
        <w:pStyle w:val="NormalWeb"/>
      </w:pPr>
      <w:r w:rsidRPr="007B1C73">
        <w:t>Receivables days decreased from 33.18 days to 31.73 days, indicating that Amazon is collecting money from customers a little faster. Because many retail sales are settled immediately by card or bank transfer, receivables mainly relate to AWS, advertising and third-party services. A small reduction in days suggests better collection processes without obvious evidence of strained customer relationships</w:t>
      </w:r>
      <w:r w:rsidR="00372BE1">
        <w:t xml:space="preserve"> (</w:t>
      </w:r>
      <w:r w:rsidR="00372BE1" w:rsidRPr="00372BE1">
        <w:t>Singh</w:t>
      </w:r>
      <w:r w:rsidR="00372BE1">
        <w:t xml:space="preserve"> et al., 2021)</w:t>
      </w:r>
      <w:r w:rsidRPr="007B1C73">
        <w:t>.</w:t>
      </w:r>
    </w:p>
    <w:p w14:paraId="3B08D164" w14:textId="77777777" w:rsidR="00583FA5" w:rsidRDefault="00583FA5" w:rsidP="00583FA5">
      <w:pPr>
        <w:pStyle w:val="NormalWeb"/>
        <w:spacing w:after="0" w:line="240" w:lineRule="auto"/>
        <w:jc w:val="center"/>
      </w:pPr>
      <w:r>
        <w:rPr>
          <w:noProof/>
          <w:lang w:eastAsia="en-GB" w:bidi="ar-SA"/>
        </w:rPr>
        <w:drawing>
          <wp:inline distT="0" distB="0" distL="0" distR="0" wp14:anchorId="23080AB7" wp14:editId="18E1228A">
            <wp:extent cx="4190856" cy="2070340"/>
            <wp:effectExtent l="0" t="0" r="635" b="6350"/>
            <wp:docPr id="20015453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02665" cy="2076174"/>
                    </a:xfrm>
                    <a:prstGeom prst="rect">
                      <a:avLst/>
                    </a:prstGeom>
                    <a:noFill/>
                  </pic:spPr>
                </pic:pic>
              </a:graphicData>
            </a:graphic>
          </wp:inline>
        </w:drawing>
      </w:r>
    </w:p>
    <w:p w14:paraId="5C55BEF8" w14:textId="77777777" w:rsidR="00583FA5" w:rsidRDefault="00583FA5" w:rsidP="00583FA5">
      <w:pPr>
        <w:pStyle w:val="NormalWeb"/>
        <w:spacing w:after="0" w:line="240" w:lineRule="auto"/>
        <w:jc w:val="center"/>
        <w:rPr>
          <w:b/>
          <w:bCs/>
          <w:sz w:val="20"/>
          <w:szCs w:val="24"/>
        </w:rPr>
      </w:pPr>
      <w:r w:rsidRPr="007B1C73">
        <w:rPr>
          <w:b/>
          <w:bCs/>
          <w:sz w:val="20"/>
          <w:szCs w:val="24"/>
        </w:rPr>
        <w:t>FIGURE 2.8: RECEIVABLES DAYS FOR AMAZON, 2023–2024</w:t>
      </w:r>
    </w:p>
    <w:p w14:paraId="608C2189" w14:textId="77777777" w:rsidR="00583FA5" w:rsidRPr="007B1C73" w:rsidRDefault="00583FA5" w:rsidP="00583FA5">
      <w:pPr>
        <w:pStyle w:val="NormalWeb"/>
      </w:pPr>
      <w:r w:rsidRPr="007B1C73">
        <w:lastRenderedPageBreak/>
        <w:t>Payables days increased from 101.79 to 105.56 days. Amazon is taking slightly longer to pay suppliers relative to how quickly it turns inventory and collects cash. When inventory days, receivables days and payables days are combined, Amazon’s cash conversion cycle is negative, and became more negative in 2024. In practice this means the company receives cash from customers long before it pays suppliers, using trade credit as a source of finance. This position is typical for large retailers and platforms with strong bargaining power (Atrill, 2019).</w:t>
      </w:r>
    </w:p>
    <w:p w14:paraId="4C131816" w14:textId="77777777" w:rsidR="00583FA5" w:rsidRPr="008A40D4" w:rsidRDefault="00583FA5" w:rsidP="00583FA5">
      <w:pPr>
        <w:pStyle w:val="NormalWeb"/>
        <w:spacing w:after="0" w:line="240" w:lineRule="auto"/>
        <w:jc w:val="center"/>
        <w:rPr>
          <w:rFonts w:cstheme="minorBidi"/>
          <w:b/>
          <w:bCs/>
          <w:sz w:val="20"/>
          <w:szCs w:val="22"/>
        </w:rPr>
      </w:pPr>
      <w:r w:rsidRPr="008A40D4">
        <w:rPr>
          <w:rFonts w:cstheme="minorBidi"/>
          <w:b/>
          <w:bCs/>
          <w:noProof/>
          <w:sz w:val="20"/>
          <w:szCs w:val="22"/>
          <w:lang w:eastAsia="en-GB" w:bidi="ar-SA"/>
        </w:rPr>
        <w:drawing>
          <wp:inline distT="0" distB="0" distL="0" distR="0" wp14:anchorId="596BC7FC" wp14:editId="5EB6D3C7">
            <wp:extent cx="4572000" cy="2510286"/>
            <wp:effectExtent l="0" t="0" r="0" b="4445"/>
            <wp:docPr id="1020525306"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83D1DC83-4C0B-5080-C4B5-053EE0C367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38FD524" w14:textId="77777777" w:rsidR="00583FA5" w:rsidRDefault="00583FA5" w:rsidP="00583FA5">
      <w:pPr>
        <w:pStyle w:val="NormalWeb"/>
        <w:spacing w:after="0" w:line="240" w:lineRule="auto"/>
        <w:jc w:val="center"/>
        <w:rPr>
          <w:b/>
          <w:bCs/>
          <w:sz w:val="20"/>
          <w:szCs w:val="24"/>
        </w:rPr>
      </w:pPr>
      <w:r w:rsidRPr="008A40D4">
        <w:rPr>
          <w:rFonts w:cstheme="minorBidi"/>
          <w:b/>
          <w:bCs/>
          <w:sz w:val="20"/>
          <w:szCs w:val="22"/>
        </w:rPr>
        <w:t>FIGURE 2.9: PAYABLES DAYS FOR AMAZON, 2023–2024</w:t>
      </w:r>
    </w:p>
    <w:p w14:paraId="6F27A1A6" w14:textId="77777777" w:rsidR="00BB00C7" w:rsidRPr="00BB00C7" w:rsidRDefault="00BB00C7" w:rsidP="00BB00C7">
      <w:pPr>
        <w:pStyle w:val="NormalWeb"/>
      </w:pPr>
      <w:r w:rsidRPr="00BB00C7">
        <w:t>This strategy helps Amazon because a negative cash conversion cycle frees up cash for investment and reduces the need to borrow. But if Amazon delays payments too much, it can hurt smaller suppliers and damage relationships, so directors must check that this approach stays sustainable and does not create reputational or operational risk.</w:t>
      </w:r>
    </w:p>
    <w:p w14:paraId="1B92FECC" w14:textId="77777777" w:rsidR="00583FA5" w:rsidRPr="007B1C73" w:rsidRDefault="00583FA5" w:rsidP="00492D49">
      <w:pPr>
        <w:pStyle w:val="Heading2"/>
      </w:pPr>
      <w:bookmarkStart w:id="9" w:name="_Toc216738280"/>
      <w:r w:rsidRPr="007B1C73">
        <w:t>2.6 GEARING (CAPITAL STRUCTURE) ANALYSIS</w:t>
      </w:r>
      <w:bookmarkEnd w:id="9"/>
    </w:p>
    <w:p w14:paraId="7DD48B91" w14:textId="77777777" w:rsidR="005F2230" w:rsidRPr="005F2230" w:rsidRDefault="005F2230" w:rsidP="00583FA5">
      <w:pPr>
        <w:pStyle w:val="NormalWeb"/>
      </w:pPr>
      <w:r w:rsidRPr="005F2230">
        <w:t xml:space="preserve">Debt-to-equity ratio fell from 0.29 in 2023 to 0.18 in 2024. Long-term debt decreased compared to retained earnings on better profits (Amazon, 2024). Amazon is consequently financing more of its assets from shareholders’ equity and less with long-term debt at a high cost. </w:t>
      </w:r>
    </w:p>
    <w:p w14:paraId="174785CB" w14:textId="77777777" w:rsidR="00583FA5" w:rsidRPr="007B1C73" w:rsidRDefault="00583FA5" w:rsidP="00583FA5">
      <w:pPr>
        <w:pStyle w:val="NormalWeb"/>
        <w:spacing w:after="0" w:line="240" w:lineRule="auto"/>
        <w:jc w:val="center"/>
        <w:rPr>
          <w:rFonts w:cstheme="minorBidi"/>
          <w:b/>
          <w:bCs/>
          <w:sz w:val="20"/>
          <w:szCs w:val="22"/>
        </w:rPr>
      </w:pPr>
      <w:r w:rsidRPr="008A40D4">
        <w:rPr>
          <w:rFonts w:cstheme="minorBidi"/>
          <w:b/>
          <w:bCs/>
          <w:noProof/>
          <w:sz w:val="20"/>
          <w:szCs w:val="22"/>
          <w:lang w:eastAsia="en-GB" w:bidi="ar-SA"/>
        </w:rPr>
        <w:lastRenderedPageBreak/>
        <w:drawing>
          <wp:inline distT="0" distB="0" distL="0" distR="0" wp14:anchorId="44A3DE1B" wp14:editId="62B87A3E">
            <wp:extent cx="4192258" cy="2520000"/>
            <wp:effectExtent l="0" t="0" r="0" b="0"/>
            <wp:docPr id="62197386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92258" cy="2520000"/>
                    </a:xfrm>
                    <a:prstGeom prst="rect">
                      <a:avLst/>
                    </a:prstGeom>
                    <a:noFill/>
                  </pic:spPr>
                </pic:pic>
              </a:graphicData>
            </a:graphic>
          </wp:inline>
        </w:drawing>
      </w:r>
    </w:p>
    <w:p w14:paraId="2DE46E20" w14:textId="77777777" w:rsidR="00583FA5" w:rsidRDefault="00583FA5" w:rsidP="00583FA5">
      <w:pPr>
        <w:pStyle w:val="NormalWeb"/>
        <w:spacing w:after="0" w:line="240" w:lineRule="auto"/>
        <w:jc w:val="center"/>
        <w:rPr>
          <w:b/>
          <w:bCs/>
          <w:sz w:val="20"/>
          <w:szCs w:val="24"/>
        </w:rPr>
      </w:pPr>
      <w:r w:rsidRPr="008A40D4">
        <w:rPr>
          <w:rFonts w:cstheme="minorBidi"/>
          <w:b/>
          <w:bCs/>
          <w:sz w:val="20"/>
          <w:szCs w:val="22"/>
        </w:rPr>
        <w:t>FIGURE 2.10: DEBT-TO-EQUITY RATIO FOR AMAZON, 2023–2024</w:t>
      </w:r>
    </w:p>
    <w:p w14:paraId="2F619000" w14:textId="77777777" w:rsidR="00583FA5" w:rsidRDefault="00583FA5" w:rsidP="00583FA5">
      <w:pPr>
        <w:pStyle w:val="NormalWeb"/>
        <w:spacing w:after="0" w:line="240" w:lineRule="auto"/>
        <w:jc w:val="center"/>
        <w:rPr>
          <w:b/>
          <w:bCs/>
          <w:sz w:val="20"/>
          <w:szCs w:val="24"/>
        </w:rPr>
      </w:pPr>
    </w:p>
    <w:p w14:paraId="1DAF3E43" w14:textId="1ABF6E86" w:rsidR="005F2230" w:rsidRPr="005F2230" w:rsidRDefault="005F2230" w:rsidP="005F2230">
      <w:pPr>
        <w:pStyle w:val="NormalWeb"/>
      </w:pPr>
      <w:r w:rsidRPr="005F2230">
        <w:t xml:space="preserve">The interest coverage ratio improved to 28.51 times from 11.58 times. The operating income more than doubled and the interest expense dropped from $3.2 billion to $2.4 billion (Amazon, 2024). This indicates that Amazon is able to meet its interest obligations, and short-term solvency risk for the company is low. </w:t>
      </w:r>
    </w:p>
    <w:p w14:paraId="01F22F0A" w14:textId="77777777" w:rsidR="00583FA5" w:rsidRPr="008A40D4" w:rsidRDefault="00583FA5" w:rsidP="00583FA5">
      <w:pPr>
        <w:pStyle w:val="NormalWeb"/>
        <w:spacing w:after="0" w:line="240" w:lineRule="auto"/>
        <w:jc w:val="center"/>
        <w:rPr>
          <w:rFonts w:cstheme="minorBidi"/>
          <w:b/>
          <w:bCs/>
          <w:sz w:val="20"/>
          <w:szCs w:val="22"/>
        </w:rPr>
      </w:pPr>
      <w:r w:rsidRPr="008A40D4">
        <w:rPr>
          <w:rFonts w:cstheme="minorBidi"/>
          <w:b/>
          <w:bCs/>
          <w:noProof/>
          <w:sz w:val="20"/>
          <w:szCs w:val="22"/>
          <w:lang w:eastAsia="en-GB" w:bidi="ar-SA"/>
        </w:rPr>
        <w:drawing>
          <wp:inline distT="0" distB="0" distL="0" distR="0" wp14:anchorId="72F31B31" wp14:editId="429BE974">
            <wp:extent cx="4192258" cy="2520000"/>
            <wp:effectExtent l="0" t="0" r="0" b="0"/>
            <wp:docPr id="5465126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92258" cy="2520000"/>
                    </a:xfrm>
                    <a:prstGeom prst="rect">
                      <a:avLst/>
                    </a:prstGeom>
                    <a:noFill/>
                  </pic:spPr>
                </pic:pic>
              </a:graphicData>
            </a:graphic>
          </wp:inline>
        </w:drawing>
      </w:r>
    </w:p>
    <w:p w14:paraId="43034DE7" w14:textId="77777777" w:rsidR="00583FA5" w:rsidRPr="007B1C73" w:rsidRDefault="00583FA5" w:rsidP="00583FA5">
      <w:pPr>
        <w:pStyle w:val="NormalWeb"/>
        <w:spacing w:after="0" w:line="240" w:lineRule="auto"/>
        <w:jc w:val="center"/>
        <w:rPr>
          <w:b/>
          <w:bCs/>
          <w:sz w:val="20"/>
          <w:szCs w:val="24"/>
        </w:rPr>
      </w:pPr>
      <w:r w:rsidRPr="008A40D4">
        <w:rPr>
          <w:rFonts w:cstheme="minorBidi"/>
          <w:b/>
          <w:bCs/>
          <w:sz w:val="20"/>
          <w:szCs w:val="22"/>
        </w:rPr>
        <w:t>FIGURE 2.11: INTEREST COVERAGE RATIO FOR AMAZON, 2023–2024</w:t>
      </w:r>
    </w:p>
    <w:p w14:paraId="2127BE2D" w14:textId="77777777" w:rsidR="005F2230" w:rsidRPr="005F2230" w:rsidRDefault="005F2230" w:rsidP="00583FA5">
      <w:pPr>
        <w:pStyle w:val="NormalWeb"/>
      </w:pPr>
      <w:r w:rsidRPr="005F2230">
        <w:t xml:space="preserve">According to finance theory, a certain amount of debt is good, because the interest is deductible and can help lower the overall cost of capital. But high gearing also has a downside risk profile, particularly if cash flows are erratic (Atrill, 2019). Amazon’s cautious gearing seems appropriate in light of the size of its planned capital expenditure and exposure to regulatory and technological risk. </w:t>
      </w:r>
    </w:p>
    <w:p w14:paraId="05A8607E" w14:textId="77777777" w:rsidR="00583FA5" w:rsidRPr="007B1C73" w:rsidRDefault="00583FA5" w:rsidP="00583FA5">
      <w:r w:rsidRPr="007B1C73">
        <w:lastRenderedPageBreak/>
        <w:t>A reasonable question is whether Amazon is now under-leveraged. A very low debt-to-equity ratio may mean the company is not fully taking advantage of cheap long-term borrowing to enhance returns to equity holders. At the same time, the balance sheet includes significant lease liabilities and other long-term commitments, and the group is investing heavily in assets whose useful life and future demand are uncertain, such as AI infrastructure (Amazon, 2025).</w:t>
      </w:r>
    </w:p>
    <w:p w14:paraId="278A8789" w14:textId="77777777" w:rsidR="00583FA5" w:rsidRPr="007B1C73" w:rsidRDefault="00583FA5" w:rsidP="00583FA5">
      <w:pPr>
        <w:pStyle w:val="NormalWeb"/>
      </w:pPr>
      <w:r w:rsidRPr="007B1C73">
        <w:t>Overall, the gearing and interest cover ratios indicate a strong and conservative capital structure. This supports resilience but may leave some room to optimise the mix of debt and equity once the current investment cycle matures.</w:t>
      </w:r>
    </w:p>
    <w:p w14:paraId="087E4A5F" w14:textId="0D5F619D" w:rsidR="00583FA5" w:rsidRPr="00E501C7" w:rsidRDefault="005F2230" w:rsidP="00492D49">
      <w:pPr>
        <w:pStyle w:val="Heading2"/>
      </w:pPr>
      <w:bookmarkStart w:id="10" w:name="_Toc216738281"/>
      <w:r w:rsidRPr="00E501C7">
        <w:t>2.7 INVESTOR RATIOS</w:t>
      </w:r>
      <w:bookmarkEnd w:id="10"/>
    </w:p>
    <w:p w14:paraId="6FF7C971" w14:textId="77777777" w:rsidR="00583FA5" w:rsidRPr="00E501C7" w:rsidRDefault="00583FA5" w:rsidP="005F2230">
      <w:pPr>
        <w:pStyle w:val="NormalWeb"/>
      </w:pPr>
      <w:r w:rsidRPr="00E501C7">
        <w:t xml:space="preserve">The main investor ratio considered is </w:t>
      </w:r>
      <w:r w:rsidRPr="005F2230">
        <w:t>basic earnings per share (EPS)</w:t>
      </w:r>
      <w:r w:rsidRPr="00E501C7">
        <w:t xml:space="preserve">. EPS almost doubled from </w:t>
      </w:r>
      <w:r w:rsidRPr="005F2230">
        <w:t>$2.95</w:t>
      </w:r>
      <w:r w:rsidRPr="00E501C7">
        <w:t xml:space="preserve"> in 2023 to </w:t>
      </w:r>
      <w:r w:rsidRPr="005F2230">
        <w:t>$5.66</w:t>
      </w:r>
      <w:r w:rsidRPr="00E501C7">
        <w:t xml:space="preserve"> in 2024, while the weighted average number of shares changed only slightly (Amazon, 2024).</w:t>
      </w:r>
    </w:p>
    <w:p w14:paraId="3782848F" w14:textId="77777777" w:rsidR="005F2230" w:rsidRPr="008A40D4" w:rsidRDefault="005F2230" w:rsidP="005F2230">
      <w:pPr>
        <w:pStyle w:val="NormalWeb"/>
        <w:spacing w:after="0" w:line="240" w:lineRule="auto"/>
        <w:jc w:val="center"/>
        <w:rPr>
          <w:rFonts w:cstheme="minorBidi"/>
          <w:b/>
          <w:bCs/>
          <w:sz w:val="20"/>
          <w:szCs w:val="22"/>
        </w:rPr>
      </w:pPr>
      <w:r w:rsidRPr="008A40D4">
        <w:rPr>
          <w:rFonts w:cstheme="minorBidi"/>
          <w:b/>
          <w:bCs/>
          <w:noProof/>
          <w:sz w:val="20"/>
          <w:szCs w:val="22"/>
          <w:lang w:eastAsia="en-GB" w:bidi="ar-SA"/>
        </w:rPr>
        <w:drawing>
          <wp:inline distT="0" distB="0" distL="0" distR="0" wp14:anchorId="7A5B82F3" wp14:editId="61781314">
            <wp:extent cx="4572000" cy="2372264"/>
            <wp:effectExtent l="0" t="0" r="0" b="0"/>
            <wp:docPr id="83793375"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A3EB6D7-AE2B-605A-DE68-7167C887FF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5243D97" w14:textId="77777777" w:rsidR="005F2230" w:rsidRPr="008A40D4" w:rsidRDefault="005F2230" w:rsidP="005F2230">
      <w:pPr>
        <w:pStyle w:val="NormalWeb"/>
        <w:spacing w:after="0" w:line="240" w:lineRule="auto"/>
        <w:jc w:val="center"/>
        <w:rPr>
          <w:rFonts w:cstheme="minorBidi"/>
          <w:b/>
          <w:bCs/>
          <w:sz w:val="20"/>
          <w:szCs w:val="22"/>
        </w:rPr>
      </w:pPr>
      <w:r w:rsidRPr="008A40D4">
        <w:rPr>
          <w:rFonts w:cstheme="minorBidi"/>
          <w:b/>
          <w:bCs/>
          <w:sz w:val="20"/>
          <w:szCs w:val="22"/>
        </w:rPr>
        <w:t>FIGURE 2.12: BASIC EARNINGS PER SHARE FOR AMAZON, 2023–2024</w:t>
      </w:r>
    </w:p>
    <w:p w14:paraId="36D80DFC" w14:textId="77777777" w:rsidR="00583FA5" w:rsidRPr="00E501C7" w:rsidRDefault="00583FA5" w:rsidP="005F2230">
      <w:pPr>
        <w:pStyle w:val="NormalWeb"/>
      </w:pPr>
      <w:r w:rsidRPr="00E501C7">
        <w:t xml:space="preserve">This reflects the strong growth in net income from </w:t>
      </w:r>
      <w:r w:rsidRPr="005F2230">
        <w:t>$30.4 billion</w:t>
      </w:r>
      <w:r w:rsidRPr="00E501C7">
        <w:t xml:space="preserve"> to </w:t>
      </w:r>
      <w:r w:rsidRPr="005F2230">
        <w:t>$59.2 billion</w:t>
      </w:r>
      <w:r w:rsidRPr="00E501C7">
        <w:t xml:space="preserve"> (Amazon, 2024). A rising EPS is important because it links total profit to each share and underpins valuation measures such as the price-earnings ratio (Atrill, 2019).</w:t>
      </w:r>
    </w:p>
    <w:p w14:paraId="199D466E" w14:textId="69D10AC0" w:rsidR="00583FA5" w:rsidRDefault="00583FA5" w:rsidP="005F2230">
      <w:pPr>
        <w:pStyle w:val="NormalWeb"/>
      </w:pPr>
      <w:r w:rsidRPr="00E501C7">
        <w:t xml:space="preserve">However, the increase in EPS is driven partly by changes in depreciation estimates and by non-operating items that may not repeat. EPS also does not reveal the amount of capital or risk </w:t>
      </w:r>
      <w:r w:rsidRPr="00E501C7">
        <w:lastRenderedPageBreak/>
        <w:t>required to generate those earnings. It should therefore be read together with ROCE and gearing ratios</w:t>
      </w:r>
      <w:r w:rsidR="00372BE1">
        <w:t xml:space="preserve"> (</w:t>
      </w:r>
      <w:r w:rsidR="00372BE1" w:rsidRPr="00372BE1">
        <w:t>Deepakshi</w:t>
      </w:r>
      <w:r w:rsidR="00372BE1">
        <w:t xml:space="preserve"> et al., 2025)</w:t>
      </w:r>
      <w:r w:rsidRPr="00E501C7">
        <w:t>.</w:t>
      </w:r>
    </w:p>
    <w:p w14:paraId="41A3A12F" w14:textId="77777777" w:rsidR="00583FA5" w:rsidRPr="00E501C7" w:rsidRDefault="00583FA5" w:rsidP="005F2230">
      <w:pPr>
        <w:pStyle w:val="NormalWeb"/>
      </w:pPr>
      <w:r w:rsidRPr="00E501C7">
        <w:t xml:space="preserve">Amazon does not pay a regular cash dividend. Instead, it </w:t>
      </w:r>
      <w:r w:rsidRPr="005F2230">
        <w:t>reinvests most earnings</w:t>
      </w:r>
      <w:r w:rsidRPr="00E501C7">
        <w:t xml:space="preserve"> into technology, AWS, AI and logistics projects (Amazon, 2024). This makes Amazon a </w:t>
      </w:r>
      <w:r w:rsidRPr="005F2230">
        <w:t>growth-oriented stock</w:t>
      </w:r>
      <w:r w:rsidRPr="00E501C7">
        <w:t>, where investors mainly expect value through capital gains. In return for potential long-term growth, shareholders accept higher short-term uncertainty (Chiang, 2019).</w:t>
      </w:r>
    </w:p>
    <w:p w14:paraId="3D6B5CE5" w14:textId="522152F5" w:rsidR="00583FA5" w:rsidRPr="00E501C7" w:rsidRDefault="005F2230" w:rsidP="00492D49">
      <w:pPr>
        <w:pStyle w:val="Heading2"/>
      </w:pPr>
      <w:bookmarkStart w:id="11" w:name="_Toc216738282"/>
      <w:r w:rsidRPr="00E501C7">
        <w:t>2.8 LIMITATIONS OF RATIO ANALYSIS</w:t>
      </w:r>
      <w:bookmarkEnd w:id="11"/>
    </w:p>
    <w:p w14:paraId="5AD78858" w14:textId="77777777" w:rsidR="00583FA5" w:rsidRPr="00E501C7" w:rsidRDefault="00583FA5" w:rsidP="00583FA5">
      <w:r w:rsidRPr="00E501C7">
        <w:t xml:space="preserve">Ratio analysis is useful but has important </w:t>
      </w:r>
      <w:r w:rsidRPr="005F2230">
        <w:t>limitations</w:t>
      </w:r>
      <w:r w:rsidRPr="00E501C7">
        <w:t>.</w:t>
      </w:r>
    </w:p>
    <w:p w14:paraId="199678EE" w14:textId="77777777" w:rsidR="00583FA5" w:rsidRPr="00E501C7" w:rsidRDefault="00583FA5" w:rsidP="00004E06">
      <w:pPr>
        <w:numPr>
          <w:ilvl w:val="0"/>
          <w:numId w:val="3"/>
        </w:numPr>
      </w:pPr>
      <w:r w:rsidRPr="00E501C7">
        <w:t xml:space="preserve">Ratios are based on </w:t>
      </w:r>
      <w:r w:rsidRPr="005F2230">
        <w:t>historical financial statements</w:t>
      </w:r>
      <w:r w:rsidRPr="00E501C7">
        <w:t>, which may not reflect current market values, inflation or rapid technological change, especially in digital businesses (Atrill, 2019).</w:t>
      </w:r>
    </w:p>
    <w:p w14:paraId="3CA9F796" w14:textId="77777777" w:rsidR="00583FA5" w:rsidRPr="00E501C7" w:rsidRDefault="00583FA5" w:rsidP="00004E06">
      <w:pPr>
        <w:numPr>
          <w:ilvl w:val="0"/>
          <w:numId w:val="3"/>
        </w:numPr>
      </w:pPr>
      <w:r w:rsidRPr="00E501C7">
        <w:t xml:space="preserve">Results are affected by </w:t>
      </w:r>
      <w:r w:rsidRPr="005F2230">
        <w:t>accounting policies and estimates</w:t>
      </w:r>
      <w:r w:rsidRPr="00E501C7">
        <w:t>. Extending server lives from five to six years reduced 2024 depreciation and increased profit, even though cash flows did not change (Amazon, 2024).</w:t>
      </w:r>
    </w:p>
    <w:p w14:paraId="5F8C0703" w14:textId="77777777" w:rsidR="00583FA5" w:rsidRPr="00E501C7" w:rsidRDefault="00583FA5" w:rsidP="00004E06">
      <w:pPr>
        <w:numPr>
          <w:ilvl w:val="0"/>
          <w:numId w:val="3"/>
        </w:numPr>
      </w:pPr>
      <w:r w:rsidRPr="00E501C7">
        <w:t>Ratios can mislead if companies with very different business models are compared or if sector norms are ignored. For example, a current ratio close to 1.0 may be risky for a small manufacturer but normal for a large retailer with a negative cash conversion cycle.</w:t>
      </w:r>
    </w:p>
    <w:p w14:paraId="19F5EFE9" w14:textId="77777777" w:rsidR="00583FA5" w:rsidRPr="00E501C7" w:rsidRDefault="00583FA5" w:rsidP="00004E06">
      <w:pPr>
        <w:numPr>
          <w:ilvl w:val="0"/>
          <w:numId w:val="3"/>
        </w:numPr>
      </w:pPr>
      <w:r w:rsidRPr="00E501C7">
        <w:t xml:space="preserve">Ratios are </w:t>
      </w:r>
      <w:r w:rsidRPr="005F2230">
        <w:t>backward-looking</w:t>
      </w:r>
      <w:r w:rsidRPr="00E501C7">
        <w:t xml:space="preserve"> and do not directly show qualitative factors such as innovation, customer loyalty or regulatory pressure (Atrill, 2019).</w:t>
      </w:r>
    </w:p>
    <w:p w14:paraId="0B016DC1" w14:textId="77777777" w:rsidR="00583FA5" w:rsidRPr="00E501C7" w:rsidRDefault="00583FA5" w:rsidP="00583FA5">
      <w:r w:rsidRPr="00E501C7">
        <w:t>For these reasons, ratios should be interpreted together with narrative disclosures, cash flow analysis and knowledge of the wider business environment.</w:t>
      </w:r>
    </w:p>
    <w:p w14:paraId="50DC29C1" w14:textId="55DE9EBF" w:rsidR="00583FA5" w:rsidRPr="00E501C7" w:rsidRDefault="005F2230" w:rsidP="00583FA5">
      <w:pPr>
        <w:rPr>
          <w:b/>
          <w:bCs/>
        </w:rPr>
      </w:pPr>
      <w:r w:rsidRPr="00E501C7">
        <w:rPr>
          <w:b/>
          <w:bCs/>
        </w:rPr>
        <w:t>2.9 OVERALL EVALUATION AND RECOMMENDATIONS TO AMAZON DIRECTORS</w:t>
      </w:r>
    </w:p>
    <w:p w14:paraId="293AA423" w14:textId="77777777" w:rsidR="00583FA5" w:rsidRPr="00E501C7" w:rsidRDefault="00583FA5" w:rsidP="00583FA5">
      <w:r w:rsidRPr="00E501C7">
        <w:lastRenderedPageBreak/>
        <w:t xml:space="preserve">The ratio analysis suggests that Amazon is in a </w:t>
      </w:r>
      <w:r w:rsidRPr="005F2230">
        <w:t>strong financial position</w:t>
      </w:r>
      <w:r w:rsidRPr="00E501C7">
        <w:t>. Profitability has improved across all major measures. Margins are higher, ROCE has risen from about 10% to over 15%, and EPS has almost doubled. Liquidity appears lean on simple ratios, but the negative cash conversion cycle and strong operating cash flow support short-term solvency. Efficiency ratios show very effective working capital management, and gearing and interest cover indicate a conservative and resilient capital structure.</w:t>
      </w:r>
    </w:p>
    <w:p w14:paraId="49B79015" w14:textId="77777777" w:rsidR="00583FA5" w:rsidRPr="00E501C7" w:rsidRDefault="00583FA5" w:rsidP="00583FA5">
      <w:r w:rsidRPr="00E501C7">
        <w:t>Based on this analysis, four recommendations are made to the board:</w:t>
      </w:r>
    </w:p>
    <w:p w14:paraId="4BA1DC6B" w14:textId="77777777" w:rsidR="005F2230" w:rsidRDefault="005F2230" w:rsidP="00004E06">
      <w:pPr>
        <w:numPr>
          <w:ilvl w:val="0"/>
          <w:numId w:val="4"/>
        </w:numPr>
      </w:pPr>
      <w:r w:rsidRPr="005F2230">
        <w:rPr>
          <w:b/>
          <w:bCs/>
        </w:rPr>
        <w:t>Keep checking if profits are sustainable</w:t>
      </w:r>
      <w:r>
        <w:rPr>
          <w:b/>
          <w:bCs/>
        </w:rPr>
        <w:t xml:space="preserve">: </w:t>
      </w:r>
      <w:r w:rsidRPr="005F2230">
        <w:t>Amazon should regularly check what is driving its profit margins and ROCE in each business segment, and test what happens if AWS or advertising grows more slowly. This will help make sure profits come from real long-term performance, not just accounting changes.</w:t>
      </w:r>
    </w:p>
    <w:p w14:paraId="727E2E57" w14:textId="77777777" w:rsidR="005F2230" w:rsidRDefault="005F2230" w:rsidP="00004E06">
      <w:pPr>
        <w:numPr>
          <w:ilvl w:val="0"/>
          <w:numId w:val="4"/>
        </w:numPr>
        <w:rPr>
          <w:rFonts w:eastAsia="Times New Roman" w:cs="Times New Roman"/>
          <w:kern w:val="0"/>
          <w:szCs w:val="24"/>
          <w:lang w:eastAsia="en-GB" w:bidi="hi-IN"/>
          <w14:ligatures w14:val="none"/>
        </w:rPr>
      </w:pPr>
      <w:r w:rsidRPr="005F2230">
        <w:rPr>
          <w:rFonts w:eastAsia="Times New Roman" w:cs="Times New Roman"/>
          <w:b/>
          <w:bCs/>
          <w:kern w:val="0"/>
          <w:szCs w:val="24"/>
          <w:lang w:eastAsia="en-GB" w:bidi="hi-IN"/>
          <w14:ligatures w14:val="none"/>
        </w:rPr>
        <w:t>Be efficient but fair with suppliers</w:t>
      </w:r>
      <w:r>
        <w:rPr>
          <w:rFonts w:eastAsia="Times New Roman" w:cs="Times New Roman"/>
          <w:b/>
          <w:bCs/>
          <w:kern w:val="0"/>
          <w:szCs w:val="24"/>
          <w:lang w:eastAsia="en-GB" w:bidi="hi-IN"/>
          <w14:ligatures w14:val="none"/>
        </w:rPr>
        <w:t>:</w:t>
      </w:r>
      <w:r>
        <w:rPr>
          <w:rFonts w:eastAsia="Times New Roman" w:cs="Times New Roman"/>
          <w:kern w:val="0"/>
          <w:szCs w:val="24"/>
          <w:lang w:eastAsia="en-GB" w:bidi="hi-IN"/>
          <w14:ligatures w14:val="none"/>
        </w:rPr>
        <w:t xml:space="preserve"> </w:t>
      </w:r>
      <w:r w:rsidRPr="005F2230">
        <w:rPr>
          <w:rFonts w:eastAsia="Times New Roman" w:cs="Times New Roman"/>
          <w:kern w:val="0"/>
          <w:szCs w:val="24"/>
          <w:lang w:eastAsia="en-GB" w:bidi="hi-IN"/>
          <w14:ligatures w14:val="none"/>
        </w:rPr>
        <w:t>Amazon should keep managing inventory and customer payments tightly, but review how long it takes to pay suppliers, especially smaller ones. This will protect both cash flow and good relationships in the supply chain.</w:t>
      </w:r>
      <w:r>
        <w:rPr>
          <w:rFonts w:eastAsia="Times New Roman" w:cs="Times New Roman"/>
          <w:kern w:val="0"/>
          <w:szCs w:val="24"/>
          <w:lang w:eastAsia="en-GB" w:bidi="hi-IN"/>
          <w14:ligatures w14:val="none"/>
        </w:rPr>
        <w:t xml:space="preserve"> </w:t>
      </w:r>
    </w:p>
    <w:p w14:paraId="267BB531" w14:textId="77777777" w:rsidR="005F2230" w:rsidRPr="005F2230" w:rsidRDefault="005F2230" w:rsidP="00004E06">
      <w:pPr>
        <w:numPr>
          <w:ilvl w:val="0"/>
          <w:numId w:val="4"/>
        </w:numPr>
      </w:pPr>
      <w:r w:rsidRPr="005F2230">
        <w:rPr>
          <w:rFonts w:eastAsia="Times New Roman" w:cs="Times New Roman"/>
          <w:b/>
          <w:bCs/>
          <w:kern w:val="0"/>
          <w:szCs w:val="24"/>
          <w:lang w:eastAsia="en-GB" w:bidi="hi-IN"/>
          <w14:ligatures w14:val="none"/>
        </w:rPr>
        <w:t xml:space="preserve">Explain clearly how cash is used and financed: </w:t>
      </w:r>
      <w:r w:rsidRPr="005F2230">
        <w:rPr>
          <w:rFonts w:eastAsia="Times New Roman" w:cs="Times New Roman"/>
          <w:kern w:val="0"/>
          <w:szCs w:val="24"/>
          <w:lang w:eastAsia="en-GB" w:bidi="hi-IN"/>
          <w14:ligatures w14:val="none"/>
        </w:rPr>
        <w:t>Amazon should use its strong cash flow and low debt to create a clear plan for how it spends money on growth projects, share buybacks and any extra borrowing. A transparent policy will help investors understand and trust its financial decisions.</w:t>
      </w:r>
    </w:p>
    <w:p w14:paraId="07B5A06A" w14:textId="22FEF557" w:rsidR="00583FA5" w:rsidRPr="00E501C7" w:rsidRDefault="00583FA5" w:rsidP="00004E06">
      <w:pPr>
        <w:numPr>
          <w:ilvl w:val="0"/>
          <w:numId w:val="4"/>
        </w:numPr>
      </w:pPr>
      <w:r w:rsidRPr="00E501C7">
        <w:rPr>
          <w:b/>
          <w:bCs/>
        </w:rPr>
        <w:t>Communicate clearly about accounting changes and risks</w:t>
      </w:r>
      <w:r w:rsidR="005F2230">
        <w:rPr>
          <w:b/>
          <w:bCs/>
        </w:rPr>
        <w:t>:</w:t>
      </w:r>
      <w:r w:rsidR="005F2230">
        <w:t xml:space="preserve"> </w:t>
      </w:r>
      <w:r w:rsidRPr="00E501C7">
        <w:t>Provide clear explanations of how changes in useful lives and other estimates affect reported earnings and returns. This will help investors understand performance and support trust in reported figures.</w:t>
      </w:r>
    </w:p>
    <w:p w14:paraId="5DD7AC04" w14:textId="77777777" w:rsidR="00583FA5" w:rsidRPr="00E501C7" w:rsidRDefault="00583FA5" w:rsidP="00583FA5">
      <w:r w:rsidRPr="00E501C7">
        <w:lastRenderedPageBreak/>
        <w:t>These actions would help Amazon maintain strong financial performance while managing the risks that come with heavy investment in AI and infrastructure.</w:t>
      </w:r>
    </w:p>
    <w:p w14:paraId="35EF076C" w14:textId="7F3D530F" w:rsidR="00583FA5" w:rsidRPr="005F2230" w:rsidRDefault="00583FA5" w:rsidP="005F2230">
      <w:pPr>
        <w:pStyle w:val="Heading1"/>
        <w:rPr>
          <w:rStyle w:val="Heading1Char"/>
          <w:b/>
        </w:rPr>
      </w:pPr>
      <w:bookmarkStart w:id="12" w:name="_Toc216738283"/>
      <w:r w:rsidRPr="005F2230">
        <w:t xml:space="preserve">3. </w:t>
      </w:r>
      <w:r w:rsidR="005F2230" w:rsidRPr="005F2230">
        <w:rPr>
          <w:rStyle w:val="Heading1Char"/>
          <w:b/>
        </w:rPr>
        <w:t>TASK 2: WESTWARD PLC INVESTMENT APPRAISAL</w:t>
      </w:r>
      <w:bookmarkEnd w:id="12"/>
    </w:p>
    <w:p w14:paraId="2DFC7847" w14:textId="57CD0CEA" w:rsidR="00583FA5" w:rsidRPr="00530F86" w:rsidRDefault="00583FA5" w:rsidP="00492D49">
      <w:pPr>
        <w:pStyle w:val="Heading2"/>
      </w:pPr>
      <w:bookmarkStart w:id="13" w:name="_Toc216738284"/>
      <w:r w:rsidRPr="00E501C7">
        <w:t xml:space="preserve">3.1 </w:t>
      </w:r>
      <w:r w:rsidR="005F2230" w:rsidRPr="00530F86">
        <w:t>PROJECT INFORMATION AND KEY ASSUMPTIONS</w:t>
      </w:r>
      <w:bookmarkEnd w:id="13"/>
    </w:p>
    <w:p w14:paraId="499EFE8E" w14:textId="77777777" w:rsidR="00583FA5" w:rsidRPr="00E501C7" w:rsidRDefault="00583FA5" w:rsidP="00583FA5">
      <w:r w:rsidRPr="00E501C7">
        <w:t>Westward plc manufactures high-quality curtains and is considering three mutually independent expansion projects:</w:t>
      </w:r>
    </w:p>
    <w:p w14:paraId="7398615A" w14:textId="77777777" w:rsidR="00583FA5" w:rsidRPr="00E501C7" w:rsidRDefault="00583FA5" w:rsidP="00004E06">
      <w:pPr>
        <w:numPr>
          <w:ilvl w:val="0"/>
          <w:numId w:val="5"/>
        </w:numPr>
      </w:pPr>
      <w:r w:rsidRPr="00E501C7">
        <w:rPr>
          <w:b/>
          <w:bCs/>
        </w:rPr>
        <w:t>Option A – Retail expansion</w:t>
      </w:r>
      <w:r w:rsidRPr="00E501C7">
        <w:t>: expand the existing retail outlet to stock and sell the full product range.</w:t>
      </w:r>
    </w:p>
    <w:p w14:paraId="37DBBCBF" w14:textId="77777777" w:rsidR="00583FA5" w:rsidRPr="00E501C7" w:rsidRDefault="00583FA5" w:rsidP="00004E06">
      <w:pPr>
        <w:numPr>
          <w:ilvl w:val="0"/>
          <w:numId w:val="5"/>
        </w:numPr>
      </w:pPr>
      <w:r w:rsidRPr="00E501C7">
        <w:rPr>
          <w:b/>
          <w:bCs/>
        </w:rPr>
        <w:t>Option B – Internet sales</w:t>
      </w:r>
      <w:r w:rsidRPr="00E501C7">
        <w:t>: develop an online channel to reach a wider customer base.</w:t>
      </w:r>
    </w:p>
    <w:p w14:paraId="03E4B964" w14:textId="77777777" w:rsidR="00583FA5" w:rsidRPr="00E501C7" w:rsidRDefault="00583FA5" w:rsidP="00004E06">
      <w:pPr>
        <w:numPr>
          <w:ilvl w:val="0"/>
          <w:numId w:val="5"/>
        </w:numPr>
      </w:pPr>
      <w:r w:rsidRPr="00E501C7">
        <w:rPr>
          <w:b/>
          <w:bCs/>
        </w:rPr>
        <w:t>Option C – Wooden and Roman blinds</w:t>
      </w:r>
      <w:r w:rsidRPr="00E501C7">
        <w:t>: move into blinds, broadening the product portfolio.</w:t>
      </w:r>
    </w:p>
    <w:p w14:paraId="1B1CCF6D" w14:textId="77777777" w:rsidR="00530F86" w:rsidRDefault="00530F86" w:rsidP="00583FA5">
      <w:r w:rsidRPr="00530F86">
        <w:t xml:space="preserve">Each project requires a different initial capital outlay: A needs £600,000, B needs £1,000,000, and C requires £1,600,000. For each project, the directors have provided expected cash inflows at the end of years 1–4. Corporation tax is 25%, and capital allowances are available at 20% per year on a straight-line basis on the initial cost. All cash flows occur at the end of each year. The directors want to know which option creates most value, whether the projects are attractive given the firm’s cost of capital, and how the overall investment programme might be financed. </w:t>
      </w:r>
    </w:p>
    <w:p w14:paraId="1CF65B31" w14:textId="42B5C402" w:rsidR="00583FA5" w:rsidRPr="00E501C7" w:rsidRDefault="00530F86" w:rsidP="00492D49">
      <w:pPr>
        <w:pStyle w:val="Heading2"/>
      </w:pPr>
      <w:bookmarkStart w:id="14" w:name="_Toc216738285"/>
      <w:r w:rsidRPr="00E501C7">
        <w:t>3.2 METHODOLOGY: NPV, IRR AND CAPITAL RATIONING</w:t>
      </w:r>
      <w:bookmarkEnd w:id="14"/>
    </w:p>
    <w:p w14:paraId="1E4C6B55" w14:textId="77777777" w:rsidR="00530F86" w:rsidRDefault="00530F86" w:rsidP="00583FA5">
      <w:r w:rsidRPr="00530F86">
        <w:t>The main appraisal method used is Net Present Value (NPV). For each project, the expected pre-tax cash flows for years 1–4 are adjusted for:</w:t>
      </w:r>
    </w:p>
    <w:p w14:paraId="32D26125" w14:textId="77777777" w:rsidR="00530F86" w:rsidRDefault="00530F86" w:rsidP="00004E06">
      <w:pPr>
        <w:pStyle w:val="ListParagraph"/>
        <w:numPr>
          <w:ilvl w:val="0"/>
          <w:numId w:val="10"/>
        </w:numPr>
      </w:pPr>
      <w:r w:rsidRPr="00530F86">
        <w:rPr>
          <w:b/>
          <w:bCs/>
        </w:rPr>
        <w:t>Capital allowances</w:t>
      </w:r>
      <w:r w:rsidRPr="00530F86">
        <w:t xml:space="preserve"> at 20% per year on the initial investment. </w:t>
      </w:r>
    </w:p>
    <w:p w14:paraId="40003ED3" w14:textId="77777777" w:rsidR="00530F86" w:rsidRDefault="00530F86" w:rsidP="00004E06">
      <w:pPr>
        <w:pStyle w:val="ListParagraph"/>
        <w:numPr>
          <w:ilvl w:val="0"/>
          <w:numId w:val="10"/>
        </w:numPr>
      </w:pPr>
      <w:r w:rsidRPr="00530F86">
        <w:rPr>
          <w:b/>
          <w:bCs/>
        </w:rPr>
        <w:t>Taxable profit</w:t>
      </w:r>
      <w:r w:rsidRPr="00530F86">
        <w:t xml:space="preserve"> each year, calculated as cash flow before tax minus capital allowances. </w:t>
      </w:r>
    </w:p>
    <w:p w14:paraId="45A8D2CA" w14:textId="77777777" w:rsidR="00530F86" w:rsidRDefault="00530F86" w:rsidP="00004E06">
      <w:pPr>
        <w:pStyle w:val="ListParagraph"/>
        <w:numPr>
          <w:ilvl w:val="0"/>
          <w:numId w:val="10"/>
        </w:numPr>
      </w:pPr>
      <w:r w:rsidRPr="00530F86">
        <w:rPr>
          <w:b/>
          <w:bCs/>
        </w:rPr>
        <w:t>Corporation tax</w:t>
      </w:r>
      <w:r w:rsidRPr="00530F86">
        <w:t xml:space="preserve"> at 25%. </w:t>
      </w:r>
    </w:p>
    <w:p w14:paraId="7B3AB1DA" w14:textId="68D16F54" w:rsidR="00530F86" w:rsidRDefault="00530F86" w:rsidP="00530F86">
      <w:r w:rsidRPr="00530F86">
        <w:lastRenderedPageBreak/>
        <w:t>This gives after-tax cash flows for years 1–4. These cash flows are then discounted at 6%, which is taken as Westward’s cost of capital. NPV is the sum of the discounted after-tax cash flows minus the initial investment. NPV is used as the primary decision rule because it is consistent with the objective of maximising shareholder wealth and reflects the time value of money (Brealey et al., 2017; Atrill, 2019).</w:t>
      </w:r>
    </w:p>
    <w:p w14:paraId="5A881CD3" w14:textId="77777777" w:rsidR="00530F86" w:rsidRDefault="00530F86" w:rsidP="00583FA5">
      <w:r w:rsidRPr="00530F86">
        <w:t>For the project selected as the best option, the Internal Rate of Return (IRR) is estimated by calculating NPVs at two discount rates and interpolating between them. This gives the discount rate at which NPV would be zero. A further analysis considers a capital rationing scenario where total investment funds are limited to £2,500,000 and the projects are divisible. In this case, NPV per £ invested (profitability index) is used to find the combination of projects that maximises total NPV (Mellichamp, 2019).</w:t>
      </w:r>
    </w:p>
    <w:p w14:paraId="57B2619F" w14:textId="3A31A492" w:rsidR="00583FA5" w:rsidRDefault="00530F86" w:rsidP="00492D49">
      <w:pPr>
        <w:pStyle w:val="Heading2"/>
      </w:pPr>
      <w:bookmarkStart w:id="15" w:name="_Toc216738286"/>
      <w:r w:rsidRPr="00E501C7">
        <w:t>3.3 NPV RESULTS AND INTERPRETATION</w:t>
      </w:r>
      <w:bookmarkEnd w:id="15"/>
    </w:p>
    <w:p w14:paraId="5789E6A1" w14:textId="77777777" w:rsidR="00530F86" w:rsidRPr="00A76EE1" w:rsidRDefault="00530F86" w:rsidP="00530F86">
      <w:r w:rsidRPr="00A76EE1">
        <w:t>Using the approach described above, the NPVs at a 6% discount rate are as follows.</w:t>
      </w:r>
    </w:p>
    <w:p w14:paraId="60619883" w14:textId="77777777" w:rsidR="00530F86" w:rsidRPr="00A76EE1" w:rsidRDefault="00530F86" w:rsidP="00530F86">
      <w:pPr>
        <w:spacing w:after="0" w:line="240" w:lineRule="auto"/>
        <w:jc w:val="center"/>
        <w:rPr>
          <w:sz w:val="20"/>
          <w:szCs w:val="22"/>
        </w:rPr>
      </w:pPr>
      <w:r w:rsidRPr="005F3FF5">
        <w:rPr>
          <w:b/>
          <w:bCs/>
          <w:sz w:val="20"/>
          <w:szCs w:val="22"/>
        </w:rPr>
        <w:t>TABLE 3.1: NPV RESULTS FOR OPTIONS A, B AND C AT 6%</w:t>
      </w:r>
    </w:p>
    <w:tbl>
      <w:tblPr>
        <w:tblStyle w:val="GridTable5Dark-Accent5"/>
        <w:tblW w:w="5000" w:type="pct"/>
        <w:tblLook w:val="04A0" w:firstRow="1" w:lastRow="0" w:firstColumn="1" w:lastColumn="0" w:noHBand="0" w:noVBand="1"/>
      </w:tblPr>
      <w:tblGrid>
        <w:gridCol w:w="985"/>
        <w:gridCol w:w="2869"/>
        <w:gridCol w:w="1590"/>
        <w:gridCol w:w="2443"/>
        <w:gridCol w:w="1129"/>
      </w:tblGrid>
      <w:tr w:rsidR="00530F86" w:rsidRPr="00A76EE1" w14:paraId="7143C832" w14:textId="77777777" w:rsidTr="00530F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6" w:type="pct"/>
            <w:hideMark/>
          </w:tcPr>
          <w:p w14:paraId="1B24B441" w14:textId="77777777" w:rsidR="00530F86" w:rsidRPr="00A76EE1" w:rsidRDefault="00530F86" w:rsidP="00DD31D5">
            <w:pPr>
              <w:spacing w:after="160" w:line="240" w:lineRule="auto"/>
              <w:rPr>
                <w:sz w:val="20"/>
                <w:szCs w:val="22"/>
              </w:rPr>
            </w:pPr>
            <w:r w:rsidRPr="00A76EE1">
              <w:rPr>
                <w:sz w:val="20"/>
                <w:szCs w:val="22"/>
              </w:rPr>
              <w:t>Option</w:t>
            </w:r>
          </w:p>
        </w:tc>
        <w:tc>
          <w:tcPr>
            <w:tcW w:w="1591" w:type="pct"/>
            <w:hideMark/>
          </w:tcPr>
          <w:p w14:paraId="6A23F335" w14:textId="77777777" w:rsidR="00530F86" w:rsidRPr="00A76EE1" w:rsidRDefault="00530F86" w:rsidP="00DD31D5">
            <w:pPr>
              <w:spacing w:after="160"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A76EE1">
              <w:rPr>
                <w:sz w:val="20"/>
                <w:szCs w:val="22"/>
              </w:rPr>
              <w:t>Description</w:t>
            </w:r>
          </w:p>
        </w:tc>
        <w:tc>
          <w:tcPr>
            <w:tcW w:w="882" w:type="pct"/>
            <w:hideMark/>
          </w:tcPr>
          <w:p w14:paraId="0036310B" w14:textId="77777777" w:rsidR="00530F86" w:rsidRPr="00A76EE1" w:rsidRDefault="00530F86" w:rsidP="00DD31D5">
            <w:pPr>
              <w:spacing w:after="160"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A76EE1">
              <w:rPr>
                <w:sz w:val="20"/>
                <w:szCs w:val="22"/>
              </w:rPr>
              <w:t>Initial outlay</w:t>
            </w:r>
          </w:p>
        </w:tc>
        <w:tc>
          <w:tcPr>
            <w:tcW w:w="1355" w:type="pct"/>
            <w:hideMark/>
          </w:tcPr>
          <w:p w14:paraId="3A041EFB" w14:textId="77777777" w:rsidR="00530F86" w:rsidRPr="00A76EE1" w:rsidRDefault="00530F86" w:rsidP="00DD31D5">
            <w:pPr>
              <w:spacing w:after="160"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A76EE1">
              <w:rPr>
                <w:sz w:val="20"/>
                <w:szCs w:val="22"/>
              </w:rPr>
              <w:t>NPV at 6% (approx.)</w:t>
            </w:r>
          </w:p>
        </w:tc>
        <w:tc>
          <w:tcPr>
            <w:tcW w:w="627" w:type="pct"/>
            <w:hideMark/>
          </w:tcPr>
          <w:p w14:paraId="4B254E90" w14:textId="77777777" w:rsidR="00530F86" w:rsidRPr="00A76EE1" w:rsidRDefault="00530F86" w:rsidP="00DD31D5">
            <w:pPr>
              <w:spacing w:after="160"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A76EE1">
              <w:rPr>
                <w:sz w:val="20"/>
                <w:szCs w:val="22"/>
              </w:rPr>
              <w:t>Decision</w:t>
            </w:r>
          </w:p>
        </w:tc>
      </w:tr>
      <w:tr w:rsidR="00530F86" w:rsidRPr="00A76EE1" w14:paraId="3D746866" w14:textId="77777777" w:rsidTr="00530F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6" w:type="pct"/>
            <w:hideMark/>
          </w:tcPr>
          <w:p w14:paraId="506416DB" w14:textId="77777777" w:rsidR="00530F86" w:rsidRPr="00A76EE1" w:rsidRDefault="00530F86" w:rsidP="00DD31D5">
            <w:pPr>
              <w:spacing w:after="160" w:line="240" w:lineRule="auto"/>
              <w:rPr>
                <w:sz w:val="20"/>
                <w:szCs w:val="22"/>
              </w:rPr>
            </w:pPr>
            <w:r w:rsidRPr="00A76EE1">
              <w:rPr>
                <w:sz w:val="20"/>
                <w:szCs w:val="22"/>
              </w:rPr>
              <w:t>A</w:t>
            </w:r>
          </w:p>
        </w:tc>
        <w:tc>
          <w:tcPr>
            <w:tcW w:w="1591" w:type="pct"/>
            <w:hideMark/>
          </w:tcPr>
          <w:p w14:paraId="2ACDB098" w14:textId="77777777" w:rsidR="00530F86" w:rsidRPr="00A76EE1" w:rsidRDefault="00530F86" w:rsidP="00DD31D5">
            <w:pPr>
              <w:spacing w:after="160"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A76EE1">
              <w:rPr>
                <w:sz w:val="20"/>
                <w:szCs w:val="22"/>
              </w:rPr>
              <w:t>Retail expansion</w:t>
            </w:r>
          </w:p>
        </w:tc>
        <w:tc>
          <w:tcPr>
            <w:tcW w:w="882" w:type="pct"/>
            <w:hideMark/>
          </w:tcPr>
          <w:p w14:paraId="2FFC7350" w14:textId="77777777" w:rsidR="00530F86" w:rsidRPr="00A76EE1" w:rsidRDefault="00530F86" w:rsidP="00DD31D5">
            <w:pPr>
              <w:spacing w:after="160"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A76EE1">
              <w:rPr>
                <w:sz w:val="20"/>
                <w:szCs w:val="22"/>
              </w:rPr>
              <w:t>£600,000</w:t>
            </w:r>
          </w:p>
        </w:tc>
        <w:tc>
          <w:tcPr>
            <w:tcW w:w="1355" w:type="pct"/>
            <w:hideMark/>
          </w:tcPr>
          <w:p w14:paraId="02E09178" w14:textId="77777777" w:rsidR="00530F86" w:rsidRPr="00A76EE1" w:rsidRDefault="00530F86" w:rsidP="00DD31D5">
            <w:pPr>
              <w:spacing w:after="160"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A76EE1">
              <w:rPr>
                <w:sz w:val="20"/>
                <w:szCs w:val="22"/>
              </w:rPr>
              <w:t>£643,168</w:t>
            </w:r>
          </w:p>
        </w:tc>
        <w:tc>
          <w:tcPr>
            <w:tcW w:w="627" w:type="pct"/>
            <w:hideMark/>
          </w:tcPr>
          <w:p w14:paraId="7C394E0E" w14:textId="77777777" w:rsidR="00530F86" w:rsidRPr="00A76EE1" w:rsidRDefault="00530F86" w:rsidP="00DD31D5">
            <w:pPr>
              <w:spacing w:after="160"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A76EE1">
              <w:rPr>
                <w:sz w:val="20"/>
                <w:szCs w:val="22"/>
              </w:rPr>
              <w:t>Accept</w:t>
            </w:r>
          </w:p>
        </w:tc>
      </w:tr>
      <w:tr w:rsidR="00530F86" w:rsidRPr="00A76EE1" w14:paraId="273D348B" w14:textId="77777777" w:rsidTr="00530F86">
        <w:tc>
          <w:tcPr>
            <w:cnfStyle w:val="001000000000" w:firstRow="0" w:lastRow="0" w:firstColumn="1" w:lastColumn="0" w:oddVBand="0" w:evenVBand="0" w:oddHBand="0" w:evenHBand="0" w:firstRowFirstColumn="0" w:firstRowLastColumn="0" w:lastRowFirstColumn="0" w:lastRowLastColumn="0"/>
            <w:tcW w:w="546" w:type="pct"/>
            <w:hideMark/>
          </w:tcPr>
          <w:p w14:paraId="35D5DE75" w14:textId="77777777" w:rsidR="00530F86" w:rsidRPr="00A76EE1" w:rsidRDefault="00530F86" w:rsidP="00DD31D5">
            <w:pPr>
              <w:spacing w:after="160" w:line="240" w:lineRule="auto"/>
              <w:rPr>
                <w:sz w:val="20"/>
                <w:szCs w:val="22"/>
              </w:rPr>
            </w:pPr>
            <w:r w:rsidRPr="00A76EE1">
              <w:rPr>
                <w:sz w:val="20"/>
                <w:szCs w:val="22"/>
              </w:rPr>
              <w:t>B</w:t>
            </w:r>
          </w:p>
        </w:tc>
        <w:tc>
          <w:tcPr>
            <w:tcW w:w="1591" w:type="pct"/>
            <w:hideMark/>
          </w:tcPr>
          <w:p w14:paraId="68C3FA54" w14:textId="77777777" w:rsidR="00530F86" w:rsidRPr="00A76EE1" w:rsidRDefault="00530F86" w:rsidP="00DD31D5">
            <w:pPr>
              <w:spacing w:after="160"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A76EE1">
              <w:rPr>
                <w:sz w:val="20"/>
                <w:szCs w:val="22"/>
              </w:rPr>
              <w:t>Internet sales</w:t>
            </w:r>
          </w:p>
        </w:tc>
        <w:tc>
          <w:tcPr>
            <w:tcW w:w="882" w:type="pct"/>
            <w:hideMark/>
          </w:tcPr>
          <w:p w14:paraId="416761D3" w14:textId="77777777" w:rsidR="00530F86" w:rsidRPr="00A76EE1" w:rsidRDefault="00530F86" w:rsidP="00DD31D5">
            <w:pPr>
              <w:spacing w:after="160"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A76EE1">
              <w:rPr>
                <w:sz w:val="20"/>
                <w:szCs w:val="22"/>
              </w:rPr>
              <w:t>£1,000,000</w:t>
            </w:r>
          </w:p>
        </w:tc>
        <w:tc>
          <w:tcPr>
            <w:tcW w:w="1355" w:type="pct"/>
            <w:hideMark/>
          </w:tcPr>
          <w:p w14:paraId="3620B86A" w14:textId="77777777" w:rsidR="00530F86" w:rsidRPr="00A76EE1" w:rsidRDefault="00530F86" w:rsidP="00DD31D5">
            <w:pPr>
              <w:spacing w:after="160"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A76EE1">
              <w:rPr>
                <w:sz w:val="20"/>
                <w:szCs w:val="22"/>
              </w:rPr>
              <w:t>£792,231</w:t>
            </w:r>
          </w:p>
        </w:tc>
        <w:tc>
          <w:tcPr>
            <w:tcW w:w="627" w:type="pct"/>
            <w:hideMark/>
          </w:tcPr>
          <w:p w14:paraId="204F8F67" w14:textId="77777777" w:rsidR="00530F86" w:rsidRPr="00A76EE1" w:rsidRDefault="00530F86" w:rsidP="00DD31D5">
            <w:pPr>
              <w:spacing w:after="160"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A76EE1">
              <w:rPr>
                <w:sz w:val="20"/>
                <w:szCs w:val="22"/>
              </w:rPr>
              <w:t>Accept</w:t>
            </w:r>
          </w:p>
        </w:tc>
      </w:tr>
      <w:tr w:rsidR="00530F86" w:rsidRPr="00A76EE1" w14:paraId="294CDB44" w14:textId="77777777" w:rsidTr="00530F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6" w:type="pct"/>
            <w:hideMark/>
          </w:tcPr>
          <w:p w14:paraId="72156EF7" w14:textId="77777777" w:rsidR="00530F86" w:rsidRPr="00A76EE1" w:rsidRDefault="00530F86" w:rsidP="00DD31D5">
            <w:pPr>
              <w:spacing w:after="160" w:line="240" w:lineRule="auto"/>
              <w:rPr>
                <w:sz w:val="20"/>
                <w:szCs w:val="22"/>
              </w:rPr>
            </w:pPr>
            <w:r w:rsidRPr="00A76EE1">
              <w:rPr>
                <w:sz w:val="20"/>
                <w:szCs w:val="22"/>
              </w:rPr>
              <w:t>C</w:t>
            </w:r>
          </w:p>
        </w:tc>
        <w:tc>
          <w:tcPr>
            <w:tcW w:w="1591" w:type="pct"/>
            <w:hideMark/>
          </w:tcPr>
          <w:p w14:paraId="3B4EFBF5" w14:textId="77777777" w:rsidR="00530F86" w:rsidRPr="00A76EE1" w:rsidRDefault="00530F86" w:rsidP="00DD31D5">
            <w:pPr>
              <w:spacing w:after="160"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A76EE1">
              <w:rPr>
                <w:sz w:val="20"/>
                <w:szCs w:val="22"/>
              </w:rPr>
              <w:t>Wooden and Roman blinds</w:t>
            </w:r>
          </w:p>
        </w:tc>
        <w:tc>
          <w:tcPr>
            <w:tcW w:w="882" w:type="pct"/>
            <w:hideMark/>
          </w:tcPr>
          <w:p w14:paraId="6024B427" w14:textId="77777777" w:rsidR="00530F86" w:rsidRPr="00A76EE1" w:rsidRDefault="00530F86" w:rsidP="00DD31D5">
            <w:pPr>
              <w:spacing w:after="160"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A76EE1">
              <w:rPr>
                <w:sz w:val="20"/>
                <w:szCs w:val="22"/>
              </w:rPr>
              <w:t>£1,600,000</w:t>
            </w:r>
          </w:p>
        </w:tc>
        <w:tc>
          <w:tcPr>
            <w:tcW w:w="1355" w:type="pct"/>
            <w:hideMark/>
          </w:tcPr>
          <w:p w14:paraId="7B202750" w14:textId="77777777" w:rsidR="00530F86" w:rsidRPr="00A76EE1" w:rsidRDefault="00530F86" w:rsidP="00DD31D5">
            <w:pPr>
              <w:spacing w:after="160"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A76EE1">
              <w:rPr>
                <w:sz w:val="20"/>
                <w:szCs w:val="22"/>
              </w:rPr>
              <w:t>£742,480</w:t>
            </w:r>
          </w:p>
        </w:tc>
        <w:tc>
          <w:tcPr>
            <w:tcW w:w="627" w:type="pct"/>
            <w:hideMark/>
          </w:tcPr>
          <w:p w14:paraId="1B911E87" w14:textId="77777777" w:rsidR="00530F86" w:rsidRPr="00A76EE1" w:rsidRDefault="00530F86" w:rsidP="00DD31D5">
            <w:pPr>
              <w:spacing w:after="160"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A76EE1">
              <w:rPr>
                <w:sz w:val="20"/>
                <w:szCs w:val="22"/>
              </w:rPr>
              <w:t>Accept</w:t>
            </w:r>
          </w:p>
        </w:tc>
      </w:tr>
    </w:tbl>
    <w:p w14:paraId="0AB6D189" w14:textId="77777777" w:rsidR="00530F86" w:rsidRPr="00E501C7" w:rsidRDefault="00530F86" w:rsidP="00530F86">
      <w:r w:rsidRPr="00E501C7">
        <w:t xml:space="preserve">All three projects have </w:t>
      </w:r>
      <w:r w:rsidRPr="00530F86">
        <w:t>positive NPVs</w:t>
      </w:r>
      <w:r w:rsidRPr="00E501C7">
        <w:t xml:space="preserve">, so each one would add value if undertaken alone. </w:t>
      </w:r>
      <w:r w:rsidRPr="00530F86">
        <w:t>Option B</w:t>
      </w:r>
      <w:r w:rsidRPr="00E501C7">
        <w:t xml:space="preserve"> has the highest NPV, followed by </w:t>
      </w:r>
      <w:r w:rsidRPr="00530F86">
        <w:t>Option C</w:t>
      </w:r>
      <w:r w:rsidRPr="00E501C7">
        <w:t xml:space="preserve">, then </w:t>
      </w:r>
      <w:r w:rsidRPr="00530F86">
        <w:t>Option A</w:t>
      </w:r>
      <w:r w:rsidRPr="00E501C7">
        <w:t>.</w:t>
      </w:r>
    </w:p>
    <w:p w14:paraId="6909D475" w14:textId="77777777" w:rsidR="00530F86" w:rsidRPr="005F3FF5" w:rsidRDefault="00530F86" w:rsidP="00530F86">
      <w:pPr>
        <w:spacing w:after="0" w:line="240" w:lineRule="auto"/>
        <w:ind w:left="360"/>
        <w:jc w:val="center"/>
        <w:rPr>
          <w:sz w:val="20"/>
          <w:szCs w:val="22"/>
        </w:rPr>
      </w:pPr>
      <w:r w:rsidRPr="005F3FF5">
        <w:rPr>
          <w:noProof/>
          <w:sz w:val="20"/>
          <w:szCs w:val="22"/>
          <w:lang w:eastAsia="en-GB" w:bidi="ar-SA"/>
        </w:rPr>
        <w:drawing>
          <wp:inline distT="0" distB="0" distL="0" distR="0" wp14:anchorId="30E7E5B7" wp14:editId="4B646722">
            <wp:extent cx="3515733" cy="1866900"/>
            <wp:effectExtent l="0" t="0" r="8890" b="0"/>
            <wp:docPr id="39224464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17327" cy="1867747"/>
                    </a:xfrm>
                    <a:prstGeom prst="rect">
                      <a:avLst/>
                    </a:prstGeom>
                    <a:noFill/>
                  </pic:spPr>
                </pic:pic>
              </a:graphicData>
            </a:graphic>
          </wp:inline>
        </w:drawing>
      </w:r>
    </w:p>
    <w:p w14:paraId="39287C73" w14:textId="77777777" w:rsidR="00530F86" w:rsidRPr="00A76EE1" w:rsidRDefault="00530F86" w:rsidP="00530F86">
      <w:pPr>
        <w:spacing w:after="0" w:line="240" w:lineRule="auto"/>
        <w:ind w:left="360"/>
        <w:jc w:val="center"/>
        <w:rPr>
          <w:sz w:val="20"/>
          <w:szCs w:val="22"/>
        </w:rPr>
      </w:pPr>
      <w:r w:rsidRPr="00A76EE1">
        <w:rPr>
          <w:b/>
          <w:bCs/>
          <w:sz w:val="20"/>
          <w:szCs w:val="22"/>
        </w:rPr>
        <w:t>FIGURE 3.1: COMPARISON OF NPV FOR OPTIONS A, B AND C AT 6%</w:t>
      </w:r>
    </w:p>
    <w:p w14:paraId="75236DD7" w14:textId="77777777" w:rsidR="00583FA5" w:rsidRPr="00E501C7" w:rsidRDefault="00583FA5" w:rsidP="00583FA5">
      <w:r w:rsidRPr="00E501C7">
        <w:lastRenderedPageBreak/>
        <w:t xml:space="preserve">In theory, if there were no financial or managerial constraints, Westward should accept </w:t>
      </w:r>
      <w:r w:rsidRPr="00530F86">
        <w:t>all independent projects with positive NPV</w:t>
      </w:r>
      <w:r w:rsidRPr="00E501C7">
        <w:t xml:space="preserve">, since each increases shareholder wealth (Brealey et al., 2017). If only one project can be chosen, </w:t>
      </w:r>
      <w:r w:rsidRPr="00530F86">
        <w:t>Option B</w:t>
      </w:r>
      <w:r w:rsidRPr="00E501C7">
        <w:t xml:space="preserve"> is preferred because it has the largest NPV and also offers a strategic move into internet sales.</w:t>
      </w:r>
    </w:p>
    <w:p w14:paraId="6B39C9F6" w14:textId="5F691A92" w:rsidR="00583FA5" w:rsidRPr="00E501C7" w:rsidRDefault="00530F86" w:rsidP="00492D49">
      <w:pPr>
        <w:pStyle w:val="Heading2"/>
      </w:pPr>
      <w:bookmarkStart w:id="16" w:name="_Toc216738287"/>
      <w:r w:rsidRPr="00E501C7">
        <w:t>3.4 IRR FOR THE PREFERRED PROJECT</w:t>
      </w:r>
      <w:bookmarkEnd w:id="16"/>
    </w:p>
    <w:p w14:paraId="2305E21F" w14:textId="7A66410A" w:rsidR="00583FA5" w:rsidRPr="00E501C7" w:rsidRDefault="00583FA5" w:rsidP="00583FA5">
      <w:r w:rsidRPr="00E501C7">
        <w:t xml:space="preserve">While NPV shows value added in money terms, the </w:t>
      </w:r>
      <w:r w:rsidRPr="00530F86">
        <w:t>IRR</w:t>
      </w:r>
      <w:r w:rsidRPr="00E501C7">
        <w:t xml:space="preserve"> shows the project’s percentage return. For </w:t>
      </w:r>
      <w:r w:rsidRPr="00530F86">
        <w:t>Option B</w:t>
      </w:r>
      <w:r w:rsidRPr="00E501C7">
        <w:t xml:space="preserve">, NPV is about </w:t>
      </w:r>
      <w:r w:rsidRPr="00530F86">
        <w:t>£792,000</w:t>
      </w:r>
      <w:r w:rsidRPr="00E501C7">
        <w:t xml:space="preserve"> at a 6% discount rate. By calculating NPVs at higher rates and interpolating, the IRR for Option B is estimated at about </w:t>
      </w:r>
      <w:r w:rsidRPr="00530F86">
        <w:t>32%</w:t>
      </w:r>
      <w:r w:rsidRPr="00E501C7">
        <w:t>.</w:t>
      </w:r>
    </w:p>
    <w:p w14:paraId="1E61AC53" w14:textId="77777777" w:rsidR="00530F86" w:rsidRPr="00A76EE1" w:rsidRDefault="00530F86" w:rsidP="00530F86">
      <w:pPr>
        <w:spacing w:after="0" w:line="240" w:lineRule="auto"/>
        <w:jc w:val="center"/>
        <w:rPr>
          <w:sz w:val="20"/>
          <w:szCs w:val="22"/>
        </w:rPr>
      </w:pPr>
      <w:r w:rsidRPr="005F3FF5">
        <w:rPr>
          <w:noProof/>
          <w:sz w:val="20"/>
          <w:szCs w:val="22"/>
          <w:lang w:eastAsia="en-GB" w:bidi="ar-SA"/>
        </w:rPr>
        <w:drawing>
          <wp:inline distT="0" distB="0" distL="0" distR="0" wp14:anchorId="7D748EFF" wp14:editId="7B9ED172">
            <wp:extent cx="4596765" cy="2761615"/>
            <wp:effectExtent l="0" t="0" r="0" b="635"/>
            <wp:docPr id="140419312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96765" cy="2761615"/>
                    </a:xfrm>
                    <a:prstGeom prst="rect">
                      <a:avLst/>
                    </a:prstGeom>
                    <a:noFill/>
                  </pic:spPr>
                </pic:pic>
              </a:graphicData>
            </a:graphic>
          </wp:inline>
        </w:drawing>
      </w:r>
    </w:p>
    <w:p w14:paraId="241CBC67" w14:textId="77777777" w:rsidR="00530F86" w:rsidRPr="005F3FF5" w:rsidRDefault="00530F86" w:rsidP="00530F86">
      <w:pPr>
        <w:spacing w:after="0" w:line="240" w:lineRule="auto"/>
        <w:jc w:val="center"/>
        <w:rPr>
          <w:b/>
          <w:bCs/>
          <w:sz w:val="20"/>
          <w:szCs w:val="22"/>
        </w:rPr>
      </w:pPr>
      <w:r w:rsidRPr="005F3FF5">
        <w:rPr>
          <w:b/>
          <w:bCs/>
          <w:sz w:val="20"/>
          <w:szCs w:val="22"/>
        </w:rPr>
        <w:t>FIGURE 3.2: NPV PROFILE FOR OPTION B AND APPROXIMATE IRR</w:t>
      </w:r>
    </w:p>
    <w:p w14:paraId="7D03A008" w14:textId="16D5EDF0" w:rsidR="00583FA5" w:rsidRPr="00E501C7" w:rsidRDefault="00583FA5" w:rsidP="00583FA5">
      <w:r w:rsidRPr="00E501C7">
        <w:t xml:space="preserve">An IRR of around 32% is well above the </w:t>
      </w:r>
      <w:r w:rsidRPr="00E501C7">
        <w:rPr>
          <w:b/>
          <w:bCs/>
        </w:rPr>
        <w:t>6% cost of capital</w:t>
      </w:r>
      <w:r w:rsidRPr="00E501C7">
        <w:t>, suggesting that the project would still be attractive even if the cost of capital increased or cash flows were lower than forecast. This supports the NPV decision.</w:t>
      </w:r>
    </w:p>
    <w:p w14:paraId="0F1F4121" w14:textId="77777777" w:rsidR="00583FA5" w:rsidRPr="00E501C7" w:rsidRDefault="00583FA5" w:rsidP="00583FA5">
      <w:r w:rsidRPr="00E501C7">
        <w:t xml:space="preserve">However, IRR has some weaknesses. It can rank projects differently from NPV when scale and timing differ, and it assumes interim cash flows are reinvested at the IRR, which is often unrealistic (Atrill, 2019). For that reason, IRR here is treated as </w:t>
      </w:r>
      <w:r w:rsidRPr="00530F86">
        <w:t>supporting evidence</w:t>
      </w:r>
      <w:r w:rsidRPr="00E501C7">
        <w:t>, and the main decision is still based on NPV.</w:t>
      </w:r>
    </w:p>
    <w:p w14:paraId="3D1249F5" w14:textId="1F4CAE98" w:rsidR="00583FA5" w:rsidRPr="00E501C7" w:rsidRDefault="00530F86" w:rsidP="00492D49">
      <w:pPr>
        <w:pStyle w:val="Heading2"/>
      </w:pPr>
      <w:bookmarkStart w:id="17" w:name="_Toc216738288"/>
      <w:r w:rsidRPr="00E501C7">
        <w:lastRenderedPageBreak/>
        <w:t>3.5 CRITICAL DISCUSSION OF INVESTMENT APPRAISAL METHODS</w:t>
      </w:r>
      <w:bookmarkEnd w:id="17"/>
    </w:p>
    <w:p w14:paraId="1202524C" w14:textId="77777777" w:rsidR="00530F86" w:rsidRDefault="00530F86" w:rsidP="00530F86">
      <w:pPr>
        <w:pStyle w:val="Heading3"/>
      </w:pPr>
      <w:bookmarkStart w:id="18" w:name="_Toc216738289"/>
      <w:r w:rsidRPr="00530F86">
        <w:t>3.5.1 WHY NPV IS PREFERRED IN THEORY</w:t>
      </w:r>
      <w:bookmarkEnd w:id="18"/>
      <w:r w:rsidRPr="00530F86">
        <w:t xml:space="preserve"> </w:t>
      </w:r>
    </w:p>
    <w:p w14:paraId="4186F460" w14:textId="7F62F29C" w:rsidR="00583FA5" w:rsidRPr="00E501C7" w:rsidRDefault="00583FA5" w:rsidP="00D53E30">
      <w:pPr>
        <w:spacing w:after="0"/>
      </w:pPr>
      <w:r w:rsidRPr="00E501C7">
        <w:t>NPV is widely recommended in finance theory because it:</w:t>
      </w:r>
    </w:p>
    <w:p w14:paraId="7159D433" w14:textId="77777777" w:rsidR="00583FA5" w:rsidRPr="00E501C7" w:rsidRDefault="00583FA5" w:rsidP="00004E06">
      <w:pPr>
        <w:numPr>
          <w:ilvl w:val="0"/>
          <w:numId w:val="6"/>
        </w:numPr>
        <w:spacing w:after="0"/>
      </w:pPr>
      <w:r w:rsidRPr="00E501C7">
        <w:t xml:space="preserve">Uses </w:t>
      </w:r>
      <w:r w:rsidRPr="00530F86">
        <w:t>cash flows</w:t>
      </w:r>
      <w:r w:rsidRPr="00E501C7">
        <w:t xml:space="preserve"> rather than accounting profit.</w:t>
      </w:r>
    </w:p>
    <w:p w14:paraId="1E2EAAC1" w14:textId="77777777" w:rsidR="00583FA5" w:rsidRPr="00E501C7" w:rsidRDefault="00583FA5" w:rsidP="00004E06">
      <w:pPr>
        <w:numPr>
          <w:ilvl w:val="0"/>
          <w:numId w:val="6"/>
        </w:numPr>
        <w:spacing w:after="0"/>
      </w:pPr>
      <w:r w:rsidRPr="00E501C7">
        <w:t xml:space="preserve">Recognises the </w:t>
      </w:r>
      <w:r w:rsidRPr="00530F86">
        <w:t>time value of money</w:t>
      </w:r>
      <w:r w:rsidRPr="00E501C7">
        <w:t xml:space="preserve"> through discounting.</w:t>
      </w:r>
    </w:p>
    <w:p w14:paraId="7F597C43" w14:textId="77777777" w:rsidR="00583FA5" w:rsidRPr="00E501C7" w:rsidRDefault="00583FA5" w:rsidP="00004E06">
      <w:pPr>
        <w:numPr>
          <w:ilvl w:val="0"/>
          <w:numId w:val="6"/>
        </w:numPr>
        <w:spacing w:after="0"/>
      </w:pPr>
      <w:r w:rsidRPr="00E501C7">
        <w:t xml:space="preserve">Incorporates </w:t>
      </w:r>
      <w:r w:rsidRPr="00530F86">
        <w:t>risk</w:t>
      </w:r>
      <w:r w:rsidRPr="00E501C7">
        <w:t xml:space="preserve"> by using a discount rate that reflects the cost of capital.</w:t>
      </w:r>
    </w:p>
    <w:p w14:paraId="2701017D" w14:textId="77777777" w:rsidR="00583FA5" w:rsidRPr="00E501C7" w:rsidRDefault="00583FA5" w:rsidP="00004E06">
      <w:pPr>
        <w:numPr>
          <w:ilvl w:val="0"/>
          <w:numId w:val="6"/>
        </w:numPr>
        <w:spacing w:after="0"/>
      </w:pPr>
      <w:r w:rsidRPr="00E501C7">
        <w:t xml:space="preserve">Has an </w:t>
      </w:r>
      <w:r w:rsidRPr="00530F86">
        <w:t>additive property</w:t>
      </w:r>
      <w:r w:rsidRPr="00E501C7">
        <w:t>, which allows the NPVs of different projects to be added when considering a portfolio under capital rationing (Brealey et al., 2017; Mellichamp, 2019).</w:t>
      </w:r>
    </w:p>
    <w:p w14:paraId="6CA2E8A8" w14:textId="77777777" w:rsidR="00583FA5" w:rsidRPr="00E501C7" w:rsidRDefault="00583FA5" w:rsidP="00583FA5">
      <w:r w:rsidRPr="00E501C7">
        <w:t>In Westward’s case, NPV at 6% gives a clear and consistent way to compare all three projects and identify which ones add the most value.</w:t>
      </w:r>
    </w:p>
    <w:p w14:paraId="40C4637A" w14:textId="3C204685" w:rsidR="00583FA5" w:rsidRPr="00E501C7" w:rsidRDefault="00530F86" w:rsidP="00530F86">
      <w:pPr>
        <w:pStyle w:val="Heading3"/>
      </w:pPr>
      <w:bookmarkStart w:id="19" w:name="_Toc216738290"/>
      <w:r w:rsidRPr="00E501C7">
        <w:t>3.5.2 WHY NON-DISCOUNTING METHODS ARE STILL USED</w:t>
      </w:r>
      <w:bookmarkEnd w:id="19"/>
    </w:p>
    <w:p w14:paraId="473B9CA3" w14:textId="71B25FC3" w:rsidR="00583FA5" w:rsidRPr="00E501C7" w:rsidRDefault="00583FA5" w:rsidP="00583FA5">
      <w:r w:rsidRPr="00E501C7">
        <w:t xml:space="preserve">Despite its strengths, many firms still use methods such as </w:t>
      </w:r>
      <w:r w:rsidRPr="00530F86">
        <w:t>Payback Period</w:t>
      </w:r>
      <w:r w:rsidRPr="00E501C7">
        <w:t xml:space="preserve"> and </w:t>
      </w:r>
      <w:r w:rsidRPr="00530F86">
        <w:t>Accounting Rate of Return (ARR)</w:t>
      </w:r>
      <w:r w:rsidRPr="00E501C7">
        <w:t>, often alongside NPV</w:t>
      </w:r>
      <w:r w:rsidR="00530F86">
        <w:t xml:space="preserve"> (</w:t>
      </w:r>
      <w:r w:rsidR="00530F86" w:rsidRPr="00530F86">
        <w:t>Anabtawi</w:t>
      </w:r>
      <w:r w:rsidR="00530F86">
        <w:t>, 2018)</w:t>
      </w:r>
      <w:r w:rsidRPr="00E501C7">
        <w:t>.</w:t>
      </w:r>
      <w:r w:rsidR="00530F86">
        <w:t xml:space="preserve"> </w:t>
      </w:r>
      <w:r w:rsidRPr="00E501C7">
        <w:t xml:space="preserve">The </w:t>
      </w:r>
      <w:r w:rsidRPr="00530F86">
        <w:t>Payback Period</w:t>
      </w:r>
      <w:r w:rsidRPr="00E501C7">
        <w:t xml:space="preserve"> measures how long it takes to recover the original investment from net cash inflows. It is simple and focuses on liquidity and risk because shorter payback means less time exposed to uncertainty. However, it ignores the time value of money and disregards cash flows after the payback point (Vujnović et al., 2022).</w:t>
      </w:r>
    </w:p>
    <w:p w14:paraId="551466A3" w14:textId="4E66D7A4" w:rsidR="00583FA5" w:rsidRPr="00E501C7" w:rsidRDefault="00583FA5" w:rsidP="00583FA5">
      <w:r w:rsidRPr="00530F86">
        <w:t>ARR</w:t>
      </w:r>
      <w:r w:rsidRPr="00E501C7">
        <w:t xml:space="preserve"> compares average annual accounting profit with the initial or average investment. It links directly to financial statements, which some managers find intuitive, but it uses profit instead of cash flow and ignores timing (Atrill, 2019).</w:t>
      </w:r>
      <w:r w:rsidR="00530F86">
        <w:t xml:space="preserve"> </w:t>
      </w:r>
      <w:r w:rsidRPr="00E501C7">
        <w:t xml:space="preserve">For Westward, payback and ARR could provide extra information, especially if the board is very sensitive to short-term liquidity. Still, when there is a conflict, </w:t>
      </w:r>
      <w:r w:rsidRPr="00530F86">
        <w:t>NPV should guide the final decision</w:t>
      </w:r>
      <w:r w:rsidRPr="00E501C7">
        <w:t>, because it best reflects shareholder value (Anabtawi, 2018).</w:t>
      </w:r>
    </w:p>
    <w:p w14:paraId="0AB24B77" w14:textId="3BFF86CF" w:rsidR="00583FA5" w:rsidRPr="00E501C7" w:rsidRDefault="00530F86" w:rsidP="00530F86">
      <w:pPr>
        <w:pStyle w:val="Heading3"/>
      </w:pPr>
      <w:bookmarkStart w:id="20" w:name="_Toc216738291"/>
      <w:r w:rsidRPr="00E501C7">
        <w:lastRenderedPageBreak/>
        <w:t>3.5.3 QUALITATIVE AND STRATEGIC CONSIDERATIONS</w:t>
      </w:r>
      <w:bookmarkEnd w:id="20"/>
    </w:p>
    <w:p w14:paraId="7505DC4F" w14:textId="77777777" w:rsidR="00583FA5" w:rsidRPr="00E501C7" w:rsidRDefault="00583FA5" w:rsidP="00583FA5">
      <w:r w:rsidRPr="00E501C7">
        <w:t xml:space="preserve">Investment appraisal should also consider </w:t>
      </w:r>
      <w:r w:rsidRPr="00530F86">
        <w:t>non-financial</w:t>
      </w:r>
      <w:r w:rsidRPr="00E501C7">
        <w:t xml:space="preserve"> factors (Atrill, 2019; Drury, 2020), such as:</w:t>
      </w:r>
    </w:p>
    <w:p w14:paraId="3A95A898" w14:textId="77777777" w:rsidR="00530F86" w:rsidRDefault="00583FA5" w:rsidP="00004E06">
      <w:pPr>
        <w:pStyle w:val="ListParagraph"/>
        <w:numPr>
          <w:ilvl w:val="0"/>
          <w:numId w:val="11"/>
        </w:numPr>
      </w:pPr>
      <w:r w:rsidRPr="00530F86">
        <w:rPr>
          <w:b/>
          <w:bCs/>
        </w:rPr>
        <w:t>Strategic fit</w:t>
      </w:r>
      <w:r w:rsidRPr="00583FA5">
        <w:t xml:space="preserve">: </w:t>
      </w:r>
      <w:r w:rsidR="00530F86" w:rsidRPr="00530F86">
        <w:t>Option A supports the current retail strategy and may strengthen Westward’s brand in physical stores. Option B builds an online channel, which may be</w:t>
      </w:r>
      <w:r w:rsidR="00530F86">
        <w:t xml:space="preserve"> </w:t>
      </w:r>
      <w:r w:rsidR="00530F86" w:rsidRPr="00530F86">
        <w:t xml:space="preserve">essential for long-term competitiveness as more customers research and buy online. Option C extends the product range into blinds, which may reduce dependence on curtains but may also stretch the brand. </w:t>
      </w:r>
    </w:p>
    <w:p w14:paraId="15ECCC9A" w14:textId="307BF29D" w:rsidR="00530F86" w:rsidRDefault="00530F86" w:rsidP="00004E06">
      <w:pPr>
        <w:pStyle w:val="ListParagraph"/>
        <w:numPr>
          <w:ilvl w:val="0"/>
          <w:numId w:val="11"/>
        </w:numPr>
      </w:pPr>
      <w:r w:rsidRPr="00530F86">
        <w:rPr>
          <w:b/>
          <w:bCs/>
        </w:rPr>
        <w:t>Market trends:</w:t>
      </w:r>
      <w:r w:rsidRPr="00530F86">
        <w:t xml:space="preserve"> The growth of e-commerce suggests that an internet sales channel (Option B) could give strong long-term benefits. At the same time, there may be growing demand for integrated window-covering solutions, which supports Option C. The board should consider customer preferences, competitor behaviour and likely changes over the next four years.</w:t>
      </w:r>
    </w:p>
    <w:p w14:paraId="447B91D7" w14:textId="77777777" w:rsidR="00583FA5" w:rsidRPr="00E501C7" w:rsidRDefault="00583FA5" w:rsidP="00004E06">
      <w:pPr>
        <w:numPr>
          <w:ilvl w:val="0"/>
          <w:numId w:val="7"/>
        </w:numPr>
      </w:pPr>
      <w:r w:rsidRPr="00E501C7">
        <w:rPr>
          <w:b/>
          <w:bCs/>
        </w:rPr>
        <w:t>Operational capabilities</w:t>
      </w:r>
      <w:r w:rsidRPr="00E501C7">
        <w:t>: Internet sales require digital and logistics skills. Blinds may need new machinery and production know-how.</w:t>
      </w:r>
    </w:p>
    <w:p w14:paraId="5396D0C7" w14:textId="77777777" w:rsidR="00583FA5" w:rsidRPr="00E501C7" w:rsidRDefault="00583FA5" w:rsidP="00004E06">
      <w:pPr>
        <w:numPr>
          <w:ilvl w:val="0"/>
          <w:numId w:val="7"/>
        </w:numPr>
      </w:pPr>
      <w:r w:rsidRPr="00E501C7">
        <w:rPr>
          <w:b/>
          <w:bCs/>
        </w:rPr>
        <w:t>Risk and flexibility</w:t>
      </w:r>
      <w:r w:rsidRPr="00E501C7">
        <w:t>: Online operations can often be scaled more flexibly than large physical expansions.</w:t>
      </w:r>
    </w:p>
    <w:p w14:paraId="5BD43CCE" w14:textId="77777777" w:rsidR="00583FA5" w:rsidRPr="00E501C7" w:rsidRDefault="00583FA5" w:rsidP="00004E06">
      <w:pPr>
        <w:numPr>
          <w:ilvl w:val="0"/>
          <w:numId w:val="7"/>
        </w:numPr>
      </w:pPr>
      <w:r w:rsidRPr="00E501C7">
        <w:rPr>
          <w:b/>
          <w:bCs/>
        </w:rPr>
        <w:t>Regulatory and reputational issues</w:t>
      </w:r>
      <w:r w:rsidRPr="00E501C7">
        <w:t>: Data protection for online customers or safety standards for new products may bring extra compliance costs.</w:t>
      </w:r>
    </w:p>
    <w:p w14:paraId="782D94DB" w14:textId="77777777" w:rsidR="00583FA5" w:rsidRPr="00E501C7" w:rsidRDefault="00583FA5" w:rsidP="00583FA5">
      <w:r w:rsidRPr="00E501C7">
        <w:t xml:space="preserve">Because Option B combines the </w:t>
      </w:r>
      <w:r w:rsidRPr="00530F86">
        <w:t>highest NPV</w:t>
      </w:r>
      <w:r w:rsidRPr="00E501C7">
        <w:t xml:space="preserve"> with a strong strategic move into online sales, it appears particularly attractive.</w:t>
      </w:r>
    </w:p>
    <w:p w14:paraId="07B49697" w14:textId="5457BD5E" w:rsidR="00583FA5" w:rsidRPr="00E501C7" w:rsidRDefault="005858DE" w:rsidP="00492D49">
      <w:pPr>
        <w:pStyle w:val="Heading2"/>
      </w:pPr>
      <w:bookmarkStart w:id="21" w:name="_Toc216738292"/>
      <w:r w:rsidRPr="00E501C7">
        <w:lastRenderedPageBreak/>
        <w:t>3.6 CAPITAL RATIONING AND OPTIMAL INVESTMENT POLICY</w:t>
      </w:r>
      <w:bookmarkEnd w:id="21"/>
    </w:p>
    <w:p w14:paraId="7DB86684" w14:textId="0639319C" w:rsidR="00583FA5" w:rsidRPr="00E501C7" w:rsidRDefault="00583FA5" w:rsidP="00D53E30">
      <w:r w:rsidRPr="00E501C7">
        <w:t xml:space="preserve">The assignment also asks what happens if available capital is limited to </w:t>
      </w:r>
      <w:r w:rsidRPr="00530F86">
        <w:t>£2,500,000</w:t>
      </w:r>
      <w:r w:rsidRPr="00E501C7">
        <w:t xml:space="preserve"> and the projects are </w:t>
      </w:r>
      <w:r w:rsidRPr="00530F86">
        <w:t>divisible</w:t>
      </w:r>
      <w:r w:rsidRPr="00E501C7">
        <w:t xml:space="preserve">. In this case, Westward can invest in fractions of projects, and cash flows scale in proportion. When funds are limited, textbooks recommend using the </w:t>
      </w:r>
      <w:r w:rsidRPr="00530F86">
        <w:t>profitability index (PI)</w:t>
      </w:r>
      <w:r w:rsidRPr="00E501C7">
        <w:t xml:space="preserve"> to rank projects (Atrill, 2019; Drury, 2020).</w:t>
      </w:r>
      <w:r w:rsidR="00D53E30">
        <w:t xml:space="preserve"> </w:t>
      </w:r>
      <w:r w:rsidRPr="00E501C7">
        <w:t>Using PI = NPV ÷ initial cost:</w:t>
      </w:r>
    </w:p>
    <w:p w14:paraId="2641C66C" w14:textId="77777777" w:rsidR="00583FA5" w:rsidRPr="00E501C7" w:rsidRDefault="00583FA5" w:rsidP="00004E06">
      <w:pPr>
        <w:numPr>
          <w:ilvl w:val="0"/>
          <w:numId w:val="8"/>
        </w:numPr>
        <w:spacing w:after="0"/>
      </w:pPr>
      <w:r w:rsidRPr="00E501C7">
        <w:rPr>
          <w:b/>
          <w:bCs/>
        </w:rPr>
        <w:t>Option A</w:t>
      </w:r>
      <w:r w:rsidRPr="00E501C7">
        <w:t xml:space="preserve">: 643,168 ÷ 600,000 ≈ </w:t>
      </w:r>
      <w:r w:rsidRPr="00E501C7">
        <w:rPr>
          <w:b/>
          <w:bCs/>
        </w:rPr>
        <w:t>1.07</w:t>
      </w:r>
    </w:p>
    <w:p w14:paraId="4465E970" w14:textId="77777777" w:rsidR="00583FA5" w:rsidRPr="00E501C7" w:rsidRDefault="00583FA5" w:rsidP="00004E06">
      <w:pPr>
        <w:numPr>
          <w:ilvl w:val="0"/>
          <w:numId w:val="8"/>
        </w:numPr>
        <w:spacing w:after="0"/>
      </w:pPr>
      <w:r w:rsidRPr="00E501C7">
        <w:rPr>
          <w:b/>
          <w:bCs/>
        </w:rPr>
        <w:t>Option B</w:t>
      </w:r>
      <w:r w:rsidRPr="00E501C7">
        <w:t xml:space="preserve">: 792,231 ÷ 1,000,000 ≈ </w:t>
      </w:r>
      <w:r w:rsidRPr="00E501C7">
        <w:rPr>
          <w:b/>
          <w:bCs/>
        </w:rPr>
        <w:t>0.79</w:t>
      </w:r>
    </w:p>
    <w:p w14:paraId="14B93D1D" w14:textId="77777777" w:rsidR="00583FA5" w:rsidRPr="00E501C7" w:rsidRDefault="00583FA5" w:rsidP="00004E06">
      <w:pPr>
        <w:numPr>
          <w:ilvl w:val="0"/>
          <w:numId w:val="8"/>
        </w:numPr>
        <w:spacing w:after="0"/>
      </w:pPr>
      <w:r w:rsidRPr="00E501C7">
        <w:rPr>
          <w:b/>
          <w:bCs/>
        </w:rPr>
        <w:t>Option C</w:t>
      </w:r>
      <w:r w:rsidRPr="00E501C7">
        <w:t xml:space="preserve">: 742,480 ÷ 1,600,000 ≈ </w:t>
      </w:r>
      <w:r w:rsidRPr="00E501C7">
        <w:rPr>
          <w:b/>
          <w:bCs/>
        </w:rPr>
        <w:t>0.46</w:t>
      </w:r>
    </w:p>
    <w:p w14:paraId="79B1E956" w14:textId="718830E6" w:rsidR="00530F86" w:rsidRDefault="00530F86" w:rsidP="00530F86">
      <w:pPr>
        <w:spacing w:after="0" w:line="240" w:lineRule="auto"/>
        <w:jc w:val="center"/>
        <w:rPr>
          <w:b/>
          <w:bCs/>
          <w:sz w:val="20"/>
          <w:szCs w:val="22"/>
        </w:rPr>
      </w:pPr>
      <w:r w:rsidRPr="005F3FF5">
        <w:rPr>
          <w:b/>
          <w:bCs/>
          <w:sz w:val="20"/>
          <w:szCs w:val="22"/>
        </w:rPr>
        <w:t>TABLE 3.2: PROFITABILITY INDEX AND RANKING UNDER CAPITAL RATIONING</w:t>
      </w:r>
    </w:p>
    <w:tbl>
      <w:tblPr>
        <w:tblStyle w:val="GridTable5Dark-Accent5"/>
        <w:tblW w:w="5000" w:type="pct"/>
        <w:tblLook w:val="04A0" w:firstRow="1" w:lastRow="0" w:firstColumn="1" w:lastColumn="0" w:noHBand="0" w:noVBand="1"/>
      </w:tblPr>
      <w:tblGrid>
        <w:gridCol w:w="2900"/>
        <w:gridCol w:w="1828"/>
        <w:gridCol w:w="2018"/>
        <w:gridCol w:w="2270"/>
      </w:tblGrid>
      <w:tr w:rsidR="00530F86" w:rsidRPr="005F3FF5" w14:paraId="63645158" w14:textId="77777777" w:rsidTr="00DD31D5">
        <w:trPr>
          <w:cnfStyle w:val="100000000000" w:firstRow="1" w:lastRow="0" w:firstColumn="0" w:lastColumn="0" w:oddVBand="0" w:evenVBand="0" w:oddHBand="0"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608" w:type="pct"/>
            <w:noWrap/>
            <w:hideMark/>
          </w:tcPr>
          <w:p w14:paraId="39516EE5" w14:textId="77777777" w:rsidR="00530F86" w:rsidRPr="005F3FF5" w:rsidRDefault="00530F86" w:rsidP="00DD31D5">
            <w:pPr>
              <w:spacing w:line="240" w:lineRule="auto"/>
              <w:jc w:val="center"/>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Option</w:t>
            </w:r>
          </w:p>
        </w:tc>
        <w:tc>
          <w:tcPr>
            <w:tcW w:w="1014" w:type="pct"/>
            <w:noWrap/>
            <w:hideMark/>
          </w:tcPr>
          <w:p w14:paraId="04181B57" w14:textId="77777777" w:rsidR="00530F86" w:rsidRPr="005F3FF5" w:rsidRDefault="00530F86" w:rsidP="00DD31D5">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Full cost</w:t>
            </w:r>
          </w:p>
        </w:tc>
        <w:tc>
          <w:tcPr>
            <w:tcW w:w="1119" w:type="pct"/>
            <w:noWrap/>
            <w:hideMark/>
          </w:tcPr>
          <w:p w14:paraId="2BDD8B69" w14:textId="77777777" w:rsidR="00530F86" w:rsidRPr="005F3FF5" w:rsidRDefault="00530F86" w:rsidP="00DD31D5">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 xml:space="preserve">NPV </w:t>
            </w:r>
            <w:r w:rsidRPr="00822B31">
              <w:rPr>
                <w:rFonts w:eastAsia="Times New Roman" w:cs="Times New Roman"/>
                <w:color w:val="000000"/>
                <w:kern w:val="0"/>
                <w:sz w:val="20"/>
                <w:szCs w:val="20"/>
                <w:lang w:eastAsia="en-GB" w:bidi="hi-IN"/>
                <w14:ligatures w14:val="none"/>
              </w:rPr>
              <w:t>at 6%</w:t>
            </w:r>
          </w:p>
        </w:tc>
        <w:tc>
          <w:tcPr>
            <w:tcW w:w="1259" w:type="pct"/>
            <w:noWrap/>
            <w:hideMark/>
          </w:tcPr>
          <w:p w14:paraId="6D39F476" w14:textId="77777777" w:rsidR="00530F86" w:rsidRPr="005F3FF5" w:rsidRDefault="00530F86" w:rsidP="00DD31D5">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PI (NPV / cost)</w:t>
            </w:r>
          </w:p>
        </w:tc>
      </w:tr>
      <w:tr w:rsidR="00530F86" w:rsidRPr="005F3FF5" w14:paraId="154A11D3" w14:textId="77777777" w:rsidTr="00DD31D5">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608" w:type="pct"/>
            <w:hideMark/>
          </w:tcPr>
          <w:p w14:paraId="1A918E30" w14:textId="77777777" w:rsidR="00530F86" w:rsidRPr="005F3FF5" w:rsidRDefault="00530F86" w:rsidP="00DD31D5">
            <w:pPr>
              <w:spacing w:line="240" w:lineRule="auto"/>
              <w:jc w:val="center"/>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A – Retail</w:t>
            </w:r>
          </w:p>
        </w:tc>
        <w:tc>
          <w:tcPr>
            <w:tcW w:w="1014" w:type="pct"/>
            <w:hideMark/>
          </w:tcPr>
          <w:p w14:paraId="5D088C85" w14:textId="77777777" w:rsidR="00530F86" w:rsidRPr="005F3FF5" w:rsidRDefault="00530F86" w:rsidP="00DD31D5">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600000</w:t>
            </w:r>
          </w:p>
        </w:tc>
        <w:tc>
          <w:tcPr>
            <w:tcW w:w="1119" w:type="pct"/>
            <w:hideMark/>
          </w:tcPr>
          <w:p w14:paraId="2C03B64A" w14:textId="77777777" w:rsidR="00530F86" w:rsidRPr="005F3FF5" w:rsidRDefault="00530F86" w:rsidP="00DD31D5">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643168</w:t>
            </w:r>
          </w:p>
        </w:tc>
        <w:tc>
          <w:tcPr>
            <w:tcW w:w="1259" w:type="pct"/>
            <w:noWrap/>
            <w:hideMark/>
          </w:tcPr>
          <w:p w14:paraId="257504E8" w14:textId="77777777" w:rsidR="00530F86" w:rsidRPr="005F3FF5" w:rsidRDefault="00530F86" w:rsidP="00DD31D5">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1.07</w:t>
            </w:r>
          </w:p>
        </w:tc>
      </w:tr>
      <w:tr w:rsidR="00530F86" w:rsidRPr="005F3FF5" w14:paraId="06B67428" w14:textId="77777777" w:rsidTr="00DD31D5">
        <w:trPr>
          <w:trHeight w:val="312"/>
        </w:trPr>
        <w:tc>
          <w:tcPr>
            <w:cnfStyle w:val="001000000000" w:firstRow="0" w:lastRow="0" w:firstColumn="1" w:lastColumn="0" w:oddVBand="0" w:evenVBand="0" w:oddHBand="0" w:evenHBand="0" w:firstRowFirstColumn="0" w:firstRowLastColumn="0" w:lastRowFirstColumn="0" w:lastRowLastColumn="0"/>
            <w:tcW w:w="1608" w:type="pct"/>
            <w:hideMark/>
          </w:tcPr>
          <w:p w14:paraId="559A8173" w14:textId="77777777" w:rsidR="00530F86" w:rsidRPr="005F3FF5" w:rsidRDefault="00530F86" w:rsidP="00DD31D5">
            <w:pPr>
              <w:spacing w:line="240" w:lineRule="auto"/>
              <w:jc w:val="center"/>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B – Internet</w:t>
            </w:r>
          </w:p>
        </w:tc>
        <w:tc>
          <w:tcPr>
            <w:tcW w:w="1014" w:type="pct"/>
            <w:hideMark/>
          </w:tcPr>
          <w:p w14:paraId="236502A7" w14:textId="77777777" w:rsidR="00530F86" w:rsidRPr="005F3FF5" w:rsidRDefault="00530F86" w:rsidP="00DD31D5">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1000000</w:t>
            </w:r>
          </w:p>
        </w:tc>
        <w:tc>
          <w:tcPr>
            <w:tcW w:w="1119" w:type="pct"/>
            <w:hideMark/>
          </w:tcPr>
          <w:p w14:paraId="75238D64" w14:textId="77777777" w:rsidR="00530F86" w:rsidRPr="005F3FF5" w:rsidRDefault="00530F86" w:rsidP="00DD31D5">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792231</w:t>
            </w:r>
          </w:p>
        </w:tc>
        <w:tc>
          <w:tcPr>
            <w:tcW w:w="1259" w:type="pct"/>
            <w:noWrap/>
            <w:hideMark/>
          </w:tcPr>
          <w:p w14:paraId="6FF43587" w14:textId="77777777" w:rsidR="00530F86" w:rsidRPr="005F3FF5" w:rsidRDefault="00530F86" w:rsidP="00DD31D5">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0.79</w:t>
            </w:r>
          </w:p>
        </w:tc>
      </w:tr>
      <w:tr w:rsidR="00530F86" w:rsidRPr="005F3FF5" w14:paraId="04D9DCCE" w14:textId="77777777" w:rsidTr="00DD31D5">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608" w:type="pct"/>
            <w:hideMark/>
          </w:tcPr>
          <w:p w14:paraId="2092DC9A" w14:textId="77777777" w:rsidR="00530F86" w:rsidRPr="005F3FF5" w:rsidRDefault="00530F86" w:rsidP="00DD31D5">
            <w:pPr>
              <w:spacing w:line="240" w:lineRule="auto"/>
              <w:jc w:val="center"/>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C – Blinds</w:t>
            </w:r>
          </w:p>
        </w:tc>
        <w:tc>
          <w:tcPr>
            <w:tcW w:w="1014" w:type="pct"/>
            <w:hideMark/>
          </w:tcPr>
          <w:p w14:paraId="3D25D105" w14:textId="77777777" w:rsidR="00530F86" w:rsidRPr="005F3FF5" w:rsidRDefault="00530F86" w:rsidP="00DD31D5">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1600000</w:t>
            </w:r>
          </w:p>
        </w:tc>
        <w:tc>
          <w:tcPr>
            <w:tcW w:w="1119" w:type="pct"/>
            <w:hideMark/>
          </w:tcPr>
          <w:p w14:paraId="6ED074D2" w14:textId="77777777" w:rsidR="00530F86" w:rsidRPr="005F3FF5" w:rsidRDefault="00530F86" w:rsidP="00DD31D5">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742480</w:t>
            </w:r>
          </w:p>
        </w:tc>
        <w:tc>
          <w:tcPr>
            <w:tcW w:w="1259" w:type="pct"/>
            <w:noWrap/>
            <w:hideMark/>
          </w:tcPr>
          <w:p w14:paraId="4E1E8B7B" w14:textId="77777777" w:rsidR="00530F86" w:rsidRPr="005F3FF5" w:rsidRDefault="00530F86" w:rsidP="00DD31D5">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kern w:val="0"/>
                <w:sz w:val="20"/>
                <w:szCs w:val="20"/>
                <w:lang w:eastAsia="en-GB" w:bidi="hi-IN"/>
                <w14:ligatures w14:val="none"/>
              </w:rPr>
            </w:pPr>
            <w:r w:rsidRPr="005F3FF5">
              <w:rPr>
                <w:rFonts w:eastAsia="Times New Roman" w:cs="Times New Roman"/>
                <w:color w:val="000000"/>
                <w:kern w:val="0"/>
                <w:sz w:val="20"/>
                <w:szCs w:val="20"/>
                <w:lang w:eastAsia="en-GB" w:bidi="hi-IN"/>
                <w14:ligatures w14:val="none"/>
              </w:rPr>
              <w:t>0.46</w:t>
            </w:r>
          </w:p>
        </w:tc>
      </w:tr>
    </w:tbl>
    <w:p w14:paraId="01A17BB2" w14:textId="02790E75" w:rsidR="00583FA5" w:rsidRPr="00E501C7" w:rsidRDefault="00583FA5" w:rsidP="00D53E30">
      <w:pPr>
        <w:spacing w:after="0"/>
      </w:pPr>
      <w:r w:rsidRPr="00E501C7">
        <w:t xml:space="preserve">To maximise total NPV within the </w:t>
      </w:r>
      <w:r w:rsidRPr="00D53E30">
        <w:t>£2.5 million</w:t>
      </w:r>
      <w:r w:rsidRPr="00E501C7">
        <w:t xml:space="preserve"> budget, Westward should:</w:t>
      </w:r>
    </w:p>
    <w:p w14:paraId="2B12F9DD" w14:textId="77777777" w:rsidR="00583FA5" w:rsidRPr="00E501C7" w:rsidRDefault="00583FA5" w:rsidP="00004E06">
      <w:pPr>
        <w:numPr>
          <w:ilvl w:val="0"/>
          <w:numId w:val="9"/>
        </w:numPr>
        <w:spacing w:after="0"/>
      </w:pPr>
      <w:r w:rsidRPr="00E501C7">
        <w:rPr>
          <w:b/>
          <w:bCs/>
        </w:rPr>
        <w:t>Invest fully in Option A</w:t>
      </w:r>
      <w:r w:rsidRPr="00E501C7">
        <w:t xml:space="preserve"> (highest PI).</w:t>
      </w:r>
    </w:p>
    <w:p w14:paraId="12084E7C" w14:textId="77777777" w:rsidR="00583FA5" w:rsidRPr="00E501C7" w:rsidRDefault="00583FA5" w:rsidP="00004E06">
      <w:pPr>
        <w:numPr>
          <w:ilvl w:val="1"/>
          <w:numId w:val="13"/>
        </w:numPr>
        <w:spacing w:after="0"/>
      </w:pPr>
      <w:r w:rsidRPr="00E501C7">
        <w:t>Cost: £600,000</w:t>
      </w:r>
    </w:p>
    <w:p w14:paraId="63B796B1" w14:textId="77777777" w:rsidR="00583FA5" w:rsidRPr="00E501C7" w:rsidRDefault="00583FA5" w:rsidP="00004E06">
      <w:pPr>
        <w:numPr>
          <w:ilvl w:val="1"/>
          <w:numId w:val="13"/>
        </w:numPr>
        <w:spacing w:after="0"/>
      </w:pPr>
      <w:r w:rsidRPr="00E501C7">
        <w:t>NPV: £643,168</w:t>
      </w:r>
    </w:p>
    <w:p w14:paraId="151CE9DE" w14:textId="77777777" w:rsidR="00583FA5" w:rsidRPr="00E501C7" w:rsidRDefault="00583FA5" w:rsidP="00004E06">
      <w:pPr>
        <w:numPr>
          <w:ilvl w:val="1"/>
          <w:numId w:val="13"/>
        </w:numPr>
        <w:spacing w:after="0"/>
      </w:pPr>
      <w:r w:rsidRPr="00E501C7">
        <w:t>Remaining funds: £1,900,000</w:t>
      </w:r>
    </w:p>
    <w:p w14:paraId="1144B87A" w14:textId="77777777" w:rsidR="00583FA5" w:rsidRPr="00E501C7" w:rsidRDefault="00583FA5" w:rsidP="00004E06">
      <w:pPr>
        <w:numPr>
          <w:ilvl w:val="0"/>
          <w:numId w:val="9"/>
        </w:numPr>
        <w:spacing w:after="0"/>
      </w:pPr>
      <w:r w:rsidRPr="00E501C7">
        <w:rPr>
          <w:b/>
          <w:bCs/>
        </w:rPr>
        <w:t>Invest fully in Option B</w:t>
      </w:r>
      <w:r w:rsidRPr="00E501C7">
        <w:t xml:space="preserve"> (next highest PI).</w:t>
      </w:r>
    </w:p>
    <w:p w14:paraId="1465D719" w14:textId="77777777" w:rsidR="00583FA5" w:rsidRPr="00E501C7" w:rsidRDefault="00583FA5" w:rsidP="00004E06">
      <w:pPr>
        <w:numPr>
          <w:ilvl w:val="1"/>
          <w:numId w:val="12"/>
        </w:numPr>
        <w:spacing w:after="0"/>
      </w:pPr>
      <w:r w:rsidRPr="00E501C7">
        <w:t>Cost: £1,000,000</w:t>
      </w:r>
    </w:p>
    <w:p w14:paraId="21F98518" w14:textId="77777777" w:rsidR="00583FA5" w:rsidRPr="00E501C7" w:rsidRDefault="00583FA5" w:rsidP="00004E06">
      <w:pPr>
        <w:numPr>
          <w:ilvl w:val="1"/>
          <w:numId w:val="12"/>
        </w:numPr>
        <w:spacing w:after="0"/>
      </w:pPr>
      <w:r w:rsidRPr="00E501C7">
        <w:t>NPV: £792,231</w:t>
      </w:r>
    </w:p>
    <w:p w14:paraId="7C73A73B" w14:textId="77777777" w:rsidR="00583FA5" w:rsidRPr="00E501C7" w:rsidRDefault="00583FA5" w:rsidP="00004E06">
      <w:pPr>
        <w:numPr>
          <w:ilvl w:val="1"/>
          <w:numId w:val="12"/>
        </w:numPr>
        <w:spacing w:after="0"/>
      </w:pPr>
      <w:r w:rsidRPr="00E501C7">
        <w:t>Remaining funds: £900,000</w:t>
      </w:r>
    </w:p>
    <w:p w14:paraId="7BE38781" w14:textId="77777777" w:rsidR="00583FA5" w:rsidRPr="00E501C7" w:rsidRDefault="00583FA5" w:rsidP="00004E06">
      <w:pPr>
        <w:numPr>
          <w:ilvl w:val="0"/>
          <w:numId w:val="9"/>
        </w:numPr>
        <w:spacing w:after="0"/>
      </w:pPr>
      <w:r w:rsidRPr="00E501C7">
        <w:rPr>
          <w:b/>
          <w:bCs/>
        </w:rPr>
        <w:t>Invest the remaining £900,000 in Option C</w:t>
      </w:r>
      <w:r w:rsidRPr="00E501C7">
        <w:t>.</w:t>
      </w:r>
    </w:p>
    <w:p w14:paraId="62D2507B" w14:textId="77777777" w:rsidR="00583FA5" w:rsidRPr="005858DE" w:rsidRDefault="00583FA5" w:rsidP="00004E06">
      <w:pPr>
        <w:numPr>
          <w:ilvl w:val="1"/>
          <w:numId w:val="12"/>
        </w:numPr>
        <w:spacing w:after="0"/>
      </w:pPr>
      <w:r w:rsidRPr="005858DE">
        <w:t>Full cost of C is £1,600,000, so Westward can invest 56.25%.</w:t>
      </w:r>
    </w:p>
    <w:p w14:paraId="396658D3" w14:textId="77777777" w:rsidR="00583FA5" w:rsidRPr="005858DE" w:rsidRDefault="00583FA5" w:rsidP="00004E06">
      <w:pPr>
        <w:numPr>
          <w:ilvl w:val="1"/>
          <w:numId w:val="12"/>
        </w:numPr>
        <w:spacing w:after="0"/>
      </w:pPr>
      <w:r w:rsidRPr="005858DE">
        <w:t>Fractional NPV ≈ 0.5625 × 742,480 ≈ £417,645.</w:t>
      </w:r>
    </w:p>
    <w:p w14:paraId="3B8EC4C7" w14:textId="77777777" w:rsidR="005858DE" w:rsidRDefault="005858DE" w:rsidP="00D53E30">
      <w:pPr>
        <w:spacing w:after="0"/>
      </w:pPr>
      <w:r w:rsidRPr="005858DE">
        <w:t xml:space="preserve">The total NPV from this optimal mix is: </w:t>
      </w:r>
    </w:p>
    <w:p w14:paraId="5ABF393F" w14:textId="2D312342" w:rsidR="005858DE" w:rsidRPr="005858DE" w:rsidRDefault="005858DE" w:rsidP="00D53E30">
      <w:pPr>
        <w:spacing w:after="0"/>
        <w:jc w:val="center"/>
      </w:pPr>
      <w:r w:rsidRPr="005858DE">
        <w:t>£643,168 (A) + £792,231 (B) + £417,645 (partial C) ≈ £1,853,044.</w:t>
      </w:r>
    </w:p>
    <w:p w14:paraId="0C46123F" w14:textId="77777777" w:rsidR="005858DE" w:rsidRPr="005858DE" w:rsidRDefault="005858DE" w:rsidP="005858DE">
      <w:pPr>
        <w:spacing w:line="240" w:lineRule="auto"/>
        <w:jc w:val="center"/>
        <w:rPr>
          <w:sz w:val="20"/>
          <w:szCs w:val="22"/>
        </w:rPr>
      </w:pPr>
      <w:r w:rsidRPr="005858DE">
        <w:rPr>
          <w:noProof/>
          <w:sz w:val="20"/>
          <w:szCs w:val="22"/>
          <w:lang w:eastAsia="en-GB" w:bidi="ar-SA"/>
        </w:rPr>
        <w:lastRenderedPageBreak/>
        <w:drawing>
          <wp:inline distT="0" distB="0" distL="0" distR="0" wp14:anchorId="0A9A9721" wp14:editId="5001D654">
            <wp:extent cx="5703570" cy="2389517"/>
            <wp:effectExtent l="0" t="0" r="11430" b="10795"/>
            <wp:docPr id="489602411"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87E3CB49-7FE2-2811-0724-6CD9B69474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736C117" w14:textId="2A905E06" w:rsidR="005858DE" w:rsidRPr="005858DE" w:rsidRDefault="005858DE" w:rsidP="005858DE">
      <w:pPr>
        <w:spacing w:line="240" w:lineRule="auto"/>
        <w:ind w:left="720"/>
        <w:jc w:val="center"/>
        <w:rPr>
          <w:sz w:val="20"/>
          <w:szCs w:val="22"/>
        </w:rPr>
      </w:pPr>
      <w:r w:rsidRPr="005858DE">
        <w:rPr>
          <w:b/>
          <w:bCs/>
          <w:sz w:val="20"/>
          <w:szCs w:val="22"/>
        </w:rPr>
        <w:t>FIGURE 3.3: ALLOCATION OF FUNDS AND TOTAL NPV UNDER CAPITAL RATIONING</w:t>
      </w:r>
    </w:p>
    <w:p w14:paraId="35F8E708" w14:textId="50411BC4" w:rsidR="00583FA5" w:rsidRPr="00E501C7" w:rsidRDefault="005858DE" w:rsidP="005858DE">
      <w:r w:rsidRPr="005858DE">
        <w:t>This analysis shows that under capital rationing with divisible projects, Westward should fully undertake A and B and invest the remaining funds in C.</w:t>
      </w:r>
    </w:p>
    <w:p w14:paraId="28C3DB93" w14:textId="18981D67" w:rsidR="00583FA5" w:rsidRPr="00E501C7" w:rsidRDefault="005858DE" w:rsidP="00492D49">
      <w:pPr>
        <w:pStyle w:val="Heading2"/>
      </w:pPr>
      <w:bookmarkStart w:id="22" w:name="_Toc216738293"/>
      <w:r w:rsidRPr="00E501C7">
        <w:t>3.7 FINANCING THE INVESTMENT PROGRAMME</w:t>
      </w:r>
      <w:bookmarkEnd w:id="22"/>
    </w:p>
    <w:p w14:paraId="7CCB5CAF" w14:textId="4772E98A" w:rsidR="00583FA5" w:rsidRPr="00E501C7" w:rsidRDefault="005858DE" w:rsidP="00583FA5">
      <w:r w:rsidRPr="005858DE">
        <w:t>Finally, Westward must decide how to finance the chosen investment programme. Under the capital rationing solution, total spending is £2.5 million. The main sources of finance</w:t>
      </w:r>
      <w:r>
        <w:t xml:space="preserve"> along with their advances and disadvantages are discussed in table 3.3.</w:t>
      </w:r>
    </w:p>
    <w:p w14:paraId="20AF8DF4" w14:textId="0054871D" w:rsidR="00583FA5" w:rsidRPr="005858DE" w:rsidRDefault="005858DE" w:rsidP="005858DE">
      <w:pPr>
        <w:spacing w:after="0" w:line="240" w:lineRule="auto"/>
        <w:jc w:val="center"/>
        <w:rPr>
          <w:sz w:val="20"/>
          <w:szCs w:val="22"/>
        </w:rPr>
      </w:pPr>
      <w:r w:rsidRPr="005858DE">
        <w:rPr>
          <w:b/>
          <w:bCs/>
          <w:sz w:val="20"/>
          <w:szCs w:val="22"/>
        </w:rPr>
        <w:t>TABLE 3.3: POSSIBLE SOURCES OF FINANCE FOR WESTWARD’S INVESTMENT PROGRAMME</w:t>
      </w:r>
    </w:p>
    <w:tbl>
      <w:tblPr>
        <w:tblStyle w:val="GridTable5Dark-Accent5"/>
        <w:tblW w:w="0" w:type="auto"/>
        <w:tblLook w:val="04A0" w:firstRow="1" w:lastRow="0" w:firstColumn="1" w:lastColumn="0" w:noHBand="0" w:noVBand="1"/>
      </w:tblPr>
      <w:tblGrid>
        <w:gridCol w:w="1839"/>
        <w:gridCol w:w="3283"/>
        <w:gridCol w:w="3894"/>
      </w:tblGrid>
      <w:tr w:rsidR="00583FA5" w:rsidRPr="005858DE" w14:paraId="074E8007" w14:textId="77777777" w:rsidTr="005858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E57E2B" w14:textId="77777777" w:rsidR="00583FA5" w:rsidRPr="005858DE" w:rsidRDefault="00583FA5" w:rsidP="005858DE">
            <w:pPr>
              <w:spacing w:line="240" w:lineRule="auto"/>
              <w:rPr>
                <w:b w:val="0"/>
                <w:bCs w:val="0"/>
                <w:sz w:val="20"/>
                <w:szCs w:val="22"/>
              </w:rPr>
            </w:pPr>
            <w:r w:rsidRPr="005858DE">
              <w:rPr>
                <w:sz w:val="20"/>
                <w:szCs w:val="22"/>
              </w:rPr>
              <w:t>Source of finance</w:t>
            </w:r>
          </w:p>
        </w:tc>
        <w:tc>
          <w:tcPr>
            <w:tcW w:w="0" w:type="auto"/>
            <w:hideMark/>
          </w:tcPr>
          <w:p w14:paraId="4425F7C3" w14:textId="77777777" w:rsidR="00583FA5" w:rsidRPr="005858DE" w:rsidRDefault="00583FA5" w:rsidP="005858DE">
            <w:pPr>
              <w:spacing w:line="240" w:lineRule="auto"/>
              <w:cnfStyle w:val="100000000000" w:firstRow="1" w:lastRow="0" w:firstColumn="0" w:lastColumn="0" w:oddVBand="0" w:evenVBand="0" w:oddHBand="0" w:evenHBand="0" w:firstRowFirstColumn="0" w:firstRowLastColumn="0" w:lastRowFirstColumn="0" w:lastRowLastColumn="0"/>
              <w:rPr>
                <w:b w:val="0"/>
                <w:bCs w:val="0"/>
                <w:sz w:val="20"/>
                <w:szCs w:val="22"/>
              </w:rPr>
            </w:pPr>
            <w:r w:rsidRPr="005858DE">
              <w:rPr>
                <w:sz w:val="20"/>
                <w:szCs w:val="22"/>
              </w:rPr>
              <w:t>Key advantages</w:t>
            </w:r>
          </w:p>
        </w:tc>
        <w:tc>
          <w:tcPr>
            <w:tcW w:w="0" w:type="auto"/>
            <w:hideMark/>
          </w:tcPr>
          <w:p w14:paraId="7F9EB9E5" w14:textId="77777777" w:rsidR="00583FA5" w:rsidRPr="005858DE" w:rsidRDefault="00583FA5" w:rsidP="005858DE">
            <w:pPr>
              <w:spacing w:line="240" w:lineRule="auto"/>
              <w:cnfStyle w:val="100000000000" w:firstRow="1" w:lastRow="0" w:firstColumn="0" w:lastColumn="0" w:oddVBand="0" w:evenVBand="0" w:oddHBand="0" w:evenHBand="0" w:firstRowFirstColumn="0" w:firstRowLastColumn="0" w:lastRowFirstColumn="0" w:lastRowLastColumn="0"/>
              <w:rPr>
                <w:b w:val="0"/>
                <w:bCs w:val="0"/>
                <w:sz w:val="20"/>
                <w:szCs w:val="22"/>
              </w:rPr>
            </w:pPr>
            <w:r w:rsidRPr="005858DE">
              <w:rPr>
                <w:sz w:val="20"/>
                <w:szCs w:val="22"/>
              </w:rPr>
              <w:t>Key disadvantages</w:t>
            </w:r>
          </w:p>
        </w:tc>
      </w:tr>
      <w:tr w:rsidR="00583FA5" w:rsidRPr="005858DE" w14:paraId="79D3C831" w14:textId="77777777" w:rsidTr="00585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924D81" w14:textId="77777777" w:rsidR="00583FA5" w:rsidRPr="005858DE" w:rsidRDefault="00583FA5" w:rsidP="005858DE">
            <w:pPr>
              <w:spacing w:line="240" w:lineRule="auto"/>
              <w:rPr>
                <w:sz w:val="20"/>
                <w:szCs w:val="22"/>
              </w:rPr>
            </w:pPr>
            <w:r w:rsidRPr="005858DE">
              <w:rPr>
                <w:sz w:val="20"/>
                <w:szCs w:val="22"/>
              </w:rPr>
              <w:t>Retained earnings</w:t>
            </w:r>
          </w:p>
        </w:tc>
        <w:tc>
          <w:tcPr>
            <w:tcW w:w="0" w:type="auto"/>
            <w:hideMark/>
          </w:tcPr>
          <w:p w14:paraId="2CB43A36" w14:textId="77777777" w:rsidR="00583FA5" w:rsidRPr="005858DE" w:rsidRDefault="00583FA5" w:rsidP="005858DE">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5858DE">
              <w:rPr>
                <w:sz w:val="20"/>
                <w:szCs w:val="22"/>
              </w:rPr>
              <w:t>No issue costs, no dilution, flexible</w:t>
            </w:r>
          </w:p>
        </w:tc>
        <w:tc>
          <w:tcPr>
            <w:tcW w:w="0" w:type="auto"/>
            <w:hideMark/>
          </w:tcPr>
          <w:p w14:paraId="1929F61F" w14:textId="77777777" w:rsidR="00583FA5" w:rsidRPr="005858DE" w:rsidRDefault="00583FA5" w:rsidP="005858DE">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5858DE">
              <w:rPr>
                <w:sz w:val="20"/>
                <w:szCs w:val="22"/>
              </w:rPr>
              <w:t>Limited amount, may restrict other investments</w:t>
            </w:r>
          </w:p>
        </w:tc>
      </w:tr>
      <w:tr w:rsidR="00583FA5" w:rsidRPr="005858DE" w14:paraId="297CF8DE" w14:textId="77777777" w:rsidTr="005858DE">
        <w:tc>
          <w:tcPr>
            <w:cnfStyle w:val="001000000000" w:firstRow="0" w:lastRow="0" w:firstColumn="1" w:lastColumn="0" w:oddVBand="0" w:evenVBand="0" w:oddHBand="0" w:evenHBand="0" w:firstRowFirstColumn="0" w:firstRowLastColumn="0" w:lastRowFirstColumn="0" w:lastRowLastColumn="0"/>
            <w:tcW w:w="0" w:type="auto"/>
            <w:hideMark/>
          </w:tcPr>
          <w:p w14:paraId="4CB40433" w14:textId="77777777" w:rsidR="00583FA5" w:rsidRPr="005858DE" w:rsidRDefault="00583FA5" w:rsidP="005858DE">
            <w:pPr>
              <w:spacing w:line="240" w:lineRule="auto"/>
              <w:rPr>
                <w:sz w:val="20"/>
                <w:szCs w:val="22"/>
              </w:rPr>
            </w:pPr>
            <w:r w:rsidRPr="005858DE">
              <w:rPr>
                <w:sz w:val="20"/>
                <w:szCs w:val="22"/>
              </w:rPr>
              <w:t>Bank loans / term loans</w:t>
            </w:r>
          </w:p>
        </w:tc>
        <w:tc>
          <w:tcPr>
            <w:tcW w:w="0" w:type="auto"/>
            <w:hideMark/>
          </w:tcPr>
          <w:p w14:paraId="3111F0DE" w14:textId="77777777" w:rsidR="00583FA5" w:rsidRPr="005858DE" w:rsidRDefault="00583FA5" w:rsidP="005858DE">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5858DE">
              <w:rPr>
                <w:sz w:val="20"/>
                <w:szCs w:val="22"/>
              </w:rPr>
              <w:t>Tax-deductible interest, fixed repayment schedule</w:t>
            </w:r>
          </w:p>
        </w:tc>
        <w:tc>
          <w:tcPr>
            <w:tcW w:w="0" w:type="auto"/>
            <w:hideMark/>
          </w:tcPr>
          <w:p w14:paraId="18525469" w14:textId="77777777" w:rsidR="00583FA5" w:rsidRPr="005858DE" w:rsidRDefault="00583FA5" w:rsidP="005858DE">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5858DE">
              <w:rPr>
                <w:sz w:val="20"/>
                <w:szCs w:val="22"/>
              </w:rPr>
              <w:t>Higher gearing, covenants, must be repaid even if cash is tight</w:t>
            </w:r>
          </w:p>
        </w:tc>
      </w:tr>
      <w:tr w:rsidR="00583FA5" w:rsidRPr="005858DE" w14:paraId="40B71056" w14:textId="77777777" w:rsidTr="00585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642362" w14:textId="77777777" w:rsidR="00583FA5" w:rsidRPr="005858DE" w:rsidRDefault="00583FA5" w:rsidP="005858DE">
            <w:pPr>
              <w:spacing w:line="240" w:lineRule="auto"/>
              <w:rPr>
                <w:sz w:val="20"/>
                <w:szCs w:val="22"/>
              </w:rPr>
            </w:pPr>
            <w:r w:rsidRPr="005858DE">
              <w:rPr>
                <w:sz w:val="20"/>
                <w:szCs w:val="22"/>
              </w:rPr>
              <w:t>Corporate bonds</w:t>
            </w:r>
          </w:p>
        </w:tc>
        <w:tc>
          <w:tcPr>
            <w:tcW w:w="0" w:type="auto"/>
            <w:hideMark/>
          </w:tcPr>
          <w:p w14:paraId="2EAE2C10" w14:textId="77777777" w:rsidR="00583FA5" w:rsidRPr="005858DE" w:rsidRDefault="00583FA5" w:rsidP="005858DE">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5858DE">
              <w:rPr>
                <w:sz w:val="20"/>
                <w:szCs w:val="22"/>
              </w:rPr>
              <w:t>Suitable for larger, long-term funding</w:t>
            </w:r>
          </w:p>
        </w:tc>
        <w:tc>
          <w:tcPr>
            <w:tcW w:w="0" w:type="auto"/>
            <w:hideMark/>
          </w:tcPr>
          <w:p w14:paraId="6ADD23E6" w14:textId="77777777" w:rsidR="00583FA5" w:rsidRPr="005858DE" w:rsidRDefault="00583FA5" w:rsidP="005858DE">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5858DE">
              <w:rPr>
                <w:sz w:val="20"/>
                <w:szCs w:val="22"/>
              </w:rPr>
              <w:t>Issue costs, adds to long-term obligations</w:t>
            </w:r>
          </w:p>
        </w:tc>
      </w:tr>
      <w:tr w:rsidR="00583FA5" w:rsidRPr="005858DE" w14:paraId="13284979" w14:textId="77777777" w:rsidTr="005858DE">
        <w:tc>
          <w:tcPr>
            <w:cnfStyle w:val="001000000000" w:firstRow="0" w:lastRow="0" w:firstColumn="1" w:lastColumn="0" w:oddVBand="0" w:evenVBand="0" w:oddHBand="0" w:evenHBand="0" w:firstRowFirstColumn="0" w:firstRowLastColumn="0" w:lastRowFirstColumn="0" w:lastRowLastColumn="0"/>
            <w:tcW w:w="0" w:type="auto"/>
            <w:hideMark/>
          </w:tcPr>
          <w:p w14:paraId="49FA8EBB" w14:textId="77777777" w:rsidR="00583FA5" w:rsidRPr="005858DE" w:rsidRDefault="00583FA5" w:rsidP="005858DE">
            <w:pPr>
              <w:spacing w:line="240" w:lineRule="auto"/>
              <w:rPr>
                <w:sz w:val="20"/>
                <w:szCs w:val="22"/>
              </w:rPr>
            </w:pPr>
            <w:r w:rsidRPr="005858DE">
              <w:rPr>
                <w:sz w:val="20"/>
                <w:szCs w:val="22"/>
              </w:rPr>
              <w:t>New equity</w:t>
            </w:r>
          </w:p>
        </w:tc>
        <w:tc>
          <w:tcPr>
            <w:tcW w:w="0" w:type="auto"/>
            <w:hideMark/>
          </w:tcPr>
          <w:p w14:paraId="2C426D75" w14:textId="77777777" w:rsidR="00583FA5" w:rsidRPr="005858DE" w:rsidRDefault="00583FA5" w:rsidP="005858DE">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5858DE">
              <w:rPr>
                <w:sz w:val="20"/>
                <w:szCs w:val="22"/>
              </w:rPr>
              <w:t>No compulsory interest, strengthens balance sheet</w:t>
            </w:r>
          </w:p>
        </w:tc>
        <w:tc>
          <w:tcPr>
            <w:tcW w:w="0" w:type="auto"/>
            <w:hideMark/>
          </w:tcPr>
          <w:p w14:paraId="0B6DECF6" w14:textId="77777777" w:rsidR="00583FA5" w:rsidRPr="005858DE" w:rsidRDefault="00583FA5" w:rsidP="005858DE">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5858DE">
              <w:rPr>
                <w:sz w:val="20"/>
                <w:szCs w:val="22"/>
              </w:rPr>
              <w:t>Dilutes ownership, usually higher cost than debt</w:t>
            </w:r>
          </w:p>
        </w:tc>
      </w:tr>
      <w:tr w:rsidR="00583FA5" w:rsidRPr="005858DE" w14:paraId="17E01771" w14:textId="77777777" w:rsidTr="00585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9771F7" w14:textId="77777777" w:rsidR="00583FA5" w:rsidRPr="005858DE" w:rsidRDefault="00583FA5" w:rsidP="005858DE">
            <w:pPr>
              <w:spacing w:line="240" w:lineRule="auto"/>
              <w:rPr>
                <w:sz w:val="20"/>
                <w:szCs w:val="22"/>
              </w:rPr>
            </w:pPr>
            <w:r w:rsidRPr="005858DE">
              <w:rPr>
                <w:sz w:val="20"/>
                <w:szCs w:val="22"/>
              </w:rPr>
              <w:t>Leasing / hire purchase</w:t>
            </w:r>
          </w:p>
        </w:tc>
        <w:tc>
          <w:tcPr>
            <w:tcW w:w="0" w:type="auto"/>
            <w:hideMark/>
          </w:tcPr>
          <w:p w14:paraId="4BFBBD63" w14:textId="77777777" w:rsidR="00583FA5" w:rsidRPr="005858DE" w:rsidRDefault="00583FA5" w:rsidP="005858DE">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5858DE">
              <w:rPr>
                <w:sz w:val="20"/>
                <w:szCs w:val="22"/>
              </w:rPr>
              <w:t>Spreads payments, matches asset use with payments</w:t>
            </w:r>
          </w:p>
        </w:tc>
        <w:tc>
          <w:tcPr>
            <w:tcW w:w="0" w:type="auto"/>
            <w:hideMark/>
          </w:tcPr>
          <w:p w14:paraId="139D62B3" w14:textId="77777777" w:rsidR="00583FA5" w:rsidRPr="005858DE" w:rsidRDefault="00583FA5" w:rsidP="005858DE">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5858DE">
              <w:rPr>
                <w:sz w:val="20"/>
                <w:szCs w:val="22"/>
              </w:rPr>
              <w:t>Total cost may be higher, creates fixed payment commitments</w:t>
            </w:r>
          </w:p>
        </w:tc>
      </w:tr>
    </w:tbl>
    <w:p w14:paraId="315136B2" w14:textId="6FDBF273" w:rsidR="005858DE" w:rsidRPr="00A76EE1" w:rsidRDefault="005858DE" w:rsidP="005858DE">
      <w:r>
        <w:t>Considering the advances and disadvantages, f</w:t>
      </w:r>
      <w:r w:rsidRPr="00A76EE1">
        <w:t>or Westward, a mixed approach is likely to be best. Given that the projects all have positive NPVs and the IRR for the preferred project B is well above the cost of capital, it is reasonable to use a combination of retained earnings and medium-term debt to fund the programme. This would:</w:t>
      </w:r>
    </w:p>
    <w:p w14:paraId="13AC0B55" w14:textId="77777777" w:rsidR="005858DE" w:rsidRPr="00D53E30" w:rsidRDefault="005858DE" w:rsidP="00004E06">
      <w:pPr>
        <w:numPr>
          <w:ilvl w:val="0"/>
          <w:numId w:val="1"/>
        </w:numPr>
        <w:spacing w:after="0"/>
      </w:pPr>
      <w:r w:rsidRPr="00D53E30">
        <w:t>Keep gearing at a moderate and manageable level.</w:t>
      </w:r>
    </w:p>
    <w:p w14:paraId="4A3B65FD" w14:textId="77777777" w:rsidR="005858DE" w:rsidRPr="00D53E30" w:rsidRDefault="005858DE" w:rsidP="00004E06">
      <w:pPr>
        <w:numPr>
          <w:ilvl w:val="0"/>
          <w:numId w:val="1"/>
        </w:numPr>
        <w:spacing w:after="0"/>
      </w:pPr>
      <w:r w:rsidRPr="00D53E30">
        <w:lastRenderedPageBreak/>
        <w:t>Benefit from the tax shield on interest.</w:t>
      </w:r>
    </w:p>
    <w:p w14:paraId="63C477E5" w14:textId="77777777" w:rsidR="005858DE" w:rsidRPr="00D53E30" w:rsidRDefault="005858DE" w:rsidP="00004E06">
      <w:pPr>
        <w:numPr>
          <w:ilvl w:val="0"/>
          <w:numId w:val="1"/>
        </w:numPr>
        <w:spacing w:after="0"/>
      </w:pPr>
      <w:r w:rsidRPr="00D53E30">
        <w:t>Avoid excessive dilution of existing shareholders.</w:t>
      </w:r>
    </w:p>
    <w:p w14:paraId="033875FF" w14:textId="77777777" w:rsidR="005858DE" w:rsidRPr="00A76EE1" w:rsidRDefault="005858DE" w:rsidP="005858DE">
      <w:r w:rsidRPr="00A76EE1">
        <w:t>Equity might be considered if the company already has high debt levels or if it wants to reduce financial risk significantly. Leasing could be used for equipment within Option C to reduce upfront cash needs.</w:t>
      </w:r>
    </w:p>
    <w:p w14:paraId="28135709" w14:textId="77777777" w:rsidR="005858DE" w:rsidRDefault="005858DE" w:rsidP="005858DE">
      <w:r w:rsidRPr="00A76EE1">
        <w:t>Overall, by selecting the projects with the highest NPVs, applying profitability index under capital rationing, and choosing a sensible mix of internal funds and debt finance, Westward plc can expand its operations and support long-term shareholder value in a controlled and financially sound way.</w:t>
      </w:r>
    </w:p>
    <w:p w14:paraId="1D553228" w14:textId="77777777" w:rsidR="00583FA5" w:rsidRPr="005858DE" w:rsidRDefault="00583FA5" w:rsidP="005858DE">
      <w:pPr>
        <w:pStyle w:val="Heading1"/>
      </w:pPr>
      <w:bookmarkStart w:id="23" w:name="_Toc216738294"/>
      <w:r w:rsidRPr="005858DE">
        <w:t xml:space="preserve">4. </w:t>
      </w:r>
      <w:r w:rsidRPr="005858DE">
        <w:rPr>
          <w:rStyle w:val="Heading1Char"/>
          <w:b/>
        </w:rPr>
        <w:t>CONCLUSION</w:t>
      </w:r>
      <w:bookmarkEnd w:id="23"/>
    </w:p>
    <w:p w14:paraId="6871EB4A" w14:textId="77777777" w:rsidR="00583FA5" w:rsidRDefault="00583FA5" w:rsidP="00583FA5">
      <w:r>
        <w:t>The analyses in this report show how financial information can be turned into clear, actionable guidance for managers and investors. For Amazon, ratio analysis indicates a period of very strong financial performance. Profitability has improved across all major measures, returns on capital have risen, liquidity remains lean but well supported by a negative cash conversion cycle, and gearing and interest cover suggest a conservative and resilient capital structure. At the same time, the discussion highlighted that part of the improvement reflects accounting changes and unusually favourable market conditions, so directors should test the sustainability of current returns and manage supplier and investment risks carefully.</w:t>
      </w:r>
    </w:p>
    <w:p w14:paraId="755C7003" w14:textId="77777777" w:rsidR="00583FA5" w:rsidRDefault="00583FA5" w:rsidP="00583FA5">
      <w:r>
        <w:t>For Westward plc, discounted cash flow techniques provided a structured way to compare three expansion options. All projects produced positive NPVs at a 6 percent cost of capital, with the internet sales project offering the highest value and a strong IRR. Under capital rationing, ranking projects by profitability index led to a mix that maximises total NPV within a £2.5 million budget. The review of financing options showed that a balanced combination of retained earnings and debt is likely to support growth while keeping risk at a manageable level.</w:t>
      </w:r>
    </w:p>
    <w:p w14:paraId="12D3F800" w14:textId="197A2404" w:rsidR="00A76EE1" w:rsidRDefault="008A40D4" w:rsidP="00004E06">
      <w:pPr>
        <w:pStyle w:val="Heading1"/>
        <w:numPr>
          <w:ilvl w:val="0"/>
          <w:numId w:val="4"/>
        </w:numPr>
      </w:pPr>
      <w:bookmarkStart w:id="24" w:name="_Toc216738295"/>
      <w:r>
        <w:lastRenderedPageBreak/>
        <w:t>REFERENCES</w:t>
      </w:r>
      <w:bookmarkEnd w:id="24"/>
    </w:p>
    <w:p w14:paraId="7898ED1B" w14:textId="77777777" w:rsidR="00D628C9" w:rsidRPr="008A40D4" w:rsidRDefault="00D628C9" w:rsidP="008A40D4">
      <w:r w:rsidRPr="008A40D4">
        <w:t xml:space="preserve">Amazon.com, Inc. (2021) </w:t>
      </w:r>
      <w:r w:rsidRPr="008A40D4">
        <w:rPr>
          <w:i/>
          <w:iCs/>
        </w:rPr>
        <w:t>Annual report 2021.</w:t>
      </w:r>
      <w:r w:rsidRPr="008A40D4">
        <w:t xml:space="preserve"> Available at: </w:t>
      </w:r>
      <w:hyperlink r:id="rId24" w:tgtFrame="_new" w:history="1">
        <w:r w:rsidRPr="008A40D4">
          <w:rPr>
            <w:rStyle w:val="Hyperlink"/>
          </w:rPr>
          <w:t>https://www.sec.gov/Archives/edgar/data/1018724/000101872422000005/amzn-20211231.htm</w:t>
        </w:r>
      </w:hyperlink>
      <w:r w:rsidRPr="008A40D4">
        <w:t xml:space="preserve"> (Accessed: 13 December 2025).</w:t>
      </w:r>
    </w:p>
    <w:p w14:paraId="1DCD2E87" w14:textId="77777777" w:rsidR="00D628C9" w:rsidRPr="008A40D4" w:rsidRDefault="00D628C9" w:rsidP="008A40D4">
      <w:r w:rsidRPr="008A40D4">
        <w:t xml:space="preserve">Amazon.com, Inc. (2024) </w:t>
      </w:r>
      <w:r w:rsidRPr="008A40D4">
        <w:rPr>
          <w:i/>
          <w:iCs/>
        </w:rPr>
        <w:t>Amazon 2024 annual report.</w:t>
      </w:r>
      <w:r w:rsidRPr="008A40D4">
        <w:t xml:space="preserve"> Available at: </w:t>
      </w:r>
      <w:hyperlink r:id="rId25" w:tgtFrame="_new" w:history="1">
        <w:r w:rsidRPr="008A40D4">
          <w:rPr>
            <w:rStyle w:val="Hyperlink"/>
          </w:rPr>
          <w:t>https://s2.q4cdn.com/299287126/files/doc_financials/2025/ar/Amazon-2024-Annual-Report.pdf</w:t>
        </w:r>
      </w:hyperlink>
      <w:r w:rsidRPr="008A40D4">
        <w:t xml:space="preserve"> (Accessed: 13 December 2025).</w:t>
      </w:r>
    </w:p>
    <w:p w14:paraId="637EC57C" w14:textId="77777777" w:rsidR="00D628C9" w:rsidRPr="008A40D4" w:rsidRDefault="00D628C9" w:rsidP="008A40D4">
      <w:r w:rsidRPr="008A40D4">
        <w:t xml:space="preserve">Amazon.com, Inc. (2025) </w:t>
      </w:r>
      <w:r w:rsidRPr="008A40D4">
        <w:rPr>
          <w:i/>
          <w:iCs/>
        </w:rPr>
        <w:t>Amazon.com announces fourth quarter 2024 results.</w:t>
      </w:r>
      <w:r w:rsidRPr="008A40D4">
        <w:t xml:space="preserve"> Available at: </w:t>
      </w:r>
      <w:hyperlink r:id="rId26" w:tgtFrame="_new" w:history="1">
        <w:r w:rsidRPr="008A40D4">
          <w:rPr>
            <w:rStyle w:val="Hyperlink"/>
          </w:rPr>
          <w:t>https://s2.q4cdn.com/299287126/files/doc_financials/2024/q4/AMZN-Q4-2024-Earnings-Release.pdf</w:t>
        </w:r>
      </w:hyperlink>
      <w:r w:rsidRPr="008A40D4">
        <w:t xml:space="preserve"> (Accessed: 13 December 2025).</w:t>
      </w:r>
    </w:p>
    <w:p w14:paraId="116B1B17" w14:textId="77777777" w:rsidR="00D628C9" w:rsidRPr="008A40D4" w:rsidRDefault="00D628C9" w:rsidP="008A40D4">
      <w:r w:rsidRPr="008A40D4">
        <w:t xml:space="preserve">Anabtawi, A.N. (2018) ‘The extent of using and trusting capital budgeting methods in projects appraisal in Palestinian corporations’, </w:t>
      </w:r>
      <w:r w:rsidRPr="008A40D4">
        <w:rPr>
          <w:i/>
          <w:iCs/>
        </w:rPr>
        <w:t>Modern Applied Science</w:t>
      </w:r>
      <w:r w:rsidRPr="008A40D4">
        <w:t>, 12(6), pp. 151–151.</w:t>
      </w:r>
    </w:p>
    <w:p w14:paraId="54FAEA31" w14:textId="77777777" w:rsidR="00D628C9" w:rsidRPr="008A40D4" w:rsidRDefault="00D628C9" w:rsidP="008A40D4">
      <w:r w:rsidRPr="008A40D4">
        <w:t xml:space="preserve">Atrill, P. (2019) </w:t>
      </w:r>
      <w:r w:rsidRPr="008A40D4">
        <w:rPr>
          <w:i/>
          <w:iCs/>
        </w:rPr>
        <w:t>Financial Management for Decision Makers.</w:t>
      </w:r>
      <w:r w:rsidRPr="008A40D4">
        <w:t xml:space="preserve"> 9th edn. Harlow: Pearson.</w:t>
      </w:r>
    </w:p>
    <w:p w14:paraId="38F7336A" w14:textId="77777777" w:rsidR="00D628C9" w:rsidRPr="008A40D4" w:rsidRDefault="00D628C9" w:rsidP="008A40D4">
      <w:r w:rsidRPr="008A40D4">
        <w:t xml:space="preserve">Bitter, A. (2025) ‘Read Amazon CEO’s annual letter: He predicts AI will get cheaper thanks to chip improvements’, </w:t>
      </w:r>
      <w:r w:rsidRPr="008A40D4">
        <w:rPr>
          <w:i/>
          <w:iCs/>
        </w:rPr>
        <w:t>Business Insider</w:t>
      </w:r>
      <w:r w:rsidRPr="008A40D4">
        <w:t xml:space="preserve">. Available at: </w:t>
      </w:r>
      <w:hyperlink r:id="rId27" w:tgtFrame="_new" w:history="1">
        <w:r w:rsidRPr="008A40D4">
          <w:rPr>
            <w:rStyle w:val="Hyperlink"/>
          </w:rPr>
          <w:t>https://www.businessinsider.com/amazon-ceo-annual-shareholder-letter-andy-jassy-2025-4</w:t>
        </w:r>
      </w:hyperlink>
      <w:r w:rsidRPr="008A40D4">
        <w:t xml:space="preserve"> (Accessed: 13 December 2025).</w:t>
      </w:r>
    </w:p>
    <w:p w14:paraId="7E7C4CA2" w14:textId="77777777" w:rsidR="00D628C9" w:rsidRPr="008A40D4" w:rsidRDefault="00D628C9" w:rsidP="008A40D4">
      <w:r w:rsidRPr="008A40D4">
        <w:t xml:space="preserve">Brealey, R.A., Myers, S.C. and Allen, F. (2017) </w:t>
      </w:r>
      <w:r w:rsidRPr="008A40D4">
        <w:rPr>
          <w:i/>
          <w:iCs/>
        </w:rPr>
        <w:t>Principles of Corporate Finance.</w:t>
      </w:r>
      <w:r w:rsidRPr="008A40D4">
        <w:t xml:space="preserve"> 12th edn. New York: McGraw-Hill Education.</w:t>
      </w:r>
    </w:p>
    <w:p w14:paraId="0194EEF9" w14:textId="77777777" w:rsidR="00D628C9" w:rsidRPr="008A40D4" w:rsidRDefault="00D628C9" w:rsidP="008A40D4">
      <w:r w:rsidRPr="008A40D4">
        <w:t xml:space="preserve">Buchanan, D.L. (2025) ‘Equity fund raising and the role of share performance metrics in the valuation of mineral projects’, </w:t>
      </w:r>
      <w:r w:rsidRPr="008A40D4">
        <w:rPr>
          <w:i/>
          <w:iCs/>
        </w:rPr>
        <w:t>Mineral Economics</w:t>
      </w:r>
      <w:r w:rsidRPr="008A40D4">
        <w:t>, pp. 1–10.</w:t>
      </w:r>
    </w:p>
    <w:p w14:paraId="49A06D58" w14:textId="77777777" w:rsidR="00D628C9" w:rsidRPr="008A40D4" w:rsidRDefault="00D628C9" w:rsidP="008A40D4">
      <w:r w:rsidRPr="008A40D4">
        <w:t xml:space="preserve">Chiang, T.C. (2019) ‘Financial risk, uncertainty and expected returns: Evidence from Chinese equity markets’, </w:t>
      </w:r>
      <w:r w:rsidRPr="008A40D4">
        <w:rPr>
          <w:i/>
          <w:iCs/>
        </w:rPr>
        <w:t>China Finance Review International</w:t>
      </w:r>
      <w:r w:rsidRPr="008A40D4">
        <w:t>, 9(4), pp. 425–454.</w:t>
      </w:r>
    </w:p>
    <w:p w14:paraId="2A8FAD3A" w14:textId="77777777" w:rsidR="00D628C9" w:rsidRDefault="00D628C9" w:rsidP="00D628C9">
      <w:pPr>
        <w:pStyle w:val="NormalWeb"/>
      </w:pPr>
      <w:r w:rsidRPr="00372BE1">
        <w:lastRenderedPageBreak/>
        <w:t>Deepakshi, M.</w:t>
      </w:r>
      <w:r>
        <w:t xml:space="preserve"> et al. (2025) ‘</w:t>
      </w:r>
      <w:r w:rsidRPr="00372BE1">
        <w:t>Studying the Share Price Determinants with Regard to EPS, Cash Flows, Market Capitalization, PE Ratio and ROCE for Seeing their Impact on Market Price Per Share for last 10 Years Ending March 31st ie (2015-2024)</w:t>
      </w:r>
      <w:r>
        <w:t xml:space="preserve">’, </w:t>
      </w:r>
      <w:r w:rsidRPr="00D628C9">
        <w:rPr>
          <w:i/>
          <w:iCs/>
        </w:rPr>
        <w:t>International Journal for Novel Research in Economics , Finance and Management.</w:t>
      </w:r>
      <w:r>
        <w:t xml:space="preserve"> </w:t>
      </w:r>
      <w:r w:rsidRPr="00372BE1">
        <w:t>3</w:t>
      </w:r>
      <w:r>
        <w:t xml:space="preserve"> (</w:t>
      </w:r>
      <w:r w:rsidRPr="00372BE1">
        <w:t>2</w:t>
      </w:r>
      <w:r>
        <w:t xml:space="preserve">), </w:t>
      </w:r>
      <w:r w:rsidRPr="00372BE1">
        <w:t>309-321</w:t>
      </w:r>
    </w:p>
    <w:p w14:paraId="64F54A5B" w14:textId="77777777" w:rsidR="00D628C9" w:rsidRPr="008A40D4" w:rsidRDefault="00D628C9" w:rsidP="008A40D4">
      <w:r w:rsidRPr="008A40D4">
        <w:t xml:space="preserve">Mangiero, G.A. and Kraten, M. (2017) ‘NPV sensitivity analysis: A dynamic Excel approach’, </w:t>
      </w:r>
      <w:r w:rsidRPr="008A40D4">
        <w:rPr>
          <w:i/>
          <w:iCs/>
        </w:rPr>
        <w:t>American Journal of Business Education</w:t>
      </w:r>
      <w:r w:rsidRPr="008A40D4">
        <w:t>, 10(3), pp. 113–126.</w:t>
      </w:r>
    </w:p>
    <w:p w14:paraId="31327F6B" w14:textId="77777777" w:rsidR="00D628C9" w:rsidRPr="008A40D4" w:rsidRDefault="00D628C9" w:rsidP="008A40D4">
      <w:r w:rsidRPr="008A40D4">
        <w:t xml:space="preserve">Mellichamp, D.A. (2019) ‘Profitability, risk, and investment in conceptual plant design: Optimizing key financial parameters rigorously using NPV%’, </w:t>
      </w:r>
      <w:r w:rsidRPr="008A40D4">
        <w:rPr>
          <w:i/>
          <w:iCs/>
        </w:rPr>
        <w:t>Computers &amp; Chemical Engineering</w:t>
      </w:r>
      <w:r w:rsidRPr="008A40D4">
        <w:t>, 128, pp. 450–467.</w:t>
      </w:r>
    </w:p>
    <w:p w14:paraId="794EF719" w14:textId="77777777" w:rsidR="00D628C9" w:rsidRPr="00E501C7" w:rsidRDefault="00D628C9" w:rsidP="00D628C9">
      <w:pPr>
        <w:pStyle w:val="NormalWeb"/>
      </w:pPr>
      <w:r w:rsidRPr="00372BE1">
        <w:t>Singh, R. P., Singh, R., &amp; Mishra, P. (2021)</w:t>
      </w:r>
      <w:r>
        <w:t xml:space="preserve"> ‘</w:t>
      </w:r>
      <w:r w:rsidRPr="00372BE1">
        <w:t>Does managing customer accounts receivable impact customer relationships, and sales performance? An empirical investigation</w:t>
      </w:r>
      <w:r>
        <w:t>’,</w:t>
      </w:r>
      <w:r w:rsidRPr="00372BE1">
        <w:t xml:space="preserve"> </w:t>
      </w:r>
      <w:r w:rsidRPr="00D628C9">
        <w:rPr>
          <w:i/>
          <w:iCs/>
        </w:rPr>
        <w:t>Journal of Retailing and Consumer Services</w:t>
      </w:r>
      <w:r w:rsidRPr="00372BE1">
        <w:t>, 60, 102460.</w:t>
      </w:r>
    </w:p>
    <w:p w14:paraId="656A6201" w14:textId="77777777" w:rsidR="00D628C9" w:rsidRDefault="00D628C9" w:rsidP="005858DE">
      <w:r w:rsidRPr="008A40D4">
        <w:t xml:space="preserve">Vujnović, M., Gebrail, G., Bogdanovic, B. and Garay-Martinez, R. (2022) ‘District energy: Investment project appraisal’, in </w:t>
      </w:r>
      <w:r w:rsidRPr="008A40D4">
        <w:rPr>
          <w:i/>
          <w:iCs/>
        </w:rPr>
        <w:t>Handbook of Low Temperature District Heating</w:t>
      </w:r>
      <w:r w:rsidRPr="008A40D4">
        <w:t>. Cham: Springer International Publishing, pp. 195–215.</w:t>
      </w:r>
    </w:p>
    <w:p w14:paraId="06FE4D52" w14:textId="77777777" w:rsidR="005858DE" w:rsidRDefault="005858DE">
      <w:pPr>
        <w:spacing w:line="259" w:lineRule="auto"/>
        <w:jc w:val="left"/>
      </w:pPr>
      <w:r>
        <w:br w:type="page"/>
      </w:r>
    </w:p>
    <w:p w14:paraId="1A7010B4" w14:textId="07E28B72" w:rsidR="00955DFF" w:rsidRPr="00955DFF" w:rsidRDefault="00955DFF" w:rsidP="00955DFF">
      <w:pPr>
        <w:pStyle w:val="Heading1"/>
        <w:jc w:val="center"/>
      </w:pPr>
      <w:bookmarkStart w:id="25" w:name="_Toc216738296"/>
      <w:r w:rsidRPr="00BB00C7">
        <w:lastRenderedPageBreak/>
        <w:t>APPENDICES</w:t>
      </w:r>
      <w:bookmarkEnd w:id="25"/>
    </w:p>
    <w:p w14:paraId="72C7B9EA" w14:textId="1DD6FB97" w:rsidR="00955DFF" w:rsidRDefault="00955DFF" w:rsidP="00492D49">
      <w:pPr>
        <w:pStyle w:val="Heading2"/>
      </w:pPr>
      <w:bookmarkStart w:id="26" w:name="_Toc216738297"/>
      <w:r>
        <w:t xml:space="preserve">APPENDIX A : </w:t>
      </w:r>
      <w:r w:rsidRPr="00955DFF">
        <w:t>AMAZON FINANCIAL STATEMENTS</w:t>
      </w:r>
      <w:bookmarkEnd w:id="26"/>
    </w:p>
    <w:p w14:paraId="75FA7964" w14:textId="3277913A" w:rsidR="00955DFF" w:rsidRPr="00B93809" w:rsidRDefault="00955DFF" w:rsidP="005858DE">
      <w:r w:rsidRPr="00955DFF">
        <w:rPr>
          <w:noProof/>
          <w:lang w:eastAsia="en-GB" w:bidi="ar-SA"/>
        </w:rPr>
        <w:drawing>
          <wp:inline distT="0" distB="0" distL="0" distR="0" wp14:anchorId="300B318B" wp14:editId="3878624F">
            <wp:extent cx="5075360" cy="5692633"/>
            <wp:effectExtent l="0" t="0" r="0" b="3810"/>
            <wp:docPr id="673011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011275" name=""/>
                    <pic:cNvPicPr/>
                  </pic:nvPicPr>
                  <pic:blipFill>
                    <a:blip r:embed="rId28"/>
                    <a:stretch>
                      <a:fillRect/>
                    </a:stretch>
                  </pic:blipFill>
                  <pic:spPr>
                    <a:xfrm>
                      <a:off x="0" y="0"/>
                      <a:ext cx="5075360" cy="5692633"/>
                    </a:xfrm>
                    <a:prstGeom prst="rect">
                      <a:avLst/>
                    </a:prstGeom>
                  </pic:spPr>
                </pic:pic>
              </a:graphicData>
            </a:graphic>
          </wp:inline>
        </w:drawing>
      </w:r>
    </w:p>
    <w:p w14:paraId="2BD45BBA" w14:textId="13FDDD24" w:rsidR="00CE7127" w:rsidRDefault="00955DFF" w:rsidP="00CE7127">
      <w:r w:rsidRPr="00955DFF">
        <w:rPr>
          <w:noProof/>
          <w:lang w:eastAsia="en-GB" w:bidi="ar-SA"/>
        </w:rPr>
        <w:lastRenderedPageBreak/>
        <w:drawing>
          <wp:inline distT="0" distB="0" distL="0" distR="0" wp14:anchorId="0D19677A" wp14:editId="559512F2">
            <wp:extent cx="5731510" cy="4979670"/>
            <wp:effectExtent l="0" t="0" r="2540" b="0"/>
            <wp:docPr id="1318922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922997" name=""/>
                    <pic:cNvPicPr/>
                  </pic:nvPicPr>
                  <pic:blipFill>
                    <a:blip r:embed="rId29"/>
                    <a:stretch>
                      <a:fillRect/>
                    </a:stretch>
                  </pic:blipFill>
                  <pic:spPr>
                    <a:xfrm>
                      <a:off x="0" y="0"/>
                      <a:ext cx="5731510" cy="4979670"/>
                    </a:xfrm>
                    <a:prstGeom prst="rect">
                      <a:avLst/>
                    </a:prstGeom>
                  </pic:spPr>
                </pic:pic>
              </a:graphicData>
            </a:graphic>
          </wp:inline>
        </w:drawing>
      </w:r>
    </w:p>
    <w:p w14:paraId="590A7791" w14:textId="0199C900" w:rsidR="00955DFF" w:rsidRDefault="00955DFF">
      <w:pPr>
        <w:spacing w:line="259" w:lineRule="auto"/>
        <w:jc w:val="left"/>
      </w:pPr>
      <w:r>
        <w:br w:type="page"/>
      </w:r>
    </w:p>
    <w:p w14:paraId="19CFF804" w14:textId="48604715" w:rsidR="00492D49" w:rsidRPr="00492D49" w:rsidRDefault="00492D49" w:rsidP="00492D49">
      <w:pPr>
        <w:pStyle w:val="Heading2"/>
      </w:pPr>
      <w:bookmarkStart w:id="27" w:name="_Toc216738298"/>
      <w:r w:rsidRPr="00492D49">
        <w:lastRenderedPageBreak/>
        <w:t>APPENDIX B</w:t>
      </w:r>
      <w:r>
        <w:t xml:space="preserve">: </w:t>
      </w:r>
      <w:r w:rsidRPr="00492D49">
        <w:t>AMAZON RATIO CALCULATIONS</w:t>
      </w:r>
      <w:bookmarkEnd w:id="27"/>
    </w:p>
    <w:tbl>
      <w:tblPr>
        <w:tblStyle w:val="GridTable5Dark-Accent5"/>
        <w:tblW w:w="0" w:type="auto"/>
        <w:tblLook w:val="04A0" w:firstRow="1" w:lastRow="0" w:firstColumn="1" w:lastColumn="0" w:noHBand="0" w:noVBand="1"/>
      </w:tblPr>
      <w:tblGrid>
        <w:gridCol w:w="2294"/>
        <w:gridCol w:w="2514"/>
        <w:gridCol w:w="2104"/>
        <w:gridCol w:w="2104"/>
      </w:tblGrid>
      <w:tr w:rsidR="00492D49" w:rsidRPr="00492D49" w14:paraId="24E731FB" w14:textId="77777777" w:rsidTr="00492D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7C03B3" w14:textId="77777777" w:rsidR="00492D49" w:rsidRPr="00492D49" w:rsidRDefault="00492D49" w:rsidP="00492D49">
            <w:pPr>
              <w:spacing w:after="160" w:line="240" w:lineRule="auto"/>
              <w:rPr>
                <w:rFonts w:cs="Times New Roman"/>
                <w:sz w:val="20"/>
                <w:szCs w:val="20"/>
              </w:rPr>
            </w:pPr>
            <w:r w:rsidRPr="00492D49">
              <w:rPr>
                <w:rFonts w:cs="Times New Roman"/>
                <w:sz w:val="20"/>
                <w:szCs w:val="20"/>
              </w:rPr>
              <w:t>Ratio</w:t>
            </w:r>
          </w:p>
        </w:tc>
        <w:tc>
          <w:tcPr>
            <w:tcW w:w="0" w:type="auto"/>
            <w:hideMark/>
          </w:tcPr>
          <w:p w14:paraId="65A6C4FD" w14:textId="77777777" w:rsidR="00492D49" w:rsidRPr="00492D49" w:rsidRDefault="00492D49" w:rsidP="00492D49">
            <w:pPr>
              <w:spacing w:after="160" w:line="240" w:lineRule="auto"/>
              <w:cnfStyle w:val="100000000000" w:firstRow="1"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Formula</w:t>
            </w:r>
          </w:p>
        </w:tc>
        <w:tc>
          <w:tcPr>
            <w:tcW w:w="0" w:type="auto"/>
            <w:hideMark/>
          </w:tcPr>
          <w:p w14:paraId="49E00B61" w14:textId="086A2459" w:rsidR="00492D49" w:rsidRPr="00492D49" w:rsidRDefault="00492D49" w:rsidP="00492D49">
            <w:pPr>
              <w:spacing w:after="160" w:line="240" w:lineRule="auto"/>
              <w:cnfStyle w:val="100000000000" w:firstRow="1"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2023 Result</w:t>
            </w:r>
          </w:p>
        </w:tc>
        <w:tc>
          <w:tcPr>
            <w:tcW w:w="0" w:type="auto"/>
            <w:hideMark/>
          </w:tcPr>
          <w:p w14:paraId="3321708A" w14:textId="68A7FE5B" w:rsidR="00492D49" w:rsidRPr="00492D49" w:rsidRDefault="00492D49" w:rsidP="00492D49">
            <w:pPr>
              <w:spacing w:after="160" w:line="240" w:lineRule="auto"/>
              <w:cnfStyle w:val="100000000000" w:firstRow="1"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2024 Result</w:t>
            </w:r>
          </w:p>
        </w:tc>
      </w:tr>
      <w:tr w:rsidR="00492D49" w:rsidRPr="00492D49" w14:paraId="78CEBA15" w14:textId="77777777" w:rsidTr="00492D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752779" w14:textId="77777777" w:rsidR="00492D49" w:rsidRPr="00492D49" w:rsidRDefault="00492D49" w:rsidP="00492D49">
            <w:pPr>
              <w:spacing w:after="160" w:line="240" w:lineRule="auto"/>
              <w:rPr>
                <w:rFonts w:cs="Times New Roman"/>
                <w:sz w:val="20"/>
                <w:szCs w:val="20"/>
              </w:rPr>
            </w:pPr>
            <w:r w:rsidRPr="00492D49">
              <w:rPr>
                <w:rFonts w:cs="Times New Roman"/>
                <w:sz w:val="20"/>
                <w:szCs w:val="20"/>
              </w:rPr>
              <w:t>Gross profit margin</w:t>
            </w:r>
          </w:p>
        </w:tc>
        <w:tc>
          <w:tcPr>
            <w:tcW w:w="0" w:type="auto"/>
            <w:hideMark/>
          </w:tcPr>
          <w:p w14:paraId="2D783D20"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Gross profit ÷ Net sales × 100</w:t>
            </w:r>
          </w:p>
        </w:tc>
        <w:tc>
          <w:tcPr>
            <w:tcW w:w="0" w:type="auto"/>
            <w:hideMark/>
          </w:tcPr>
          <w:p w14:paraId="78CDCB3D"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270,046 ÷ 574,785 × 100 = 46.98%</w:t>
            </w:r>
          </w:p>
        </w:tc>
        <w:tc>
          <w:tcPr>
            <w:tcW w:w="0" w:type="auto"/>
            <w:hideMark/>
          </w:tcPr>
          <w:p w14:paraId="09FAE278"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311,671 ÷ 637,959 × 100 = 48.85%</w:t>
            </w:r>
          </w:p>
        </w:tc>
      </w:tr>
      <w:tr w:rsidR="00492D49" w:rsidRPr="00492D49" w14:paraId="4365ADC9" w14:textId="77777777" w:rsidTr="00492D49">
        <w:tc>
          <w:tcPr>
            <w:cnfStyle w:val="001000000000" w:firstRow="0" w:lastRow="0" w:firstColumn="1" w:lastColumn="0" w:oddVBand="0" w:evenVBand="0" w:oddHBand="0" w:evenHBand="0" w:firstRowFirstColumn="0" w:firstRowLastColumn="0" w:lastRowFirstColumn="0" w:lastRowLastColumn="0"/>
            <w:tcW w:w="0" w:type="auto"/>
            <w:hideMark/>
          </w:tcPr>
          <w:p w14:paraId="2DC5A314" w14:textId="77777777" w:rsidR="00492D49" w:rsidRPr="00492D49" w:rsidRDefault="00492D49" w:rsidP="00492D49">
            <w:pPr>
              <w:spacing w:after="160" w:line="240" w:lineRule="auto"/>
              <w:rPr>
                <w:rFonts w:cs="Times New Roman"/>
                <w:sz w:val="20"/>
                <w:szCs w:val="20"/>
              </w:rPr>
            </w:pPr>
            <w:r w:rsidRPr="00492D49">
              <w:rPr>
                <w:rFonts w:cs="Times New Roman"/>
                <w:sz w:val="20"/>
                <w:szCs w:val="20"/>
              </w:rPr>
              <w:t>Operating margin</w:t>
            </w:r>
          </w:p>
        </w:tc>
        <w:tc>
          <w:tcPr>
            <w:tcW w:w="0" w:type="auto"/>
            <w:hideMark/>
          </w:tcPr>
          <w:p w14:paraId="120DFC07"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Operating income ÷ Net sales × 100</w:t>
            </w:r>
          </w:p>
        </w:tc>
        <w:tc>
          <w:tcPr>
            <w:tcW w:w="0" w:type="auto"/>
            <w:hideMark/>
          </w:tcPr>
          <w:p w14:paraId="3D8A5024"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36,852 ÷ 574,785 × 100 = 6.41%</w:t>
            </w:r>
          </w:p>
        </w:tc>
        <w:tc>
          <w:tcPr>
            <w:tcW w:w="0" w:type="auto"/>
            <w:hideMark/>
          </w:tcPr>
          <w:p w14:paraId="7E31465F"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68,593 ÷ 637,959 × 100 = 10.75%</w:t>
            </w:r>
          </w:p>
        </w:tc>
      </w:tr>
      <w:tr w:rsidR="00492D49" w:rsidRPr="00492D49" w14:paraId="039C1B97" w14:textId="77777777" w:rsidTr="00492D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C8DADA" w14:textId="77777777" w:rsidR="00492D49" w:rsidRPr="00492D49" w:rsidRDefault="00492D49" w:rsidP="00492D49">
            <w:pPr>
              <w:spacing w:after="160" w:line="240" w:lineRule="auto"/>
              <w:rPr>
                <w:rFonts w:cs="Times New Roman"/>
                <w:sz w:val="20"/>
                <w:szCs w:val="20"/>
              </w:rPr>
            </w:pPr>
            <w:r w:rsidRPr="00492D49">
              <w:rPr>
                <w:rFonts w:cs="Times New Roman"/>
                <w:sz w:val="20"/>
                <w:szCs w:val="20"/>
              </w:rPr>
              <w:t>Net profit margin</w:t>
            </w:r>
          </w:p>
        </w:tc>
        <w:tc>
          <w:tcPr>
            <w:tcW w:w="0" w:type="auto"/>
            <w:hideMark/>
          </w:tcPr>
          <w:p w14:paraId="6A80A713"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Net income ÷ Net sales × 100</w:t>
            </w:r>
          </w:p>
        </w:tc>
        <w:tc>
          <w:tcPr>
            <w:tcW w:w="0" w:type="auto"/>
            <w:hideMark/>
          </w:tcPr>
          <w:p w14:paraId="6496617C"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30,425 ÷ 574,785 × 100 = 5.29%</w:t>
            </w:r>
          </w:p>
        </w:tc>
        <w:tc>
          <w:tcPr>
            <w:tcW w:w="0" w:type="auto"/>
            <w:hideMark/>
          </w:tcPr>
          <w:p w14:paraId="7826CD3A"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59,248 ÷ 637,959 × 100 = 9.29%</w:t>
            </w:r>
          </w:p>
        </w:tc>
      </w:tr>
      <w:tr w:rsidR="00492D49" w:rsidRPr="00492D49" w14:paraId="7DE6FD75" w14:textId="77777777" w:rsidTr="00492D49">
        <w:tc>
          <w:tcPr>
            <w:cnfStyle w:val="001000000000" w:firstRow="0" w:lastRow="0" w:firstColumn="1" w:lastColumn="0" w:oddVBand="0" w:evenVBand="0" w:oddHBand="0" w:evenHBand="0" w:firstRowFirstColumn="0" w:firstRowLastColumn="0" w:lastRowFirstColumn="0" w:lastRowLastColumn="0"/>
            <w:tcW w:w="0" w:type="auto"/>
            <w:hideMark/>
          </w:tcPr>
          <w:p w14:paraId="16DB2A87" w14:textId="77777777" w:rsidR="00492D49" w:rsidRPr="00492D49" w:rsidRDefault="00492D49" w:rsidP="00492D49">
            <w:pPr>
              <w:spacing w:after="160" w:line="240" w:lineRule="auto"/>
              <w:rPr>
                <w:rFonts w:cs="Times New Roman"/>
                <w:sz w:val="20"/>
                <w:szCs w:val="20"/>
              </w:rPr>
            </w:pPr>
            <w:r w:rsidRPr="00492D49">
              <w:rPr>
                <w:rFonts w:cs="Times New Roman"/>
                <w:sz w:val="20"/>
                <w:szCs w:val="20"/>
              </w:rPr>
              <w:t>Return on capital employed (ROCE)</w:t>
            </w:r>
          </w:p>
        </w:tc>
        <w:tc>
          <w:tcPr>
            <w:tcW w:w="0" w:type="auto"/>
            <w:hideMark/>
          </w:tcPr>
          <w:p w14:paraId="70FB3922"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Operating income ÷ Capital employed × 100</w:t>
            </w:r>
          </w:p>
        </w:tc>
        <w:tc>
          <w:tcPr>
            <w:tcW w:w="0" w:type="auto"/>
            <w:hideMark/>
          </w:tcPr>
          <w:p w14:paraId="70CBC11D"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36,852 ÷ 362,937 × 100 = 10.15%</w:t>
            </w:r>
          </w:p>
        </w:tc>
        <w:tc>
          <w:tcPr>
            <w:tcW w:w="0" w:type="auto"/>
            <w:hideMark/>
          </w:tcPr>
          <w:p w14:paraId="53BC67CD"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68,593 ÷ 445,463 × 100 = 15.40%</w:t>
            </w:r>
          </w:p>
        </w:tc>
      </w:tr>
      <w:tr w:rsidR="00492D49" w:rsidRPr="00492D49" w14:paraId="1B67BDE2" w14:textId="77777777" w:rsidTr="00492D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96777A" w14:textId="77777777" w:rsidR="00492D49" w:rsidRPr="00492D49" w:rsidRDefault="00492D49" w:rsidP="00492D49">
            <w:pPr>
              <w:spacing w:after="160" w:line="240" w:lineRule="auto"/>
              <w:rPr>
                <w:rFonts w:cs="Times New Roman"/>
                <w:sz w:val="20"/>
                <w:szCs w:val="20"/>
              </w:rPr>
            </w:pPr>
            <w:r w:rsidRPr="00492D49">
              <w:rPr>
                <w:rFonts w:cs="Times New Roman"/>
                <w:sz w:val="20"/>
                <w:szCs w:val="20"/>
              </w:rPr>
              <w:t>Current ratio</w:t>
            </w:r>
          </w:p>
        </w:tc>
        <w:tc>
          <w:tcPr>
            <w:tcW w:w="0" w:type="auto"/>
            <w:hideMark/>
          </w:tcPr>
          <w:p w14:paraId="24725478"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Current assets ÷ Current liabilities</w:t>
            </w:r>
          </w:p>
        </w:tc>
        <w:tc>
          <w:tcPr>
            <w:tcW w:w="0" w:type="auto"/>
            <w:hideMark/>
          </w:tcPr>
          <w:p w14:paraId="511F4E91"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172,351 ÷ 164,917 = 1.05</w:t>
            </w:r>
          </w:p>
        </w:tc>
        <w:tc>
          <w:tcPr>
            <w:tcW w:w="0" w:type="auto"/>
            <w:hideMark/>
          </w:tcPr>
          <w:p w14:paraId="3915FBC0"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190,867 ÷ 179,431 = 1.06</w:t>
            </w:r>
          </w:p>
        </w:tc>
      </w:tr>
      <w:tr w:rsidR="00492D49" w:rsidRPr="00492D49" w14:paraId="0547A699" w14:textId="77777777" w:rsidTr="00492D49">
        <w:tc>
          <w:tcPr>
            <w:cnfStyle w:val="001000000000" w:firstRow="0" w:lastRow="0" w:firstColumn="1" w:lastColumn="0" w:oddVBand="0" w:evenVBand="0" w:oddHBand="0" w:evenHBand="0" w:firstRowFirstColumn="0" w:firstRowLastColumn="0" w:lastRowFirstColumn="0" w:lastRowLastColumn="0"/>
            <w:tcW w:w="0" w:type="auto"/>
            <w:hideMark/>
          </w:tcPr>
          <w:p w14:paraId="75EC455D" w14:textId="77777777" w:rsidR="00492D49" w:rsidRPr="00492D49" w:rsidRDefault="00492D49" w:rsidP="00492D49">
            <w:pPr>
              <w:spacing w:after="160" w:line="240" w:lineRule="auto"/>
              <w:rPr>
                <w:rFonts w:cs="Times New Roman"/>
                <w:sz w:val="20"/>
                <w:szCs w:val="20"/>
              </w:rPr>
            </w:pPr>
            <w:r w:rsidRPr="00492D49">
              <w:rPr>
                <w:rFonts w:cs="Times New Roman"/>
                <w:sz w:val="20"/>
                <w:szCs w:val="20"/>
              </w:rPr>
              <w:t>Quick ratio (acid test)</w:t>
            </w:r>
          </w:p>
        </w:tc>
        <w:tc>
          <w:tcPr>
            <w:tcW w:w="0" w:type="auto"/>
            <w:hideMark/>
          </w:tcPr>
          <w:p w14:paraId="042DFED2"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Quick assets ÷ Current liabilities</w:t>
            </w:r>
          </w:p>
        </w:tc>
        <w:tc>
          <w:tcPr>
            <w:tcW w:w="0" w:type="auto"/>
            <w:hideMark/>
          </w:tcPr>
          <w:p w14:paraId="73955F7B"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139,033 ÷ 164,917 = 0.84</w:t>
            </w:r>
          </w:p>
        </w:tc>
        <w:tc>
          <w:tcPr>
            <w:tcW w:w="0" w:type="auto"/>
            <w:hideMark/>
          </w:tcPr>
          <w:p w14:paraId="447CDD6E"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156,653 ÷ 179,431 = 0.87</w:t>
            </w:r>
          </w:p>
        </w:tc>
      </w:tr>
      <w:tr w:rsidR="00492D49" w:rsidRPr="00492D49" w14:paraId="3F29B30F" w14:textId="77777777" w:rsidTr="00492D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CEE2B2" w14:textId="77777777" w:rsidR="00492D49" w:rsidRPr="00492D49" w:rsidRDefault="00492D49" w:rsidP="00492D49">
            <w:pPr>
              <w:spacing w:after="160" w:line="240" w:lineRule="auto"/>
              <w:rPr>
                <w:rFonts w:cs="Times New Roman"/>
                <w:sz w:val="20"/>
                <w:szCs w:val="20"/>
              </w:rPr>
            </w:pPr>
            <w:r w:rsidRPr="00492D49">
              <w:rPr>
                <w:rFonts w:cs="Times New Roman"/>
                <w:sz w:val="20"/>
                <w:szCs w:val="20"/>
              </w:rPr>
              <w:t>Inventory days</w:t>
            </w:r>
          </w:p>
        </w:tc>
        <w:tc>
          <w:tcPr>
            <w:tcW w:w="0" w:type="auto"/>
            <w:hideMark/>
          </w:tcPr>
          <w:p w14:paraId="23DB9976"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Inventories ÷ Cost of sales × 365</w:t>
            </w:r>
          </w:p>
        </w:tc>
        <w:tc>
          <w:tcPr>
            <w:tcW w:w="0" w:type="auto"/>
            <w:hideMark/>
          </w:tcPr>
          <w:p w14:paraId="3A9B12B1"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33,318 ÷ 304,739 × 365 = 39.91 days</w:t>
            </w:r>
          </w:p>
        </w:tc>
        <w:tc>
          <w:tcPr>
            <w:tcW w:w="0" w:type="auto"/>
            <w:hideMark/>
          </w:tcPr>
          <w:p w14:paraId="6A28ED6F"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34,214 ÷ 326,288 × 365 = 38.27 days</w:t>
            </w:r>
          </w:p>
        </w:tc>
      </w:tr>
      <w:tr w:rsidR="00492D49" w:rsidRPr="00492D49" w14:paraId="44542C8F" w14:textId="77777777" w:rsidTr="00492D49">
        <w:tc>
          <w:tcPr>
            <w:cnfStyle w:val="001000000000" w:firstRow="0" w:lastRow="0" w:firstColumn="1" w:lastColumn="0" w:oddVBand="0" w:evenVBand="0" w:oddHBand="0" w:evenHBand="0" w:firstRowFirstColumn="0" w:firstRowLastColumn="0" w:lastRowFirstColumn="0" w:lastRowLastColumn="0"/>
            <w:tcW w:w="0" w:type="auto"/>
            <w:hideMark/>
          </w:tcPr>
          <w:p w14:paraId="3DC72A54" w14:textId="77777777" w:rsidR="00492D49" w:rsidRPr="00492D49" w:rsidRDefault="00492D49" w:rsidP="00492D49">
            <w:pPr>
              <w:spacing w:after="160" w:line="240" w:lineRule="auto"/>
              <w:rPr>
                <w:rFonts w:cs="Times New Roman"/>
                <w:sz w:val="20"/>
                <w:szCs w:val="20"/>
              </w:rPr>
            </w:pPr>
            <w:r w:rsidRPr="00492D49">
              <w:rPr>
                <w:rFonts w:cs="Times New Roman"/>
                <w:sz w:val="20"/>
                <w:szCs w:val="20"/>
              </w:rPr>
              <w:t>Receivables days</w:t>
            </w:r>
          </w:p>
        </w:tc>
        <w:tc>
          <w:tcPr>
            <w:tcW w:w="0" w:type="auto"/>
            <w:hideMark/>
          </w:tcPr>
          <w:p w14:paraId="1CAFB73A"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Receivables ÷ Net sales × 365</w:t>
            </w:r>
          </w:p>
        </w:tc>
        <w:tc>
          <w:tcPr>
            <w:tcW w:w="0" w:type="auto"/>
            <w:hideMark/>
          </w:tcPr>
          <w:p w14:paraId="1C14F654"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52,253 ÷ 574,785 × 365 = 33.18 days</w:t>
            </w:r>
          </w:p>
        </w:tc>
        <w:tc>
          <w:tcPr>
            <w:tcW w:w="0" w:type="auto"/>
            <w:hideMark/>
          </w:tcPr>
          <w:p w14:paraId="6B3AA837"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55,451 ÷ 637,959 × 365 = 31.73 days</w:t>
            </w:r>
          </w:p>
        </w:tc>
      </w:tr>
      <w:tr w:rsidR="00492D49" w:rsidRPr="00492D49" w14:paraId="73E0E7E1" w14:textId="77777777" w:rsidTr="00492D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3E370C" w14:textId="77777777" w:rsidR="00492D49" w:rsidRPr="00492D49" w:rsidRDefault="00492D49" w:rsidP="00492D49">
            <w:pPr>
              <w:spacing w:after="160" w:line="240" w:lineRule="auto"/>
              <w:rPr>
                <w:rFonts w:cs="Times New Roman"/>
                <w:sz w:val="20"/>
                <w:szCs w:val="20"/>
              </w:rPr>
            </w:pPr>
            <w:r w:rsidRPr="00492D49">
              <w:rPr>
                <w:rFonts w:cs="Times New Roman"/>
                <w:sz w:val="20"/>
                <w:szCs w:val="20"/>
              </w:rPr>
              <w:t>Payables days</w:t>
            </w:r>
          </w:p>
        </w:tc>
        <w:tc>
          <w:tcPr>
            <w:tcW w:w="0" w:type="auto"/>
            <w:hideMark/>
          </w:tcPr>
          <w:p w14:paraId="29D2C40B"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Payables ÷ Cost of sales × 365</w:t>
            </w:r>
          </w:p>
        </w:tc>
        <w:tc>
          <w:tcPr>
            <w:tcW w:w="0" w:type="auto"/>
            <w:hideMark/>
          </w:tcPr>
          <w:p w14:paraId="15B79711"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84,981 ÷ 304,739 × 365 = 101.79 days</w:t>
            </w:r>
          </w:p>
        </w:tc>
        <w:tc>
          <w:tcPr>
            <w:tcW w:w="0" w:type="auto"/>
            <w:hideMark/>
          </w:tcPr>
          <w:p w14:paraId="3F2B1C13"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94,363 ÷ 326,288 × 365 = 105.56 days</w:t>
            </w:r>
          </w:p>
        </w:tc>
      </w:tr>
      <w:tr w:rsidR="00492D49" w:rsidRPr="00492D49" w14:paraId="6BFD957D" w14:textId="77777777" w:rsidTr="00492D49">
        <w:tc>
          <w:tcPr>
            <w:cnfStyle w:val="001000000000" w:firstRow="0" w:lastRow="0" w:firstColumn="1" w:lastColumn="0" w:oddVBand="0" w:evenVBand="0" w:oddHBand="0" w:evenHBand="0" w:firstRowFirstColumn="0" w:firstRowLastColumn="0" w:lastRowFirstColumn="0" w:lastRowLastColumn="0"/>
            <w:tcW w:w="0" w:type="auto"/>
            <w:hideMark/>
          </w:tcPr>
          <w:p w14:paraId="162CA0EC" w14:textId="77777777" w:rsidR="00492D49" w:rsidRPr="00492D49" w:rsidRDefault="00492D49" w:rsidP="00492D49">
            <w:pPr>
              <w:spacing w:after="160" w:line="240" w:lineRule="auto"/>
              <w:rPr>
                <w:rFonts w:cs="Times New Roman"/>
                <w:sz w:val="20"/>
                <w:szCs w:val="20"/>
              </w:rPr>
            </w:pPr>
            <w:r w:rsidRPr="00492D49">
              <w:rPr>
                <w:rFonts w:cs="Times New Roman"/>
                <w:sz w:val="20"/>
                <w:szCs w:val="20"/>
              </w:rPr>
              <w:t>Debt-to-equity ratio</w:t>
            </w:r>
          </w:p>
        </w:tc>
        <w:tc>
          <w:tcPr>
            <w:tcW w:w="0" w:type="auto"/>
            <w:hideMark/>
          </w:tcPr>
          <w:p w14:paraId="49262CB7"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Long-term debt ÷ Total equity</w:t>
            </w:r>
          </w:p>
        </w:tc>
        <w:tc>
          <w:tcPr>
            <w:tcW w:w="0" w:type="auto"/>
            <w:hideMark/>
          </w:tcPr>
          <w:p w14:paraId="588E3E0C"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58,314 ÷ 201,875 = 0.29</w:t>
            </w:r>
          </w:p>
        </w:tc>
        <w:tc>
          <w:tcPr>
            <w:tcW w:w="0" w:type="auto"/>
            <w:hideMark/>
          </w:tcPr>
          <w:p w14:paraId="63EF3CD5"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52,623 ÷ 285,970 = 0.18</w:t>
            </w:r>
          </w:p>
        </w:tc>
      </w:tr>
      <w:tr w:rsidR="00492D49" w:rsidRPr="00492D49" w14:paraId="0A28259D" w14:textId="77777777" w:rsidTr="00492D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5CBBA4" w14:textId="77777777" w:rsidR="00492D49" w:rsidRPr="00492D49" w:rsidRDefault="00492D49" w:rsidP="00492D49">
            <w:pPr>
              <w:spacing w:after="160" w:line="240" w:lineRule="auto"/>
              <w:rPr>
                <w:rFonts w:cs="Times New Roman"/>
                <w:sz w:val="20"/>
                <w:szCs w:val="20"/>
              </w:rPr>
            </w:pPr>
            <w:r w:rsidRPr="00492D49">
              <w:rPr>
                <w:rFonts w:cs="Times New Roman"/>
                <w:sz w:val="20"/>
                <w:szCs w:val="20"/>
              </w:rPr>
              <w:t>Interest coverage ratio</w:t>
            </w:r>
          </w:p>
        </w:tc>
        <w:tc>
          <w:tcPr>
            <w:tcW w:w="0" w:type="auto"/>
            <w:hideMark/>
          </w:tcPr>
          <w:p w14:paraId="52977DAF"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Operating income ÷ Interest expense</w:t>
            </w:r>
          </w:p>
        </w:tc>
        <w:tc>
          <w:tcPr>
            <w:tcW w:w="0" w:type="auto"/>
            <w:hideMark/>
          </w:tcPr>
          <w:p w14:paraId="18BD8D33"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36,852 ÷ 3,182 = 11.58</w:t>
            </w:r>
          </w:p>
        </w:tc>
        <w:tc>
          <w:tcPr>
            <w:tcW w:w="0" w:type="auto"/>
            <w:hideMark/>
          </w:tcPr>
          <w:p w14:paraId="3ADEA336" w14:textId="77777777" w:rsidR="00492D49" w:rsidRPr="00492D49" w:rsidRDefault="00492D49" w:rsidP="00492D49">
            <w:pPr>
              <w:spacing w:after="160"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492D49">
              <w:rPr>
                <w:rFonts w:cs="Times New Roman"/>
                <w:sz w:val="20"/>
                <w:szCs w:val="20"/>
              </w:rPr>
              <w:t>68,593 ÷ 2,406 = 28.51</w:t>
            </w:r>
          </w:p>
        </w:tc>
      </w:tr>
      <w:tr w:rsidR="00492D49" w:rsidRPr="00492D49" w14:paraId="379766E1" w14:textId="77777777" w:rsidTr="00492D49">
        <w:tc>
          <w:tcPr>
            <w:cnfStyle w:val="001000000000" w:firstRow="0" w:lastRow="0" w:firstColumn="1" w:lastColumn="0" w:oddVBand="0" w:evenVBand="0" w:oddHBand="0" w:evenHBand="0" w:firstRowFirstColumn="0" w:firstRowLastColumn="0" w:lastRowFirstColumn="0" w:lastRowLastColumn="0"/>
            <w:tcW w:w="0" w:type="auto"/>
            <w:hideMark/>
          </w:tcPr>
          <w:p w14:paraId="4137A717" w14:textId="77777777" w:rsidR="00492D49" w:rsidRPr="00492D49" w:rsidRDefault="00492D49" w:rsidP="00492D49">
            <w:pPr>
              <w:spacing w:after="160" w:line="240" w:lineRule="auto"/>
              <w:rPr>
                <w:rFonts w:cs="Times New Roman"/>
                <w:sz w:val="20"/>
                <w:szCs w:val="20"/>
              </w:rPr>
            </w:pPr>
            <w:r w:rsidRPr="00492D49">
              <w:rPr>
                <w:rFonts w:cs="Times New Roman"/>
                <w:sz w:val="20"/>
                <w:szCs w:val="20"/>
              </w:rPr>
              <w:t>Basic EPS (USD per share)</w:t>
            </w:r>
          </w:p>
        </w:tc>
        <w:tc>
          <w:tcPr>
            <w:tcW w:w="0" w:type="auto"/>
            <w:hideMark/>
          </w:tcPr>
          <w:p w14:paraId="0F11F9E5"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Net income ÷ Basic weighted-average shares</w:t>
            </w:r>
          </w:p>
        </w:tc>
        <w:tc>
          <w:tcPr>
            <w:tcW w:w="0" w:type="auto"/>
            <w:hideMark/>
          </w:tcPr>
          <w:p w14:paraId="3FAC862E"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30,425 ÷ 10,304 = 2.95</w:t>
            </w:r>
          </w:p>
        </w:tc>
        <w:tc>
          <w:tcPr>
            <w:tcW w:w="0" w:type="auto"/>
            <w:hideMark/>
          </w:tcPr>
          <w:p w14:paraId="58A47132" w14:textId="77777777" w:rsidR="00492D49" w:rsidRPr="00492D49" w:rsidRDefault="00492D49" w:rsidP="00492D49">
            <w:pPr>
              <w:spacing w:after="160"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492D49">
              <w:rPr>
                <w:rFonts w:cs="Times New Roman"/>
                <w:sz w:val="20"/>
                <w:szCs w:val="20"/>
              </w:rPr>
              <w:t>59,248 ÷ 10,473 = 5.66</w:t>
            </w:r>
          </w:p>
        </w:tc>
      </w:tr>
    </w:tbl>
    <w:p w14:paraId="03C0B7E1" w14:textId="7D3AA036" w:rsidR="00492D49" w:rsidRDefault="00492D49" w:rsidP="00CE7127"/>
    <w:p w14:paraId="4D211FD8" w14:textId="77777777" w:rsidR="00492D49" w:rsidRDefault="00492D49">
      <w:pPr>
        <w:spacing w:line="259" w:lineRule="auto"/>
        <w:jc w:val="left"/>
      </w:pPr>
      <w:r>
        <w:br w:type="page"/>
      </w:r>
    </w:p>
    <w:p w14:paraId="231E5ABA" w14:textId="44032EF5" w:rsidR="00492D49" w:rsidRDefault="00492D49" w:rsidP="00492D49">
      <w:pPr>
        <w:pStyle w:val="Heading2"/>
      </w:pPr>
      <w:bookmarkStart w:id="28" w:name="_Toc216738299"/>
      <w:r w:rsidRPr="00492D49">
        <w:lastRenderedPageBreak/>
        <w:t>APPENDIX C: CASH FLOW, TAX, NPV AND IRR CALCULATIONS FOR PROJECTS A, B AND C</w:t>
      </w:r>
      <w:bookmarkEnd w:id="28"/>
      <w:r w:rsidRPr="00492D49">
        <w:t xml:space="preserve"> </w:t>
      </w:r>
    </w:p>
    <w:p w14:paraId="4B23AD5F" w14:textId="157B44F7" w:rsidR="00492D49" w:rsidRDefault="00492D49" w:rsidP="00CE7127">
      <w:r w:rsidRPr="00492D49">
        <w:rPr>
          <w:noProof/>
          <w:lang w:eastAsia="en-GB" w:bidi="ar-SA"/>
        </w:rPr>
        <w:drawing>
          <wp:inline distT="0" distB="0" distL="0" distR="0" wp14:anchorId="40DB6A69" wp14:editId="765B8637">
            <wp:extent cx="5731510" cy="4039235"/>
            <wp:effectExtent l="0" t="0" r="2540" b="0"/>
            <wp:docPr id="14270460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039235"/>
                    </a:xfrm>
                    <a:prstGeom prst="rect">
                      <a:avLst/>
                    </a:prstGeom>
                    <a:noFill/>
                    <a:ln>
                      <a:noFill/>
                    </a:ln>
                  </pic:spPr>
                </pic:pic>
              </a:graphicData>
            </a:graphic>
          </wp:inline>
        </w:drawing>
      </w:r>
    </w:p>
    <w:p w14:paraId="584AACE0" w14:textId="6AE65799" w:rsidR="00492D49" w:rsidRDefault="00492D49" w:rsidP="00CE7127">
      <w:r w:rsidRPr="00492D49">
        <w:rPr>
          <w:noProof/>
          <w:lang w:eastAsia="en-GB" w:bidi="ar-SA"/>
        </w:rPr>
        <w:drawing>
          <wp:inline distT="0" distB="0" distL="0" distR="0" wp14:anchorId="61C1DE88" wp14:editId="03A49DB0">
            <wp:extent cx="5731510" cy="3425825"/>
            <wp:effectExtent l="0" t="0" r="2540" b="3175"/>
            <wp:docPr id="8228279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425825"/>
                    </a:xfrm>
                    <a:prstGeom prst="rect">
                      <a:avLst/>
                    </a:prstGeom>
                    <a:noFill/>
                    <a:ln>
                      <a:noFill/>
                    </a:ln>
                  </pic:spPr>
                </pic:pic>
              </a:graphicData>
            </a:graphic>
          </wp:inline>
        </w:drawing>
      </w:r>
    </w:p>
    <w:p w14:paraId="78DE24E7" w14:textId="736DD9D5" w:rsidR="00955DFF" w:rsidRDefault="00492D49" w:rsidP="00CE7127">
      <w:r w:rsidRPr="00492D49">
        <w:rPr>
          <w:noProof/>
          <w:lang w:eastAsia="en-GB" w:bidi="ar-SA"/>
        </w:rPr>
        <w:lastRenderedPageBreak/>
        <w:drawing>
          <wp:inline distT="0" distB="0" distL="0" distR="0" wp14:anchorId="487DC1D8" wp14:editId="343D1272">
            <wp:extent cx="5374005" cy="4166870"/>
            <wp:effectExtent l="0" t="0" r="0" b="5080"/>
            <wp:docPr id="1526531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74005" cy="4166870"/>
                    </a:xfrm>
                    <a:prstGeom prst="rect">
                      <a:avLst/>
                    </a:prstGeom>
                    <a:noFill/>
                    <a:ln>
                      <a:noFill/>
                    </a:ln>
                  </pic:spPr>
                </pic:pic>
              </a:graphicData>
            </a:graphic>
          </wp:inline>
        </w:drawing>
      </w:r>
    </w:p>
    <w:p w14:paraId="56B83248" w14:textId="59C520D1" w:rsidR="00492D49" w:rsidRPr="00CE7127" w:rsidRDefault="00D53E30" w:rsidP="00CE7127">
      <w:r w:rsidRPr="00D53E30">
        <w:rPr>
          <w:noProof/>
          <w:lang w:eastAsia="en-GB" w:bidi="ar-SA"/>
        </w:rPr>
        <w:drawing>
          <wp:inline distT="0" distB="0" distL="0" distR="0" wp14:anchorId="2123EDEB" wp14:editId="2D5C152D">
            <wp:extent cx="5731510" cy="2061210"/>
            <wp:effectExtent l="0" t="0" r="2540" b="0"/>
            <wp:docPr id="1731172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2061210"/>
                    </a:xfrm>
                    <a:prstGeom prst="rect">
                      <a:avLst/>
                    </a:prstGeom>
                    <a:noFill/>
                    <a:ln>
                      <a:noFill/>
                    </a:ln>
                  </pic:spPr>
                </pic:pic>
              </a:graphicData>
            </a:graphic>
          </wp:inline>
        </w:drawing>
      </w:r>
    </w:p>
    <w:sectPr w:rsidR="00492D49" w:rsidRPr="00CE7127" w:rsidSect="0090653E">
      <w:footerReference w:type="default" r:id="rId34"/>
      <w:footerReference w:type="first" r:id="rId3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C9601C" w14:textId="77777777" w:rsidR="00004E06" w:rsidRDefault="00004E06" w:rsidP="00121471">
      <w:pPr>
        <w:spacing w:after="0" w:line="240" w:lineRule="auto"/>
      </w:pPr>
      <w:r>
        <w:separator/>
      </w:r>
    </w:p>
  </w:endnote>
  <w:endnote w:type="continuationSeparator" w:id="0">
    <w:p w14:paraId="6BF82F51" w14:textId="77777777" w:rsidR="00004E06" w:rsidRDefault="00004E06" w:rsidP="001214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1"/>
    <w:family w:val="roman"/>
    <w:notTrueType/>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01775116"/>
      <w:docPartObj>
        <w:docPartGallery w:val="Page Numbers (Bottom of Page)"/>
        <w:docPartUnique/>
      </w:docPartObj>
    </w:sdtPr>
    <w:sdtEndPr>
      <w:rPr>
        <w:color w:val="7F7F7F" w:themeColor="background1" w:themeShade="7F"/>
        <w:spacing w:val="60"/>
      </w:rPr>
    </w:sdtEndPr>
    <w:sdtContent>
      <w:p w14:paraId="4B11C45F" w14:textId="12D92C77" w:rsidR="00DD31D5" w:rsidRDefault="00DD31D5" w:rsidP="00D53E30">
        <w:pPr>
          <w:pStyle w:val="Footer"/>
          <w:pBdr>
            <w:top w:val="single" w:sz="4" w:space="1" w:color="D9D9D9" w:themeColor="background1" w:themeShade="D9"/>
          </w:pBdr>
          <w:jc w:val="right"/>
        </w:pPr>
        <w:r>
          <w:fldChar w:fldCharType="begin"/>
        </w:r>
        <w:r>
          <w:instrText xml:space="preserve"> PAGE   \* MERGEFORMAT </w:instrText>
        </w:r>
        <w:r>
          <w:fldChar w:fldCharType="separate"/>
        </w:r>
        <w:r w:rsidR="00C644E4">
          <w:rPr>
            <w:noProof/>
          </w:rPr>
          <w:t>17</w:t>
        </w:r>
        <w:r>
          <w:rPr>
            <w:noProof/>
          </w:rPr>
          <w:fldChar w:fldCharType="end"/>
        </w:r>
        <w: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004268"/>
      <w:docPartObj>
        <w:docPartGallery w:val="Page Numbers (Bottom of Page)"/>
        <w:docPartUnique/>
      </w:docPartObj>
    </w:sdtPr>
    <w:sdtEndPr>
      <w:rPr>
        <w:color w:val="7F7F7F" w:themeColor="background1" w:themeShade="7F"/>
        <w:spacing w:val="60"/>
      </w:rPr>
    </w:sdtEndPr>
    <w:sdtContent>
      <w:p w14:paraId="162803A0" w14:textId="5F05D2E0" w:rsidR="00DD31D5" w:rsidRDefault="00DD31D5">
        <w:pPr>
          <w:pStyle w:val="Footer"/>
          <w:pBdr>
            <w:top w:val="single" w:sz="4" w:space="1" w:color="D9D9D9" w:themeColor="background1" w:themeShade="D9"/>
          </w:pBdr>
          <w:jc w:val="right"/>
        </w:pPr>
        <w:r>
          <w:fldChar w:fldCharType="begin"/>
        </w:r>
        <w:r>
          <w:instrText xml:space="preserve"> PAGE   \* MERGEFORMAT </w:instrText>
        </w:r>
        <w:r>
          <w:fldChar w:fldCharType="separate"/>
        </w:r>
        <w:r w:rsidR="00C644E4">
          <w:rPr>
            <w:noProof/>
          </w:rPr>
          <w:t>1</w:t>
        </w:r>
        <w:r>
          <w:rPr>
            <w:noProof/>
          </w:rPr>
          <w:fldChar w:fldCharType="end"/>
        </w:r>
        <w:r>
          <w:t xml:space="preserve"> | </w:t>
        </w:r>
        <w:r>
          <w:rPr>
            <w:color w:val="7F7F7F" w:themeColor="background1" w:themeShade="7F"/>
            <w:spacing w:val="60"/>
          </w:rPr>
          <w:t>Page</w:t>
        </w:r>
      </w:p>
    </w:sdtContent>
  </w:sdt>
  <w:p w14:paraId="466D4FB5" w14:textId="77777777" w:rsidR="00DD31D5" w:rsidRDefault="00DD31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947932" w14:textId="77777777" w:rsidR="00004E06" w:rsidRDefault="00004E06" w:rsidP="00121471">
      <w:pPr>
        <w:spacing w:after="0" w:line="240" w:lineRule="auto"/>
      </w:pPr>
      <w:r>
        <w:separator/>
      </w:r>
    </w:p>
  </w:footnote>
  <w:footnote w:type="continuationSeparator" w:id="0">
    <w:p w14:paraId="0E0BC4C2" w14:textId="77777777" w:rsidR="00004E06" w:rsidRDefault="00004E06" w:rsidP="0012147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56945"/>
    <w:multiLevelType w:val="multilevel"/>
    <w:tmpl w:val="AB7C3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422E7D"/>
    <w:multiLevelType w:val="multilevel"/>
    <w:tmpl w:val="5068F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2126ED"/>
    <w:multiLevelType w:val="hybridMultilevel"/>
    <w:tmpl w:val="00E0D3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7201E7A"/>
    <w:multiLevelType w:val="multilevel"/>
    <w:tmpl w:val="E0FEF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01B3350"/>
    <w:multiLevelType w:val="multilevel"/>
    <w:tmpl w:val="9F0C1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31B5D63"/>
    <w:multiLevelType w:val="multilevel"/>
    <w:tmpl w:val="E56E2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8887336"/>
    <w:multiLevelType w:val="multilevel"/>
    <w:tmpl w:val="4F7A5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0FC45C9"/>
    <w:multiLevelType w:val="multilevel"/>
    <w:tmpl w:val="D1F42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37D556A"/>
    <w:multiLevelType w:val="multilevel"/>
    <w:tmpl w:val="DCF89B3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4BA40A97"/>
    <w:multiLevelType w:val="multilevel"/>
    <w:tmpl w:val="D92CE9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576F0549"/>
    <w:multiLevelType w:val="multilevel"/>
    <w:tmpl w:val="F7C02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8084D91"/>
    <w:multiLevelType w:val="hybridMultilevel"/>
    <w:tmpl w:val="CC3E2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CAB7DEB"/>
    <w:multiLevelType w:val="multilevel"/>
    <w:tmpl w:val="CE866DF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7E6951B2"/>
    <w:multiLevelType w:val="multilevel"/>
    <w:tmpl w:val="E56E2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0"/>
  </w:num>
  <w:num w:numId="3">
    <w:abstractNumId w:val="6"/>
  </w:num>
  <w:num w:numId="4">
    <w:abstractNumId w:val="4"/>
  </w:num>
  <w:num w:numId="5">
    <w:abstractNumId w:val="0"/>
  </w:num>
  <w:num w:numId="6">
    <w:abstractNumId w:val="3"/>
  </w:num>
  <w:num w:numId="7">
    <w:abstractNumId w:val="13"/>
  </w:num>
  <w:num w:numId="8">
    <w:abstractNumId w:val="1"/>
  </w:num>
  <w:num w:numId="9">
    <w:abstractNumId w:val="9"/>
  </w:num>
  <w:num w:numId="10">
    <w:abstractNumId w:val="11"/>
  </w:num>
  <w:num w:numId="11">
    <w:abstractNumId w:val="5"/>
  </w:num>
  <w:num w:numId="12">
    <w:abstractNumId w:val="12"/>
  </w:num>
  <w:num w:numId="13">
    <w:abstractNumId w:val="8"/>
  </w:num>
  <w:num w:numId="14">
    <w:abstractNumId w:val="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09B0"/>
    <w:rsid w:val="00004E06"/>
    <w:rsid w:val="0007039A"/>
    <w:rsid w:val="000B5534"/>
    <w:rsid w:val="000B5759"/>
    <w:rsid w:val="000E281F"/>
    <w:rsid w:val="00117AFB"/>
    <w:rsid w:val="00121471"/>
    <w:rsid w:val="00143306"/>
    <w:rsid w:val="001A2726"/>
    <w:rsid w:val="001A3C8E"/>
    <w:rsid w:val="00204670"/>
    <w:rsid w:val="00207607"/>
    <w:rsid w:val="0021168A"/>
    <w:rsid w:val="00213FF2"/>
    <w:rsid w:val="0028444B"/>
    <w:rsid w:val="002974F9"/>
    <w:rsid w:val="002B5952"/>
    <w:rsid w:val="002B7D8A"/>
    <w:rsid w:val="002D2109"/>
    <w:rsid w:val="002E2230"/>
    <w:rsid w:val="002F1214"/>
    <w:rsid w:val="00300D86"/>
    <w:rsid w:val="00335559"/>
    <w:rsid w:val="00343EAB"/>
    <w:rsid w:val="00346AAA"/>
    <w:rsid w:val="00372BE1"/>
    <w:rsid w:val="003B496A"/>
    <w:rsid w:val="003F62A6"/>
    <w:rsid w:val="0048096E"/>
    <w:rsid w:val="00492D49"/>
    <w:rsid w:val="004974ED"/>
    <w:rsid w:val="004B3EF1"/>
    <w:rsid w:val="004D43BF"/>
    <w:rsid w:val="005228B6"/>
    <w:rsid w:val="00530F86"/>
    <w:rsid w:val="005609B0"/>
    <w:rsid w:val="005609B5"/>
    <w:rsid w:val="00583FA5"/>
    <w:rsid w:val="005858DE"/>
    <w:rsid w:val="00593CD7"/>
    <w:rsid w:val="005C4E0A"/>
    <w:rsid w:val="005F2230"/>
    <w:rsid w:val="005F274C"/>
    <w:rsid w:val="005F3FF5"/>
    <w:rsid w:val="00640094"/>
    <w:rsid w:val="00691EB4"/>
    <w:rsid w:val="00753A8A"/>
    <w:rsid w:val="00776DDF"/>
    <w:rsid w:val="00790D78"/>
    <w:rsid w:val="007A0C09"/>
    <w:rsid w:val="007B1C73"/>
    <w:rsid w:val="007F05F5"/>
    <w:rsid w:val="007F69F1"/>
    <w:rsid w:val="00822B31"/>
    <w:rsid w:val="00897756"/>
    <w:rsid w:val="008A40D4"/>
    <w:rsid w:val="008F792C"/>
    <w:rsid w:val="0090653E"/>
    <w:rsid w:val="00937DFE"/>
    <w:rsid w:val="00955DFF"/>
    <w:rsid w:val="009762F4"/>
    <w:rsid w:val="009C4A76"/>
    <w:rsid w:val="00A369DA"/>
    <w:rsid w:val="00A76EE1"/>
    <w:rsid w:val="00A82B3D"/>
    <w:rsid w:val="00AA5491"/>
    <w:rsid w:val="00AA6707"/>
    <w:rsid w:val="00AC1757"/>
    <w:rsid w:val="00AD6181"/>
    <w:rsid w:val="00AE0151"/>
    <w:rsid w:val="00AE1ECE"/>
    <w:rsid w:val="00B07EB6"/>
    <w:rsid w:val="00B55F4F"/>
    <w:rsid w:val="00B665B0"/>
    <w:rsid w:val="00B67A00"/>
    <w:rsid w:val="00B93809"/>
    <w:rsid w:val="00BB00C7"/>
    <w:rsid w:val="00C644E4"/>
    <w:rsid w:val="00CE7127"/>
    <w:rsid w:val="00CE7E00"/>
    <w:rsid w:val="00D03B0C"/>
    <w:rsid w:val="00D473FF"/>
    <w:rsid w:val="00D53E30"/>
    <w:rsid w:val="00D628C9"/>
    <w:rsid w:val="00D966DC"/>
    <w:rsid w:val="00DD01D3"/>
    <w:rsid w:val="00DD31D5"/>
    <w:rsid w:val="00DF14D7"/>
    <w:rsid w:val="00E22B2B"/>
    <w:rsid w:val="00E24F45"/>
    <w:rsid w:val="00E32EBE"/>
    <w:rsid w:val="00E40E8A"/>
    <w:rsid w:val="00E501C7"/>
    <w:rsid w:val="00E746FF"/>
    <w:rsid w:val="00EA345D"/>
    <w:rsid w:val="00EC71BC"/>
    <w:rsid w:val="00EE096C"/>
    <w:rsid w:val="00EE3770"/>
    <w:rsid w:val="00F2606C"/>
    <w:rsid w:val="00F33261"/>
    <w:rsid w:val="00F634AB"/>
    <w:rsid w:val="00F73C98"/>
    <w:rsid w:val="00F9592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E34C4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09B0"/>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609B0"/>
    <w:pPr>
      <w:keepNext/>
      <w:keepLines/>
      <w:spacing w:before="360" w:after="80"/>
      <w:outlineLvl w:val="0"/>
    </w:pPr>
    <w:rPr>
      <w:rFonts w:eastAsiaTheme="majorEastAsia" w:cstheme="majorBidi"/>
      <w:b/>
      <w:szCs w:val="50"/>
    </w:rPr>
  </w:style>
  <w:style w:type="paragraph" w:styleId="Heading2">
    <w:name w:val="heading 2"/>
    <w:basedOn w:val="Normal"/>
    <w:next w:val="Normal"/>
    <w:link w:val="Heading2Char"/>
    <w:autoRedefine/>
    <w:uiPriority w:val="9"/>
    <w:unhideWhenUsed/>
    <w:qFormat/>
    <w:rsid w:val="00D53E30"/>
    <w:pPr>
      <w:keepNext/>
      <w:keepLines/>
      <w:spacing w:after="0"/>
      <w:jc w:val="left"/>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5609B0"/>
    <w:pPr>
      <w:keepNext/>
      <w:keepLines/>
      <w:spacing w:before="160" w:after="80"/>
      <w:outlineLvl w:val="2"/>
    </w:pPr>
    <w:rPr>
      <w:rFonts w:eastAsiaTheme="majorEastAsia" w:cstheme="majorBidi"/>
      <w:b/>
      <w:i/>
      <w:szCs w:val="35"/>
    </w:rPr>
  </w:style>
  <w:style w:type="paragraph" w:styleId="Heading4">
    <w:name w:val="heading 4"/>
    <w:basedOn w:val="Normal"/>
    <w:next w:val="Normal"/>
    <w:link w:val="Heading4Char"/>
    <w:uiPriority w:val="9"/>
    <w:semiHidden/>
    <w:unhideWhenUsed/>
    <w:qFormat/>
    <w:rsid w:val="005609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609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609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09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09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09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53E30"/>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5609B0"/>
    <w:rPr>
      <w:rFonts w:ascii="Times New Roman" w:eastAsiaTheme="majorEastAsia" w:hAnsi="Times New Roman" w:cstheme="majorBidi"/>
      <w:b/>
      <w:sz w:val="24"/>
      <w:szCs w:val="50"/>
    </w:rPr>
  </w:style>
  <w:style w:type="character" w:customStyle="1" w:styleId="Heading3Char">
    <w:name w:val="Heading 3 Char"/>
    <w:basedOn w:val="DefaultParagraphFont"/>
    <w:link w:val="Heading3"/>
    <w:uiPriority w:val="9"/>
    <w:rsid w:val="005609B0"/>
    <w:rPr>
      <w:rFonts w:ascii="Times New Roman" w:eastAsiaTheme="majorEastAsia" w:hAnsi="Times New Roman" w:cstheme="majorBidi"/>
      <w:b/>
      <w:i/>
      <w:sz w:val="24"/>
      <w:szCs w:val="35"/>
    </w:rPr>
  </w:style>
  <w:style w:type="character" w:customStyle="1" w:styleId="Heading4Char">
    <w:name w:val="Heading 4 Char"/>
    <w:basedOn w:val="DefaultParagraphFont"/>
    <w:link w:val="Heading4"/>
    <w:uiPriority w:val="9"/>
    <w:semiHidden/>
    <w:rsid w:val="005609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609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609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09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09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09B0"/>
    <w:rPr>
      <w:rFonts w:eastAsiaTheme="majorEastAsia" w:cstheme="majorBidi"/>
      <w:color w:val="272727" w:themeColor="text1" w:themeTint="D8"/>
    </w:rPr>
  </w:style>
  <w:style w:type="paragraph" w:styleId="Title">
    <w:name w:val="Title"/>
    <w:basedOn w:val="Normal"/>
    <w:next w:val="Normal"/>
    <w:link w:val="TitleChar"/>
    <w:uiPriority w:val="10"/>
    <w:qFormat/>
    <w:rsid w:val="005609B0"/>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609B0"/>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5609B0"/>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609B0"/>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5609B0"/>
    <w:pPr>
      <w:spacing w:before="160"/>
      <w:jc w:val="center"/>
    </w:pPr>
    <w:rPr>
      <w:i/>
      <w:iCs/>
      <w:color w:val="404040" w:themeColor="text1" w:themeTint="BF"/>
    </w:rPr>
  </w:style>
  <w:style w:type="character" w:customStyle="1" w:styleId="QuoteChar">
    <w:name w:val="Quote Char"/>
    <w:basedOn w:val="DefaultParagraphFont"/>
    <w:link w:val="Quote"/>
    <w:uiPriority w:val="29"/>
    <w:rsid w:val="005609B0"/>
    <w:rPr>
      <w:i/>
      <w:iCs/>
      <w:color w:val="404040" w:themeColor="text1" w:themeTint="BF"/>
    </w:rPr>
  </w:style>
  <w:style w:type="paragraph" w:styleId="ListParagraph">
    <w:name w:val="List Paragraph"/>
    <w:basedOn w:val="Normal"/>
    <w:uiPriority w:val="34"/>
    <w:qFormat/>
    <w:rsid w:val="005609B0"/>
    <w:pPr>
      <w:ind w:left="720"/>
      <w:contextualSpacing/>
    </w:pPr>
  </w:style>
  <w:style w:type="character" w:styleId="IntenseEmphasis">
    <w:name w:val="Intense Emphasis"/>
    <w:basedOn w:val="DefaultParagraphFont"/>
    <w:uiPriority w:val="21"/>
    <w:qFormat/>
    <w:rsid w:val="005609B0"/>
    <w:rPr>
      <w:i/>
      <w:iCs/>
      <w:color w:val="2F5496" w:themeColor="accent1" w:themeShade="BF"/>
    </w:rPr>
  </w:style>
  <w:style w:type="paragraph" w:styleId="IntenseQuote">
    <w:name w:val="Intense Quote"/>
    <w:basedOn w:val="Normal"/>
    <w:next w:val="Normal"/>
    <w:link w:val="IntenseQuoteChar"/>
    <w:uiPriority w:val="30"/>
    <w:qFormat/>
    <w:rsid w:val="005609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609B0"/>
    <w:rPr>
      <w:i/>
      <w:iCs/>
      <w:color w:val="2F5496" w:themeColor="accent1" w:themeShade="BF"/>
    </w:rPr>
  </w:style>
  <w:style w:type="character" w:styleId="IntenseReference">
    <w:name w:val="Intense Reference"/>
    <w:basedOn w:val="DefaultParagraphFont"/>
    <w:uiPriority w:val="32"/>
    <w:qFormat/>
    <w:rsid w:val="005609B0"/>
    <w:rPr>
      <w:b/>
      <w:bCs/>
      <w:smallCaps/>
      <w:color w:val="2F5496" w:themeColor="accent1" w:themeShade="BF"/>
      <w:spacing w:val="5"/>
    </w:rPr>
  </w:style>
  <w:style w:type="character" w:styleId="Hyperlink">
    <w:name w:val="Hyperlink"/>
    <w:basedOn w:val="DefaultParagraphFont"/>
    <w:uiPriority w:val="99"/>
    <w:unhideWhenUsed/>
    <w:rsid w:val="005609B0"/>
    <w:rPr>
      <w:color w:val="0563C1" w:themeColor="hyperlink"/>
      <w:u w:val="single"/>
    </w:rPr>
  </w:style>
  <w:style w:type="character" w:customStyle="1" w:styleId="UnresolvedMention">
    <w:name w:val="Unresolved Mention"/>
    <w:basedOn w:val="DefaultParagraphFont"/>
    <w:uiPriority w:val="99"/>
    <w:semiHidden/>
    <w:unhideWhenUsed/>
    <w:rsid w:val="005609B0"/>
    <w:rPr>
      <w:color w:val="605E5C"/>
      <w:shd w:val="clear" w:color="auto" w:fill="E1DFDD"/>
    </w:rPr>
  </w:style>
  <w:style w:type="paragraph" w:styleId="NormalWeb">
    <w:name w:val="Normal (Web)"/>
    <w:basedOn w:val="Normal"/>
    <w:uiPriority w:val="99"/>
    <w:unhideWhenUsed/>
    <w:rsid w:val="005609B0"/>
    <w:rPr>
      <w:rFonts w:cs="Times New Roman"/>
      <w:szCs w:val="30"/>
    </w:rPr>
  </w:style>
  <w:style w:type="table" w:styleId="TableGrid">
    <w:name w:val="Table Grid"/>
    <w:basedOn w:val="TableNormal"/>
    <w:uiPriority w:val="39"/>
    <w:rsid w:val="0064009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2E2230"/>
    <w:rPr>
      <w:sz w:val="16"/>
      <w:szCs w:val="16"/>
    </w:rPr>
  </w:style>
  <w:style w:type="paragraph" w:styleId="CommentText">
    <w:name w:val="annotation text"/>
    <w:basedOn w:val="Normal"/>
    <w:link w:val="CommentTextChar"/>
    <w:uiPriority w:val="99"/>
    <w:semiHidden/>
    <w:unhideWhenUsed/>
    <w:rsid w:val="002E2230"/>
    <w:pPr>
      <w:spacing w:line="240" w:lineRule="auto"/>
    </w:pPr>
    <w:rPr>
      <w:sz w:val="20"/>
      <w:szCs w:val="25"/>
    </w:rPr>
  </w:style>
  <w:style w:type="character" w:customStyle="1" w:styleId="CommentTextChar">
    <w:name w:val="Comment Text Char"/>
    <w:basedOn w:val="DefaultParagraphFont"/>
    <w:link w:val="CommentText"/>
    <w:uiPriority w:val="99"/>
    <w:semiHidden/>
    <w:rsid w:val="002E2230"/>
    <w:rPr>
      <w:rFonts w:ascii="Times New Roman" w:hAnsi="Times New Roman"/>
      <w:sz w:val="20"/>
      <w:szCs w:val="25"/>
    </w:rPr>
  </w:style>
  <w:style w:type="paragraph" w:styleId="CommentSubject">
    <w:name w:val="annotation subject"/>
    <w:basedOn w:val="CommentText"/>
    <w:next w:val="CommentText"/>
    <w:link w:val="CommentSubjectChar"/>
    <w:uiPriority w:val="99"/>
    <w:semiHidden/>
    <w:unhideWhenUsed/>
    <w:rsid w:val="002E2230"/>
    <w:rPr>
      <w:b/>
      <w:bCs/>
    </w:rPr>
  </w:style>
  <w:style w:type="character" w:customStyle="1" w:styleId="CommentSubjectChar">
    <w:name w:val="Comment Subject Char"/>
    <w:basedOn w:val="CommentTextChar"/>
    <w:link w:val="CommentSubject"/>
    <w:uiPriority w:val="99"/>
    <w:semiHidden/>
    <w:rsid w:val="002E2230"/>
    <w:rPr>
      <w:rFonts w:ascii="Times New Roman" w:hAnsi="Times New Roman"/>
      <w:b/>
      <w:bCs/>
      <w:sz w:val="20"/>
      <w:szCs w:val="25"/>
    </w:rPr>
  </w:style>
  <w:style w:type="table" w:styleId="GridTable5Dark-Accent5">
    <w:name w:val="Grid Table 5 Dark Accent 5"/>
    <w:basedOn w:val="TableNormal"/>
    <w:uiPriority w:val="50"/>
    <w:rsid w:val="00121471"/>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Header">
    <w:name w:val="header"/>
    <w:basedOn w:val="Normal"/>
    <w:link w:val="HeaderChar"/>
    <w:uiPriority w:val="99"/>
    <w:unhideWhenUsed/>
    <w:rsid w:val="001214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471"/>
    <w:rPr>
      <w:rFonts w:ascii="Times New Roman" w:hAnsi="Times New Roman"/>
      <w:sz w:val="24"/>
    </w:rPr>
  </w:style>
  <w:style w:type="paragraph" w:styleId="Footer">
    <w:name w:val="footer"/>
    <w:basedOn w:val="Normal"/>
    <w:link w:val="FooterChar"/>
    <w:uiPriority w:val="99"/>
    <w:unhideWhenUsed/>
    <w:rsid w:val="001214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471"/>
    <w:rPr>
      <w:rFonts w:ascii="Times New Roman" w:hAnsi="Times New Roman"/>
      <w:sz w:val="24"/>
    </w:rPr>
  </w:style>
  <w:style w:type="character" w:styleId="Emphasis">
    <w:name w:val="Emphasis"/>
    <w:basedOn w:val="DefaultParagraphFont"/>
    <w:uiPriority w:val="20"/>
    <w:qFormat/>
    <w:rsid w:val="00D473FF"/>
    <w:rPr>
      <w:i/>
      <w:iCs/>
    </w:rPr>
  </w:style>
  <w:style w:type="table" w:styleId="GridTable4-Accent5">
    <w:name w:val="Grid Table 4 Accent 5"/>
    <w:basedOn w:val="TableNormal"/>
    <w:uiPriority w:val="49"/>
    <w:rsid w:val="0048096E"/>
    <w:pPr>
      <w:spacing w:after="0" w:line="240" w:lineRule="auto"/>
    </w:pPr>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3-Accent5">
    <w:name w:val="List Table 3 Accent 5"/>
    <w:basedOn w:val="TableNormal"/>
    <w:uiPriority w:val="48"/>
    <w:rsid w:val="0048096E"/>
    <w:pPr>
      <w:spacing w:after="0" w:line="240" w:lineRule="auto"/>
    </w:pPr>
    <w:tblPr>
      <w:tblStyleRowBandSize w:val="1"/>
      <w:tblStyleColBandSize w:val="1"/>
      <w:tblInd w:w="0" w:type="dxa"/>
      <w:tblBorders>
        <w:top w:val="single" w:sz="4" w:space="0" w:color="5B9BD5" w:themeColor="accent5"/>
        <w:left w:val="single" w:sz="4" w:space="0" w:color="5B9BD5" w:themeColor="accent5"/>
        <w:bottom w:val="single" w:sz="4" w:space="0" w:color="5B9BD5" w:themeColor="accent5"/>
        <w:right w:val="single" w:sz="4" w:space="0" w:color="5B9BD5" w:themeColor="accent5"/>
      </w:tblBorders>
      <w:tblCellMar>
        <w:top w:w="0" w:type="dxa"/>
        <w:left w:w="108" w:type="dxa"/>
        <w:bottom w:w="0" w:type="dxa"/>
        <w:right w:w="108" w:type="dxa"/>
      </w:tblCellMar>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paragraph" w:styleId="TOCHeading">
    <w:name w:val="TOC Heading"/>
    <w:basedOn w:val="Heading1"/>
    <w:next w:val="Normal"/>
    <w:uiPriority w:val="39"/>
    <w:unhideWhenUsed/>
    <w:qFormat/>
    <w:rsid w:val="0048096E"/>
    <w:pPr>
      <w:spacing w:before="240" w:after="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48096E"/>
    <w:pPr>
      <w:spacing w:after="100"/>
    </w:pPr>
  </w:style>
  <w:style w:type="paragraph" w:styleId="TOC2">
    <w:name w:val="toc 2"/>
    <w:basedOn w:val="Normal"/>
    <w:next w:val="Normal"/>
    <w:autoRedefine/>
    <w:uiPriority w:val="39"/>
    <w:unhideWhenUsed/>
    <w:rsid w:val="0048096E"/>
    <w:pPr>
      <w:spacing w:after="100"/>
      <w:ind w:left="240"/>
    </w:pPr>
  </w:style>
  <w:style w:type="paragraph" w:styleId="TOC3">
    <w:name w:val="toc 3"/>
    <w:basedOn w:val="Normal"/>
    <w:next w:val="Normal"/>
    <w:autoRedefine/>
    <w:uiPriority w:val="39"/>
    <w:unhideWhenUsed/>
    <w:rsid w:val="0048096E"/>
    <w:pPr>
      <w:spacing w:after="100"/>
      <w:ind w:left="480"/>
    </w:pPr>
  </w:style>
  <w:style w:type="character" w:styleId="FollowedHyperlink">
    <w:name w:val="FollowedHyperlink"/>
    <w:basedOn w:val="DefaultParagraphFont"/>
    <w:uiPriority w:val="99"/>
    <w:semiHidden/>
    <w:unhideWhenUsed/>
    <w:rsid w:val="004974ED"/>
    <w:rPr>
      <w:color w:val="954F72" w:themeColor="followedHyperlink"/>
      <w:u w:val="single"/>
    </w:rPr>
  </w:style>
  <w:style w:type="character" w:styleId="Strong">
    <w:name w:val="Strong"/>
    <w:basedOn w:val="DefaultParagraphFont"/>
    <w:uiPriority w:val="22"/>
    <w:qFormat/>
    <w:rsid w:val="00CE7127"/>
    <w:rPr>
      <w:b/>
      <w:bCs/>
    </w:rPr>
  </w:style>
  <w:style w:type="paragraph" w:styleId="NoSpacing">
    <w:name w:val="No Spacing"/>
    <w:uiPriority w:val="1"/>
    <w:qFormat/>
    <w:rsid w:val="00A76EE1"/>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0092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s://s2.q4cdn.com/299287126/files/doc_financials/2024/q4/AMZN-Q4-2024-Earnings-Release.pdf" TargetMode="Externa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1.xml"/><Relationship Id="rId25" Type="http://schemas.openxmlformats.org/officeDocument/2006/relationships/hyperlink" Target="https://s2.q4cdn.com/299287126/files/doc_financials/2025/ar/Amazon-2024-Annual-Report.pdf" TargetMode="External"/><Relationship Id="rId33" Type="http://schemas.openxmlformats.org/officeDocument/2006/relationships/image" Target="media/image19.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2.xml"/><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ec.gov/Archives/edgar/data/1018724/000101872422000005/amzn-20211231.htm" TargetMode="External"/><Relationship Id="rId32" Type="http://schemas.openxmlformats.org/officeDocument/2006/relationships/image" Target="media/image18.emf"/><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3.xml"/><Relationship Id="rId28" Type="http://schemas.openxmlformats.org/officeDocument/2006/relationships/image" Target="media/image14.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17.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hyperlink" Target="https://www.businessinsider.com/amazon-ceo-annual-shareholder-letter-andy-jassy-2025-4" TargetMode="External"/><Relationship Id="rId30" Type="http://schemas.openxmlformats.org/officeDocument/2006/relationships/image" Target="media/image16.emf"/><Relationship Id="rId35"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E:\Abdul%20rahi,\dissertationruksana\IC-12-Month-Project-Gantt-Char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Abdul%20rahi,\dissertationruksana\IC-12-Month-Project-Gantt-Char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Abdul%20rahi,\dissertationruksana\IC-12-Month-Project-Gantt-Char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GRAPHSRatio!$E$24</c:f>
              <c:strCache>
                <c:ptCount val="1"/>
                <c:pt idx="0">
                  <c:v>Payables days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GRAPHSRatio!$F$23:$G$23</c:f>
              <c:numCache>
                <c:formatCode>General</c:formatCode>
                <c:ptCount val="2"/>
                <c:pt idx="0">
                  <c:v>2023</c:v>
                </c:pt>
                <c:pt idx="1">
                  <c:v>2024</c:v>
                </c:pt>
              </c:numCache>
            </c:numRef>
          </c:cat>
          <c:val>
            <c:numRef>
              <c:f>GRAPHSRatio!$F$24:$G$24</c:f>
              <c:numCache>
                <c:formatCode>0.00</c:formatCode>
                <c:ptCount val="2"/>
                <c:pt idx="0">
                  <c:v>101.78567561093263</c:v>
                </c:pt>
                <c:pt idx="1">
                  <c:v>105.5585709557201</c:v>
                </c:pt>
              </c:numCache>
            </c:numRef>
          </c:val>
          <c:extLst xmlns:c16r2="http://schemas.microsoft.com/office/drawing/2015/06/chart">
            <c:ext xmlns:c16="http://schemas.microsoft.com/office/drawing/2014/chart" uri="{C3380CC4-5D6E-409C-BE32-E72D297353CC}">
              <c16:uniqueId val="{00000000-34AA-4031-B1AF-1C4E6A707238}"/>
            </c:ext>
          </c:extLst>
        </c:ser>
        <c:dLbls>
          <c:dLblPos val="outEnd"/>
          <c:showLegendKey val="0"/>
          <c:showVal val="1"/>
          <c:showCatName val="0"/>
          <c:showSerName val="0"/>
          <c:showPercent val="0"/>
          <c:showBubbleSize val="0"/>
        </c:dLbls>
        <c:gapWidth val="444"/>
        <c:overlap val="-90"/>
        <c:axId val="375356920"/>
        <c:axId val="375356136"/>
      </c:barChart>
      <c:catAx>
        <c:axId val="3753569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75356136"/>
        <c:crosses val="autoZero"/>
        <c:auto val="1"/>
        <c:lblAlgn val="ctr"/>
        <c:lblOffset val="100"/>
        <c:noMultiLvlLbl val="0"/>
      </c:catAx>
      <c:valAx>
        <c:axId val="375356136"/>
        <c:scaling>
          <c:orientation val="minMax"/>
        </c:scaling>
        <c:delete val="1"/>
        <c:axPos val="l"/>
        <c:numFmt formatCode="0.00" sourceLinked="1"/>
        <c:majorTickMark val="none"/>
        <c:minorTickMark val="none"/>
        <c:tickLblPos val="nextTo"/>
        <c:crossAx val="375356920"/>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GRAPHSRatio!$A$30</c:f>
              <c:strCache>
                <c:ptCount val="1"/>
                <c:pt idx="0">
                  <c:v>Basic earnings per share (EPS)</c:v>
                </c:pt>
              </c:strCache>
            </c:strRef>
          </c:tx>
          <c:spPr>
            <a:gradFill rotWithShape="1">
              <a:gsLst>
                <a:gs pos="0">
                  <a:schemeClr val="accent1">
                    <a:tint val="100000"/>
                    <a:satMod val="103000"/>
                    <a:lumMod val="102000"/>
                  </a:schemeClr>
                </a:gs>
                <a:gs pos="50000">
                  <a:schemeClr val="accent1">
                    <a:shade val="100000"/>
                    <a:satMod val="110000"/>
                    <a:lumMod val="100000"/>
                  </a:schemeClr>
                </a:gs>
                <a:gs pos="100000">
                  <a:schemeClr val="accent1">
                    <a:shade val="70000"/>
                    <a:satMod val="120000"/>
                    <a:lumMod val="99000"/>
                  </a:schemeClr>
                </a:gs>
              </a:gsLst>
              <a:path path="circle">
                <a:fillToRect l="100000" t="100000" r="100000" b="100000"/>
              </a:path>
            </a:gradFill>
            <a:ln>
              <a:noFill/>
            </a:ln>
            <a:effectLst>
              <a:innerShdw blurRad="88900" dist="25400" dir="10800000">
                <a:srgbClr val="000000">
                  <a:alpha val="25000"/>
                </a:srgbClr>
              </a:innerShdw>
              <a:outerShdw blurRad="25400" dist="25400" dir="5400000" rotWithShape="0">
                <a:srgbClr val="FFFFFF">
                  <a:alpha val="10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GRAPHSRatio!$B$29:$C$29</c:f>
              <c:numCache>
                <c:formatCode>General</c:formatCode>
                <c:ptCount val="2"/>
                <c:pt idx="0">
                  <c:v>2023</c:v>
                </c:pt>
                <c:pt idx="1">
                  <c:v>2024</c:v>
                </c:pt>
              </c:numCache>
            </c:numRef>
          </c:cat>
          <c:val>
            <c:numRef>
              <c:f>GRAPHSRatio!$B$30:$C$30</c:f>
              <c:numCache>
                <c:formatCode>0.00</c:formatCode>
                <c:ptCount val="2"/>
                <c:pt idx="0">
                  <c:v>2.9527368012422359</c:v>
                </c:pt>
                <c:pt idx="1">
                  <c:v>5.6572137878353859</c:v>
                </c:pt>
              </c:numCache>
            </c:numRef>
          </c:val>
          <c:extLst xmlns:c16r2="http://schemas.microsoft.com/office/drawing/2015/06/chart">
            <c:ext xmlns:c16="http://schemas.microsoft.com/office/drawing/2014/chart" uri="{C3380CC4-5D6E-409C-BE32-E72D297353CC}">
              <c16:uniqueId val="{00000000-255D-4183-9248-9D2445F41565}"/>
            </c:ext>
          </c:extLst>
        </c:ser>
        <c:dLbls>
          <c:dLblPos val="inEnd"/>
          <c:showLegendKey val="0"/>
          <c:showVal val="1"/>
          <c:showCatName val="0"/>
          <c:showSerName val="0"/>
          <c:showPercent val="0"/>
          <c:showBubbleSize val="0"/>
        </c:dLbls>
        <c:gapWidth val="100"/>
        <c:overlap val="-24"/>
        <c:axId val="375358096"/>
        <c:axId val="375356528"/>
      </c:barChart>
      <c:catAx>
        <c:axId val="37535809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75356528"/>
        <c:crosses val="autoZero"/>
        <c:auto val="1"/>
        <c:lblAlgn val="ctr"/>
        <c:lblOffset val="100"/>
        <c:noMultiLvlLbl val="0"/>
      </c:catAx>
      <c:valAx>
        <c:axId val="375356528"/>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7535809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Capital allocation under £2.5m limit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Sheet8!$B$11</c:f>
              <c:strCache>
                <c:ptCount val="1"/>
                <c:pt idx="0">
                  <c:v>Amount invested £</c:v>
                </c:pt>
              </c:strCache>
            </c:strRef>
          </c:tx>
          <c:spPr>
            <a:gradFill rotWithShape="1">
              <a:gsLst>
                <a:gs pos="0">
                  <a:schemeClr val="accent1">
                    <a:tint val="100000"/>
                    <a:satMod val="103000"/>
                    <a:lumMod val="102000"/>
                  </a:schemeClr>
                </a:gs>
                <a:gs pos="50000">
                  <a:schemeClr val="accent1">
                    <a:shade val="100000"/>
                    <a:satMod val="110000"/>
                    <a:lumMod val="100000"/>
                  </a:schemeClr>
                </a:gs>
                <a:gs pos="100000">
                  <a:schemeClr val="accent1">
                    <a:shade val="70000"/>
                    <a:satMod val="120000"/>
                    <a:lumMod val="99000"/>
                  </a:schemeClr>
                </a:gs>
              </a:gsLst>
              <a:path path="circle">
                <a:fillToRect l="100000" t="100000" r="100000" b="100000"/>
              </a:path>
            </a:gradFill>
            <a:ln>
              <a:noFill/>
            </a:ln>
            <a:effectLst>
              <a:innerShdw blurRad="88900" dist="25400" dir="10800000">
                <a:srgbClr val="000000">
                  <a:alpha val="25000"/>
                </a:srgbClr>
              </a:innerShdw>
              <a:outerShdw blurRad="25400" dist="25400" dir="5400000" rotWithShape="0">
                <a:srgbClr val="FFFFFF">
                  <a:alpha val="10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Sheet8!$A$12:$A$14</c:f>
              <c:strCache>
                <c:ptCount val="3"/>
                <c:pt idx="0">
                  <c:v>A – Retail</c:v>
                </c:pt>
                <c:pt idx="1">
                  <c:v>B – Internet</c:v>
                </c:pt>
                <c:pt idx="2">
                  <c:v>C – Blinds</c:v>
                </c:pt>
              </c:strCache>
            </c:strRef>
          </c:cat>
          <c:val>
            <c:numRef>
              <c:f>Sheet8!$B$12:$B$14</c:f>
              <c:numCache>
                <c:formatCode>General</c:formatCode>
                <c:ptCount val="3"/>
                <c:pt idx="0">
                  <c:v>600000</c:v>
                </c:pt>
                <c:pt idx="1">
                  <c:v>1000000</c:v>
                </c:pt>
                <c:pt idx="2">
                  <c:v>900000</c:v>
                </c:pt>
              </c:numCache>
            </c:numRef>
          </c:val>
          <c:extLst xmlns:c16r2="http://schemas.microsoft.com/office/drawing/2015/06/chart">
            <c:ext xmlns:c16="http://schemas.microsoft.com/office/drawing/2014/chart" uri="{C3380CC4-5D6E-409C-BE32-E72D297353CC}">
              <c16:uniqueId val="{00000000-02B5-42F0-BC06-D40B7A0D6FEE}"/>
            </c:ext>
          </c:extLst>
        </c:ser>
        <c:dLbls>
          <c:showLegendKey val="0"/>
          <c:showVal val="0"/>
          <c:showCatName val="0"/>
          <c:showSerName val="0"/>
          <c:showPercent val="0"/>
          <c:showBubbleSize val="0"/>
        </c:dLbls>
        <c:gapWidth val="247"/>
        <c:overlap val="-27"/>
        <c:axId val="375355352"/>
        <c:axId val="298610768"/>
      </c:barChart>
      <c:lineChart>
        <c:grouping val="standard"/>
        <c:varyColors val="0"/>
        <c:ser>
          <c:idx val="1"/>
          <c:order val="1"/>
          <c:tx>
            <c:strRef>
              <c:f>Sheet8!$C$11</c:f>
              <c:strCache>
                <c:ptCount val="1"/>
                <c:pt idx="0">
                  <c:v>NPV used £</c:v>
                </c:pt>
              </c:strCache>
            </c:strRef>
          </c:tx>
          <c:spPr>
            <a:ln w="34925" cap="rnd">
              <a:solidFill>
                <a:schemeClr val="accent2"/>
              </a:solidFill>
              <a:round/>
            </a:ln>
            <a:effectLst>
              <a:innerShdw blurRad="88900" dist="25400" dir="10800000">
                <a:srgbClr val="000000">
                  <a:alpha val="25000"/>
                </a:srgbClr>
              </a:innerShdw>
              <a:outerShdw blurRad="25400" dist="25400" dir="5400000" rotWithShape="0">
                <a:srgbClr val="FFFFFF">
                  <a:alpha val="10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Sheet8!$A$12:$A$14</c:f>
              <c:strCache>
                <c:ptCount val="3"/>
                <c:pt idx="0">
                  <c:v>A – Retail</c:v>
                </c:pt>
                <c:pt idx="1">
                  <c:v>B – Internet</c:v>
                </c:pt>
                <c:pt idx="2">
                  <c:v>C – Blinds</c:v>
                </c:pt>
              </c:strCache>
            </c:strRef>
          </c:cat>
          <c:val>
            <c:numRef>
              <c:f>Sheet8!$C$12:$C$14</c:f>
              <c:numCache>
                <c:formatCode>General</c:formatCode>
                <c:ptCount val="3"/>
                <c:pt idx="0">
                  <c:v>643168</c:v>
                </c:pt>
                <c:pt idx="1">
                  <c:v>792231</c:v>
                </c:pt>
                <c:pt idx="2">
                  <c:v>417645</c:v>
                </c:pt>
              </c:numCache>
            </c:numRef>
          </c:val>
          <c:smooth val="0"/>
          <c:extLst xmlns:c16r2="http://schemas.microsoft.com/office/drawing/2015/06/chart">
            <c:ext xmlns:c16="http://schemas.microsoft.com/office/drawing/2014/chart" uri="{C3380CC4-5D6E-409C-BE32-E72D297353CC}">
              <c16:uniqueId val="{00000001-02B5-42F0-BC06-D40B7A0D6FEE}"/>
            </c:ext>
          </c:extLst>
        </c:ser>
        <c:dLbls>
          <c:showLegendKey val="0"/>
          <c:showVal val="0"/>
          <c:showCatName val="0"/>
          <c:showSerName val="0"/>
          <c:showPercent val="0"/>
          <c:showBubbleSize val="0"/>
        </c:dLbls>
        <c:marker val="1"/>
        <c:smooth val="0"/>
        <c:axId val="375355352"/>
        <c:axId val="298610768"/>
      </c:lineChart>
      <c:catAx>
        <c:axId val="37535535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610768"/>
        <c:crosses val="autoZero"/>
        <c:auto val="1"/>
        <c:lblAlgn val="ctr"/>
        <c:lblOffset val="100"/>
        <c:noMultiLvlLbl val="0"/>
      </c:catAx>
      <c:valAx>
        <c:axId val="298610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355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5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F4432-0A93-4409-8248-7E79EF384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5619</Words>
  <Characters>32033</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2026-01-08T18:11:00Z</dcterms:created>
  <dcterms:modified xsi:type="dcterms:W3CDTF">2026-01-08T18:11:00Z</dcterms:modified>
</cp:coreProperties>
</file>