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AD2E0A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870E4">
              <w:rPr>
                <w:rFonts w:ascii="Times New Roman" w:hAnsi="Times New Roman" w:cs="Times New Roman"/>
                <w:b/>
                <w:color w:val="auto"/>
                <w:sz w:val="48"/>
              </w:rPr>
              <w:t>Joanna Lea Edwards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526D7A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5870E4">
              <w:rPr>
                <w:rFonts w:ascii="Times New Roman" w:hAnsi="Times New Roman" w:cs="Times New Roman"/>
                <w:b/>
                <w:color w:val="auto"/>
                <w:sz w:val="48"/>
              </w:rPr>
              <w:t>jedwards@carmarthenshire.gov.uk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2AB3E07" w14:textId="77777777" w:rsidR="005B7459" w:rsidRDefault="0085230E" w:rsidP="005D3F07">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B7459" w:rsidRPr="005B7459">
              <w:rPr>
                <w:rFonts w:ascii="Times New Roman" w:eastAsiaTheme="minorHAnsi" w:hAnsi="Times New Roman" w:cs="Times New Roman"/>
                <w:b/>
                <w:color w:val="auto"/>
                <w:sz w:val="48"/>
                <w:szCs w:val="24"/>
                <w:lang w:eastAsia="en-US"/>
              </w:rPr>
              <w:t xml:space="preserve"> </w:t>
            </w:r>
          </w:p>
          <w:p w14:paraId="0DE696B2" w14:textId="00BECC2B" w:rsidR="00F927A1" w:rsidRPr="005D3F07" w:rsidRDefault="005B7459" w:rsidP="005D3F07">
            <w:pPr>
              <w:overflowPunct/>
              <w:autoSpaceDE/>
              <w:autoSpaceDN/>
              <w:adjustRightInd/>
              <w:ind w:right="-957"/>
              <w:textAlignment w:val="auto"/>
              <w:rPr>
                <w:rFonts w:ascii="Times New Roman" w:hAnsi="Times New Roman" w:cs="Times New Roman"/>
                <w:b/>
                <w:color w:val="auto"/>
                <w:sz w:val="48"/>
              </w:rPr>
            </w:pPr>
            <w:r w:rsidRPr="005B7459">
              <w:rPr>
                <w:rFonts w:ascii="Times New Roman" w:hAnsi="Times New Roman" w:cs="Times New Roman"/>
                <w:b/>
                <w:color w:val="auto"/>
                <w:sz w:val="48"/>
              </w:rPr>
              <w:t>2433084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7FB57A65" w14:textId="77777777" w:rsidR="00860E3B" w:rsidRDefault="00860E3B" w:rsidP="00FF7EBB">
            <w:pPr>
              <w:jc w:val="both"/>
              <w:rPr>
                <w:sz w:val="24"/>
                <w:szCs w:val="24"/>
              </w:rPr>
            </w:pPr>
          </w:p>
          <w:p w14:paraId="67DFC87D" w14:textId="77777777" w:rsidR="00860E3B" w:rsidRDefault="00860E3B" w:rsidP="00FF7EBB">
            <w:pPr>
              <w:jc w:val="both"/>
              <w:rPr>
                <w:sz w:val="24"/>
                <w:szCs w:val="24"/>
              </w:rPr>
            </w:pPr>
          </w:p>
          <w:p w14:paraId="0A267E88" w14:textId="0025CC2F" w:rsidR="00860E3B" w:rsidRPr="00860E3B" w:rsidRDefault="00860E3B" w:rsidP="00860E3B">
            <w:pPr>
              <w:overflowPunct/>
              <w:autoSpaceDE/>
              <w:autoSpaceDN/>
              <w:adjustRightInd/>
              <w:spacing w:before="100" w:beforeAutospacing="1" w:after="100" w:afterAutospacing="1"/>
              <w:textAlignment w:val="auto"/>
              <w:rPr>
                <w:rFonts w:ascii="Calibri" w:hAnsi="Calibri" w:cs="Calibri"/>
                <w:color w:val="auto"/>
                <w:sz w:val="24"/>
                <w:szCs w:val="24"/>
              </w:rPr>
            </w:pPr>
            <w:r w:rsidRPr="00860E3B">
              <w:rPr>
                <w:rFonts w:ascii="Calibri" w:hAnsi="Calibri" w:cs="Calibri"/>
                <w:color w:val="auto"/>
                <w:sz w:val="24"/>
                <w:szCs w:val="24"/>
              </w:rPr>
              <w:t xml:space="preserve">My primary area of practice is safeguarding children, and this assignment will demonstrate a clear understanding of adult safeguarding in Wales. The key legislative framework for adult safeguarding in Wales is the </w:t>
            </w:r>
            <w:r w:rsidR="00AA7B1B">
              <w:rPr>
                <w:rFonts w:ascii="Calibri" w:hAnsi="Calibri" w:cs="Calibri"/>
                <w:color w:val="auto"/>
                <w:sz w:val="24"/>
                <w:szCs w:val="24"/>
              </w:rPr>
              <w:t xml:space="preserve">Part 7 of </w:t>
            </w:r>
            <w:r w:rsidRPr="00860E3B">
              <w:rPr>
                <w:rFonts w:ascii="Calibri" w:hAnsi="Calibri" w:cs="Calibri"/>
                <w:color w:val="auto"/>
                <w:sz w:val="24"/>
                <w:szCs w:val="24"/>
              </w:rPr>
              <w:t xml:space="preserve">Social Services and Well-being (Wales) Act 2014 (SSWB(W)A 2014). The SSWB(W)A places a duty on local authorities to promote the wellbeing of adults who require care and support and to protect adults who may be at risk of abuse or neglect. Under Part 3, Section 19, local authorities must consider whether an adult needs an assessment of their care and support needs. This process must determine whether the adult meets the eligibility criteria for care and support, would benefit from preventative services, or requires information or advice in accordance with Part 4 of the Act. </w:t>
            </w:r>
          </w:p>
          <w:p w14:paraId="01D0DB69" w14:textId="77777777" w:rsidR="00860E3B" w:rsidRPr="00860E3B" w:rsidRDefault="00860E3B" w:rsidP="00860E3B">
            <w:pPr>
              <w:overflowPunct/>
              <w:autoSpaceDE/>
              <w:autoSpaceDN/>
              <w:adjustRightInd/>
              <w:spacing w:before="100" w:beforeAutospacing="1" w:after="100" w:afterAutospacing="1"/>
              <w:textAlignment w:val="auto"/>
              <w:rPr>
                <w:rFonts w:ascii="Calibri" w:hAnsi="Calibri" w:cs="Calibri"/>
                <w:color w:val="auto"/>
                <w:sz w:val="24"/>
                <w:szCs w:val="24"/>
              </w:rPr>
            </w:pPr>
            <w:r w:rsidRPr="00860E3B">
              <w:rPr>
                <w:rFonts w:ascii="Calibri" w:hAnsi="Calibri" w:cs="Calibri"/>
                <w:color w:val="auto"/>
                <w:sz w:val="24"/>
                <w:szCs w:val="24"/>
              </w:rPr>
              <w:t xml:space="preserve">The Act also defines an adult at risk as someone who may be experiencing or is at risk of abuse or neglect, has needs for care and support, and is unable to protect themselves because of those needs. Under Section 126 of SSW(W)A, professionals have a duty to report adults at risk of harm, and as a children’s social worker, I have had to make such a referral when concerns arose about an adult’s welfare. This involved a parent who was abusing substances being potentially financially exploited by a neighbour. This experience highlighted the importance of multi-agency collaboration and the need to balance safeguarding with respect for the adult’s rights and autonomy. </w:t>
            </w:r>
          </w:p>
          <w:p w14:paraId="447E00DE" w14:textId="77777777" w:rsidR="00860E3B" w:rsidRPr="00860E3B" w:rsidRDefault="00860E3B" w:rsidP="00860E3B">
            <w:pPr>
              <w:overflowPunct/>
              <w:autoSpaceDE/>
              <w:autoSpaceDN/>
              <w:adjustRightInd/>
              <w:spacing w:before="100" w:beforeAutospacing="1" w:after="100" w:afterAutospacing="1"/>
              <w:textAlignment w:val="auto"/>
              <w:rPr>
                <w:rFonts w:ascii="Calibri" w:hAnsi="Calibri" w:cs="Calibri"/>
                <w:color w:val="auto"/>
                <w:sz w:val="24"/>
                <w:szCs w:val="24"/>
              </w:rPr>
            </w:pPr>
            <w:r w:rsidRPr="00860E3B">
              <w:rPr>
                <w:rFonts w:ascii="Calibri" w:hAnsi="Calibri" w:cs="Calibri"/>
                <w:color w:val="auto"/>
                <w:sz w:val="24"/>
                <w:szCs w:val="24"/>
              </w:rPr>
              <w:t xml:space="preserve">National guidance is provided through the Wales Safeguarding Procedures (2019), which set out roles and responsibilities for professionals working with adults at risk. These procedures provide an all-Wales framework for identifying concerns, reporting and responding, undertaking enquiries, prevention support and information sharing. It emphasises partnership working with the adult, </w:t>
            </w:r>
            <w:r w:rsidRPr="00860E3B">
              <w:rPr>
                <w:rFonts w:ascii="Calibri" w:hAnsi="Calibri" w:cs="Calibri"/>
                <w:color w:val="auto"/>
                <w:sz w:val="24"/>
                <w:szCs w:val="24"/>
              </w:rPr>
              <w:lastRenderedPageBreak/>
              <w:t>listening to their views and wishes, consider beliefs and culture, and achieving outcomes that matter to them, while balancing protection with respect for individual rights (Welsh Government, 2019).</w:t>
            </w:r>
          </w:p>
          <w:p w14:paraId="30F4278F" w14:textId="77777777" w:rsidR="00860E3B" w:rsidRPr="00860E3B" w:rsidRDefault="00860E3B" w:rsidP="00860E3B">
            <w:pPr>
              <w:overflowPunct/>
              <w:autoSpaceDE/>
              <w:autoSpaceDN/>
              <w:adjustRightInd/>
              <w:spacing w:before="100" w:beforeAutospacing="1" w:after="100" w:afterAutospacing="1"/>
              <w:textAlignment w:val="auto"/>
              <w:rPr>
                <w:rFonts w:ascii="Calibri" w:hAnsi="Calibri" w:cs="Calibri"/>
                <w:color w:val="auto"/>
                <w:sz w:val="24"/>
                <w:szCs w:val="24"/>
              </w:rPr>
            </w:pPr>
            <w:r w:rsidRPr="00860E3B">
              <w:rPr>
                <w:rFonts w:ascii="Calibri" w:hAnsi="Calibri" w:cs="Calibri"/>
                <w:color w:val="auto"/>
                <w:sz w:val="24"/>
                <w:szCs w:val="24"/>
              </w:rPr>
              <w:t xml:space="preserve">National guidance is also provided through Working Together to Safeguard People: Volume 2 Adults at Risk (Welsh Government, 2014), which outlines the responsibilities of local authorities and other agencies in safeguarding adults. This guidance emphasises a multi-agency approach to recognising abuse, making referrals, undertaking enquiries, and supporting adults at risk, while promoting their rights and wellbeing. </w:t>
            </w:r>
          </w:p>
          <w:p w14:paraId="219E5A70" w14:textId="77777777" w:rsidR="00860E3B" w:rsidRPr="00860E3B" w:rsidRDefault="00860E3B" w:rsidP="00860E3B">
            <w:pPr>
              <w:overflowPunct/>
              <w:autoSpaceDE/>
              <w:autoSpaceDN/>
              <w:adjustRightInd/>
              <w:spacing w:before="100" w:beforeAutospacing="1" w:after="100" w:afterAutospacing="1"/>
              <w:textAlignment w:val="auto"/>
              <w:rPr>
                <w:rFonts w:ascii="Calibri" w:hAnsi="Calibri" w:cs="Calibri"/>
                <w:color w:val="auto"/>
                <w:sz w:val="24"/>
                <w:szCs w:val="24"/>
              </w:rPr>
            </w:pPr>
            <w:r w:rsidRPr="00860E3B">
              <w:rPr>
                <w:rFonts w:ascii="Calibri" w:hAnsi="Calibri" w:cs="Calibri"/>
                <w:color w:val="auto"/>
                <w:sz w:val="24"/>
                <w:szCs w:val="24"/>
              </w:rPr>
              <w:t>The Mental Capacity Act 2005 provides a legal framework for supporting and empowering adults who may lack capacity to make specific decisions and ensuring that any decisions made are in the person’s best interests by involving and supporting them in the decision-making process. When working with adults, it is important to consider legislation such as the Human Rights Act (HRA). Under Article 2 of the Human Rights Act 1998, Local Authorities are required to investigate and protect adults. Article 8 of the Human Rights Act of 1998 protects adult privacy and family life.</w:t>
            </w:r>
          </w:p>
          <w:p w14:paraId="53004B16" w14:textId="77777777" w:rsidR="00860E3B" w:rsidRPr="00860E3B" w:rsidRDefault="00860E3B" w:rsidP="00860E3B">
            <w:pPr>
              <w:overflowPunct/>
              <w:autoSpaceDE/>
              <w:autoSpaceDN/>
              <w:adjustRightInd/>
              <w:spacing w:before="100" w:beforeAutospacing="1" w:after="100" w:afterAutospacing="1"/>
              <w:textAlignment w:val="auto"/>
              <w:rPr>
                <w:rFonts w:ascii="Calibri" w:hAnsi="Calibri" w:cs="Calibri"/>
                <w:color w:val="auto"/>
                <w:sz w:val="24"/>
                <w:szCs w:val="24"/>
              </w:rPr>
            </w:pPr>
            <w:r w:rsidRPr="00860E3B">
              <w:rPr>
                <w:rFonts w:ascii="Calibri" w:hAnsi="Calibri" w:cs="Calibri"/>
                <w:color w:val="auto"/>
                <w:sz w:val="24"/>
                <w:szCs w:val="24"/>
              </w:rPr>
              <w:t>In Wales, Local authorities can also utilise Adult Protection and Support Orders (APSO) under the SSWB(W)A 2014. If approved in Court, these orders enable a local authority to enter an individual’s property to assess or take immediate action to safeguard an adult at risk when access is denied. This demonstrates the balance the law seeks between protecting adults and respecting individual rights (Welsh Government, 2014).</w:t>
            </w:r>
          </w:p>
          <w:p w14:paraId="25AFF367" w14:textId="77777777" w:rsidR="00860E3B" w:rsidRDefault="00860E3B" w:rsidP="00FF7EBB">
            <w:pPr>
              <w:jc w:val="both"/>
              <w:rPr>
                <w:sz w:val="24"/>
                <w:szCs w:val="24"/>
              </w:rPr>
            </w:pPr>
          </w:p>
          <w:p w14:paraId="1BB8FBF5" w14:textId="3D4127EA" w:rsidR="00A93EE5" w:rsidRDefault="00A93EE5" w:rsidP="00FF7EBB">
            <w:pPr>
              <w:jc w:val="both"/>
              <w:rPr>
                <w:sz w:val="24"/>
                <w:szCs w:val="24"/>
              </w:rPr>
            </w:pPr>
            <w:r>
              <w:rPr>
                <w:sz w:val="24"/>
                <w:szCs w:val="24"/>
              </w:rPr>
              <w:t>Word count: 530</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220AFF94" w14:textId="77777777" w:rsidR="007B4FE9" w:rsidRPr="007B4FE9" w:rsidRDefault="007B4FE9" w:rsidP="007B4FE9">
            <w:pPr>
              <w:overflowPunct/>
              <w:autoSpaceDE/>
              <w:autoSpaceDN/>
              <w:adjustRightInd/>
              <w:spacing w:before="100" w:beforeAutospacing="1" w:after="100" w:afterAutospacing="1"/>
              <w:textAlignment w:val="auto"/>
              <w:rPr>
                <w:rFonts w:ascii="Calibri" w:hAnsi="Calibri" w:cs="Calibri"/>
                <w:color w:val="auto"/>
                <w:sz w:val="24"/>
                <w:szCs w:val="24"/>
              </w:rPr>
            </w:pPr>
            <w:r w:rsidRPr="007B4FE9">
              <w:rPr>
                <w:rFonts w:ascii="Calibri" w:hAnsi="Calibri" w:cs="Calibri"/>
                <w:color w:val="auto"/>
                <w:sz w:val="24"/>
                <w:szCs w:val="24"/>
              </w:rPr>
              <w:t>Working within children’s services has provided me with a strong foundation in safeguarding practice, however, reflecting on adult safeguarding highlights key differences in legal frameworks, thresholds for intervention, and the role of autonomy and consent. While both share the core aim of preventing harm, the approach and emphasis differ.</w:t>
            </w:r>
          </w:p>
          <w:p w14:paraId="1AFB8ECF" w14:textId="77777777" w:rsidR="007B4FE9" w:rsidRPr="007B4FE9" w:rsidRDefault="007B4FE9" w:rsidP="007B4FE9">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7B4FE9">
              <w:rPr>
                <w:rFonts w:ascii="Calibri" w:eastAsia="Aptos" w:hAnsi="Calibri" w:cs="Calibri"/>
                <w:color w:val="auto"/>
                <w:kern w:val="2"/>
                <w:sz w:val="24"/>
                <w:szCs w:val="24"/>
                <w:lang w:eastAsia="en-US"/>
                <w14:ligatures w14:val="standardContextual"/>
              </w:rPr>
              <w:t>The approach to decision-making and capacity is a significant difference between adult and child protection practices. Children are not legally considered capable of making independent decisions in child safeguarding, and professionals have a duty to intervene when there are concerns of abuse or neglect. The child's welfare is paramount, and statutory action can be taken regardless of parental or child consent to prevent the child from experiencing significant harm (HM Government, 2018).</w:t>
            </w:r>
          </w:p>
          <w:p w14:paraId="3FA25DF6" w14:textId="77777777" w:rsidR="007B4FE9" w:rsidRPr="007B4FE9" w:rsidRDefault="007B4FE9" w:rsidP="007B4FE9">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7B4FE9">
              <w:rPr>
                <w:rFonts w:ascii="Calibri" w:eastAsia="Aptos" w:hAnsi="Calibri" w:cs="Calibri"/>
                <w:color w:val="auto"/>
                <w:kern w:val="2"/>
                <w:sz w:val="24"/>
                <w:szCs w:val="24"/>
                <w:lang w:eastAsia="en-US"/>
                <w14:ligatures w14:val="standardContextual"/>
              </w:rPr>
              <w:t>Adult safeguarding, on the other hand, is based on the Mental Capacity Act of 2005's presumption that people have capacity unless otherwise assessed. Practitioners must respect an adult's right to make decisions, even if such actions carry risks.</w:t>
            </w:r>
            <w:r w:rsidRPr="007B4FE9">
              <w:rPr>
                <w:rFonts w:ascii="Calibri" w:hAnsi="Calibri" w:cs="Calibri"/>
                <w:color w:val="auto"/>
                <w:sz w:val="24"/>
                <w:szCs w:val="24"/>
              </w:rPr>
              <w:t xml:space="preserve"> </w:t>
            </w:r>
            <w:r w:rsidRPr="007B4FE9">
              <w:rPr>
                <w:rFonts w:ascii="Calibri" w:eastAsia="Aptos" w:hAnsi="Calibri" w:cs="Calibri"/>
                <w:color w:val="auto"/>
                <w:kern w:val="2"/>
                <w:sz w:val="24"/>
                <w:szCs w:val="24"/>
                <w:lang w:eastAsia="en-US"/>
                <w14:ligatures w14:val="standardContextual"/>
              </w:rPr>
              <w:t xml:space="preserve">For example, if an individual with physical health </w:t>
            </w:r>
            <w:r w:rsidRPr="007B4FE9">
              <w:rPr>
                <w:rFonts w:ascii="Calibri" w:eastAsia="Aptos" w:hAnsi="Calibri" w:cs="Calibri"/>
                <w:color w:val="auto"/>
                <w:kern w:val="2"/>
                <w:sz w:val="24"/>
                <w:szCs w:val="24"/>
                <w:lang w:eastAsia="en-US"/>
                <w14:ligatures w14:val="standardContextual"/>
              </w:rPr>
              <w:lastRenderedPageBreak/>
              <w:t>issues chooses to live alone without support and can understand, retain, as well as convey their decision, they are regarded to have capacity. Instead of enforcing intervention, safeguarding responses aim to enable informed choice and risk management (Welsh Government, 2019).</w:t>
            </w:r>
          </w:p>
          <w:p w14:paraId="52FB7A23" w14:textId="77777777" w:rsidR="007B4FE9" w:rsidRPr="007B4FE9" w:rsidRDefault="007B4FE9" w:rsidP="007B4FE9">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7B4FE9">
              <w:rPr>
                <w:rFonts w:ascii="Calibri" w:eastAsia="Aptos" w:hAnsi="Calibri" w:cs="Calibri"/>
                <w:color w:val="auto"/>
                <w:kern w:val="2"/>
                <w:sz w:val="24"/>
                <w:szCs w:val="24"/>
                <w:lang w:eastAsia="en-US"/>
                <w14:ligatures w14:val="standardContextual"/>
              </w:rPr>
              <w:t xml:space="preserve">However, when an adult lacks capacity, safeguarding measures become more protective. An example of this is an individual with additional needs who may be unable to recognise the dangers of providing money to a friend who is financially exploiting them. In such circumstances, professionals must act in the adult's best interests by undertaking enquiries and consider legal protections to safeguard the individual and prevent additional harm (Mental Capacity Act 2005). This </w:t>
            </w:r>
            <w:proofErr w:type="gramStart"/>
            <w:r w:rsidRPr="007B4FE9">
              <w:rPr>
                <w:rFonts w:ascii="Calibri" w:eastAsia="Aptos" w:hAnsi="Calibri" w:cs="Calibri"/>
                <w:color w:val="auto"/>
                <w:kern w:val="2"/>
                <w:sz w:val="24"/>
                <w:szCs w:val="24"/>
                <w:lang w:eastAsia="en-US"/>
                <w14:ligatures w14:val="standardContextual"/>
              </w:rPr>
              <w:t>is in contrast to</w:t>
            </w:r>
            <w:proofErr w:type="gramEnd"/>
            <w:r w:rsidRPr="007B4FE9">
              <w:rPr>
                <w:rFonts w:ascii="Calibri" w:eastAsia="Aptos" w:hAnsi="Calibri" w:cs="Calibri"/>
                <w:color w:val="auto"/>
                <w:kern w:val="2"/>
                <w:sz w:val="24"/>
                <w:szCs w:val="24"/>
                <w:lang w:eastAsia="en-US"/>
                <w14:ligatures w14:val="standardContextual"/>
              </w:rPr>
              <w:t xml:space="preserve"> children's safeguarding, where capacity is not a deciding factor.</w:t>
            </w:r>
          </w:p>
          <w:p w14:paraId="14896D67" w14:textId="77777777" w:rsidR="007B4FE9" w:rsidRPr="007B4FE9" w:rsidRDefault="007B4FE9" w:rsidP="007B4FE9">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7B4FE9">
              <w:rPr>
                <w:rFonts w:ascii="Calibri" w:eastAsia="Aptos" w:hAnsi="Calibri" w:cs="Calibri"/>
                <w:color w:val="auto"/>
                <w:kern w:val="2"/>
                <w:sz w:val="24"/>
                <w:szCs w:val="24"/>
                <w:lang w:eastAsia="en-US"/>
                <w14:ligatures w14:val="standardContextual"/>
              </w:rPr>
              <w:t>Another difference lies in statutory thresholds and processes. In children’s safeguarding, there is a more structured process such as child protection procedures, including conferences and child protection plans. Adult safeguarding, guided by the Social Services and Well-being (Wales) Act 2014 and the Wales Safeguarding Procedures (2019), places greater emphasis on partnership working, and outcomes that matter to the adult. My experience as a children’s social worker reporting an adult at risk under statutory duties reinforced the importance of balancing protection with respect for autonomy.</w:t>
            </w:r>
          </w:p>
          <w:p w14:paraId="7736D657" w14:textId="77777777" w:rsidR="007B4FE9" w:rsidRPr="007B4FE9" w:rsidRDefault="007B4FE9" w:rsidP="007B4FE9">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r w:rsidRPr="007B4FE9">
              <w:rPr>
                <w:rFonts w:ascii="Calibri" w:eastAsia="Aptos" w:hAnsi="Calibri" w:cs="Calibri"/>
                <w:color w:val="auto"/>
                <w:kern w:val="2"/>
                <w:sz w:val="24"/>
                <w:szCs w:val="24"/>
                <w:lang w:eastAsia="en-US"/>
                <w14:ligatures w14:val="standardContextual"/>
              </w:rPr>
              <w:t>There are circumstances where safeguarding responsibilities may take precedence over an adult’s expressed wishes, even when the adult has been assessed as having capacity. This may occur where there is a significant risk of serious harm or death, or where the individual presents a danger to others (Welsh Government, 2019).</w:t>
            </w:r>
          </w:p>
          <w:p w14:paraId="0DC9C437" w14:textId="77777777" w:rsidR="007B4FE9" w:rsidRPr="007B4FE9" w:rsidRDefault="007B4FE9" w:rsidP="007B4FE9">
            <w:pPr>
              <w:overflowPunct/>
              <w:autoSpaceDE/>
              <w:autoSpaceDN/>
              <w:adjustRightInd/>
              <w:spacing w:after="160" w:line="278" w:lineRule="auto"/>
              <w:textAlignment w:val="auto"/>
              <w:rPr>
                <w:rFonts w:ascii="Calibri" w:eastAsia="Aptos" w:hAnsi="Calibri" w:cs="Calibri"/>
                <w:color w:val="auto"/>
                <w:kern w:val="2"/>
                <w:sz w:val="24"/>
                <w:szCs w:val="24"/>
                <w:lang w:eastAsia="en-US"/>
                <w14:ligatures w14:val="standardContextual"/>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3BB949F3" w:rsidR="00FC0334" w:rsidRDefault="009708B8" w:rsidP="00FC0334">
            <w:pPr>
              <w:jc w:val="both"/>
              <w:rPr>
                <w:sz w:val="24"/>
                <w:szCs w:val="24"/>
              </w:rPr>
            </w:pPr>
            <w:r>
              <w:rPr>
                <w:sz w:val="24"/>
                <w:szCs w:val="24"/>
              </w:rPr>
              <w:t>Word count: 425</w:t>
            </w: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FBF71" w14:textId="77777777" w:rsidR="008371A7" w:rsidRDefault="008371A7">
      <w:r>
        <w:separator/>
      </w:r>
    </w:p>
  </w:endnote>
  <w:endnote w:type="continuationSeparator" w:id="0">
    <w:p w14:paraId="0EC4445F" w14:textId="77777777" w:rsidR="008371A7" w:rsidRDefault="008371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45917" w14:textId="77777777" w:rsidR="008371A7" w:rsidRDefault="008371A7">
      <w:r>
        <w:separator/>
      </w:r>
    </w:p>
  </w:footnote>
  <w:footnote w:type="continuationSeparator" w:id="0">
    <w:p w14:paraId="1BF69B2D" w14:textId="77777777" w:rsidR="008371A7" w:rsidRDefault="008371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16D8"/>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0722B"/>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61F"/>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3986"/>
    <w:rsid w:val="00540EEC"/>
    <w:rsid w:val="005414F4"/>
    <w:rsid w:val="00541F63"/>
    <w:rsid w:val="00546187"/>
    <w:rsid w:val="00547B11"/>
    <w:rsid w:val="00557D77"/>
    <w:rsid w:val="00562EAA"/>
    <w:rsid w:val="00563B58"/>
    <w:rsid w:val="005640C4"/>
    <w:rsid w:val="0056684C"/>
    <w:rsid w:val="00574A0C"/>
    <w:rsid w:val="0057780F"/>
    <w:rsid w:val="00581E0A"/>
    <w:rsid w:val="00586D89"/>
    <w:rsid w:val="005870E4"/>
    <w:rsid w:val="005877C8"/>
    <w:rsid w:val="00587923"/>
    <w:rsid w:val="00594F9F"/>
    <w:rsid w:val="005A1B4C"/>
    <w:rsid w:val="005A545C"/>
    <w:rsid w:val="005B271A"/>
    <w:rsid w:val="005B3A2D"/>
    <w:rsid w:val="005B7459"/>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4FE9"/>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1A7"/>
    <w:rsid w:val="00841F9D"/>
    <w:rsid w:val="008420E1"/>
    <w:rsid w:val="00844D98"/>
    <w:rsid w:val="00846D84"/>
    <w:rsid w:val="00850233"/>
    <w:rsid w:val="0085230E"/>
    <w:rsid w:val="008550A1"/>
    <w:rsid w:val="00860E3B"/>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08B8"/>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3EE5"/>
    <w:rsid w:val="00A94C5E"/>
    <w:rsid w:val="00AA252C"/>
    <w:rsid w:val="00AA666E"/>
    <w:rsid w:val="00AA7960"/>
    <w:rsid w:val="00AA7B1B"/>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07581"/>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30E"/>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57B0"/>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0" ma:contentTypeDescription="Create a new document." ma:contentTypeScope="" ma:versionID="8d5a848ef5d27816fe269437ddd2afa1">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2B6C5E-9F84-4745-898A-0AC9F5F8A0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FC9FA838-FF53-43A4-B981-FA240C22B4C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4505</TotalTime>
  <Pages>4</Pages>
  <Words>1164</Words>
  <Characters>6533</Characters>
  <Application>Microsoft Office Word</Application>
  <DocSecurity>0</DocSecurity>
  <Lines>137</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Joanna Edwards</cp:lastModifiedBy>
  <cp:revision>15</cp:revision>
  <cp:lastPrinted>2020-02-11T19:20:00Z</cp:lastPrinted>
  <dcterms:created xsi:type="dcterms:W3CDTF">2022-09-29T11:35:00Z</dcterms:created>
  <dcterms:modified xsi:type="dcterms:W3CDTF">2026-02-09T12:41:00Z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