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09BB746" wp14:paraId="013BDF64" wp14:textId="348206E7">
      <w:pPr>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DA908D0">
        <w:rPr>
          <w:rFonts w:ascii="Arial" w:hAnsi="Arial" w:eastAsia="Arial" w:cs="Arial"/>
          <w:b w:val="0"/>
          <w:bCs w:val="0"/>
          <w:i w:val="0"/>
          <w:iCs w:val="0"/>
          <w:caps w:val="0"/>
          <w:smallCaps w:val="0"/>
          <w:noProof w:val="0"/>
          <w:color w:val="000000" w:themeColor="text1" w:themeTint="FF" w:themeShade="FF"/>
          <w:sz w:val="24"/>
          <w:szCs w:val="24"/>
          <w:lang w:val="en-US"/>
        </w:rPr>
        <w:t>Equality and diversity stand as foundational principles within the legal profession, shaping the character of legal practitioners and the integrity and accessibility of legal services.</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In a society that is increasingly diverse, the legal profession's commitment to inclusivity is paramount to fostering trust and ensuring </w:t>
      </w:r>
      <w:r w:rsidRPr="509BB746" w:rsidR="5F0EAF43">
        <w:rPr>
          <w:rFonts w:ascii="Arial" w:hAnsi="Arial" w:eastAsia="Arial" w:cs="Arial"/>
          <w:b w:val="0"/>
          <w:bCs w:val="0"/>
          <w:i w:val="0"/>
          <w:iCs w:val="0"/>
          <w:caps w:val="0"/>
          <w:smallCaps w:val="0"/>
          <w:noProof w:val="0"/>
          <w:color w:val="000000" w:themeColor="text1" w:themeTint="FF" w:themeShade="FF"/>
          <w:sz w:val="24"/>
          <w:szCs w:val="24"/>
          <w:lang w:val="en-US"/>
        </w:rPr>
        <w:t>fair</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access to justice. This assignment explores how both individual legal professionals and regulatory bodies, such as the Solicitors Regulation Authority (SRA), Bar Standards Board (BSB), and Chartered Institute of Legal Executives (CILEX) Regulation, collaborate to promote equality and diversity within the legal sphere.</w:t>
      </w:r>
    </w:p>
    <w:p xmlns:wp14="http://schemas.microsoft.com/office/word/2010/wordml" w:rsidP="509BB746" wp14:paraId="4D7C1DDE" wp14:textId="10B4C99D">
      <w:pPr>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The legislative framework underpinning these efforts is multifaceted, encompassing the Legal Services Act 2007 and the Equality Act 2010. These statutes not only </w:t>
      </w:r>
      <w:r w:rsidRPr="509BB746" w:rsidR="61B6ABC6">
        <w:rPr>
          <w:rFonts w:ascii="Arial" w:hAnsi="Arial" w:eastAsia="Arial" w:cs="Arial"/>
          <w:b w:val="0"/>
          <w:bCs w:val="0"/>
          <w:i w:val="0"/>
          <w:iCs w:val="0"/>
          <w:caps w:val="0"/>
          <w:smallCaps w:val="0"/>
          <w:noProof w:val="0"/>
          <w:color w:val="000000" w:themeColor="text1" w:themeTint="FF" w:themeShade="FF"/>
          <w:sz w:val="24"/>
          <w:szCs w:val="24"/>
          <w:lang w:val="en-US"/>
        </w:rPr>
        <w:t>supply</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a legal foundation for the governance of legal services but also articulate a commitment to </w:t>
      </w:r>
      <w:r w:rsidRPr="509BB746" w:rsidR="56238B01">
        <w:rPr>
          <w:rFonts w:ascii="Arial" w:hAnsi="Arial" w:eastAsia="Arial" w:cs="Arial"/>
          <w:b w:val="0"/>
          <w:bCs w:val="0"/>
          <w:i w:val="0"/>
          <w:iCs w:val="0"/>
          <w:caps w:val="0"/>
          <w:smallCaps w:val="0"/>
          <w:noProof w:val="0"/>
          <w:color w:val="000000" w:themeColor="text1" w:themeTint="FF" w:themeShade="FF"/>
          <w:sz w:val="24"/>
          <w:szCs w:val="24"/>
          <w:lang w:val="en-US"/>
        </w:rPr>
        <w:t>ending</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discrimination and advancing equal opportunities within the profession. Additionally, the legal landscape is further shaped by the professional codes of conduct set forth by regulatory bodies, including the SRA Code of Conduct, the BSB Handbook, and the CILEX Code of Conduct. Each of these documents delineates ethical responsibilities that legal practitioners must uphold, with specific attention to fostering a diverse and inclusive legal environment.</w:t>
      </w:r>
    </w:p>
    <w:p xmlns:wp14="http://schemas.microsoft.com/office/word/2010/wordml" w:rsidP="509BB746" wp14:paraId="312EC8C4" wp14:textId="6336B00B">
      <w:pPr>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As we delve into the intricacies of these regulatory frameworks, it becomes </w:t>
      </w:r>
      <w:r w:rsidRPr="509BB746" w:rsidR="0FAF5715">
        <w:rPr>
          <w:rFonts w:ascii="Arial" w:hAnsi="Arial" w:eastAsia="Arial" w:cs="Arial"/>
          <w:b w:val="0"/>
          <w:bCs w:val="0"/>
          <w:i w:val="0"/>
          <w:iCs w:val="0"/>
          <w:caps w:val="0"/>
          <w:smallCaps w:val="0"/>
          <w:noProof w:val="0"/>
          <w:color w:val="000000" w:themeColor="text1" w:themeTint="FF" w:themeShade="FF"/>
          <w:sz w:val="24"/>
          <w:szCs w:val="24"/>
          <w:lang w:val="en-US"/>
        </w:rPr>
        <w:t>clear</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that they not only serve as guidelines but also as catalysts for change. Legal practitioners, bound by ethical imperatives, actively contribute to initiatives and programs aimed at dismantling barriers and championing diversity. </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However, the road to inclusivity is not without challenges, and criticisms persist.</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This assignment </w:t>
      </w:r>
      <w:r w:rsidRPr="509BB746" w:rsidR="6824570F">
        <w:rPr>
          <w:rFonts w:ascii="Arial" w:hAnsi="Arial" w:eastAsia="Arial" w:cs="Arial"/>
          <w:b w:val="0"/>
          <w:bCs w:val="0"/>
          <w:i w:val="0"/>
          <w:iCs w:val="0"/>
          <w:caps w:val="0"/>
          <w:smallCaps w:val="0"/>
          <w:noProof w:val="0"/>
          <w:color w:val="000000" w:themeColor="text1" w:themeTint="FF" w:themeShade="FF"/>
          <w:sz w:val="24"/>
          <w:szCs w:val="24"/>
          <w:lang w:val="en-US"/>
        </w:rPr>
        <w:t>looks</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to navigate these complexities, analyzing the successes and shortcomings of current regulatory mechanisms, </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and ultimately, projecting</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the future trajectory of equality and diversity in the legal profession.</w:t>
      </w:r>
    </w:p>
    <w:p xmlns:wp14="http://schemas.microsoft.com/office/word/2010/wordml" w:rsidP="509BB746" wp14:paraId="69223641" wp14:textId="5BB8C5C9">
      <w:pPr>
        <w:spacing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By examining the collaborative efforts of individuals and regulatory bodies, scrutinizing the legal frameworks in place, and assessing the impact of these initiatives, this assignment aims to </w:t>
      </w:r>
      <w:r w:rsidRPr="509BB746" w:rsidR="2DA71834">
        <w:rPr>
          <w:rFonts w:ascii="Arial" w:hAnsi="Arial" w:eastAsia="Arial" w:cs="Arial"/>
          <w:b w:val="0"/>
          <w:bCs w:val="0"/>
          <w:i w:val="0"/>
          <w:iCs w:val="0"/>
          <w:caps w:val="0"/>
          <w:smallCaps w:val="0"/>
          <w:noProof w:val="0"/>
          <w:color w:val="000000" w:themeColor="text1" w:themeTint="FF" w:themeShade="FF"/>
          <w:sz w:val="24"/>
          <w:szCs w:val="24"/>
          <w:lang w:val="en-US"/>
        </w:rPr>
        <w:t>supply</w:t>
      </w:r>
      <w:r w:rsidRPr="509BB746" w:rsidR="70CA819A">
        <w:rPr>
          <w:rFonts w:ascii="Arial" w:hAnsi="Arial" w:eastAsia="Arial" w:cs="Arial"/>
          <w:b w:val="0"/>
          <w:bCs w:val="0"/>
          <w:i w:val="0"/>
          <w:iCs w:val="0"/>
          <w:caps w:val="0"/>
          <w:smallCaps w:val="0"/>
          <w:noProof w:val="0"/>
          <w:color w:val="000000" w:themeColor="text1" w:themeTint="FF" w:themeShade="FF"/>
          <w:sz w:val="24"/>
          <w:szCs w:val="24"/>
          <w:lang w:val="en-US"/>
        </w:rPr>
        <w:t xml:space="preserve"> a comprehensive understanding of how equality and diversity are actively promoted within the legal profession and in the provision of legal services.</w:t>
      </w:r>
    </w:p>
    <w:p xmlns:wp14="http://schemas.microsoft.com/office/word/2010/wordml" w:rsidP="509BB746" wp14:paraId="435E3918" wp14:textId="42742E5B">
      <w:pPr>
        <w:pStyle w:val="Normal"/>
        <w:spacing w:after="0" w:afterAutospacing="off"/>
        <w:rPr>
          <w:rFonts w:ascii="Arial" w:hAnsi="Arial" w:eastAsia="Arial" w:cs="Arial"/>
          <w:b w:val="1"/>
          <w:bCs w:val="1"/>
          <w:i w:val="1"/>
          <w:iCs w:val="1"/>
          <w:caps w:val="0"/>
          <w:smallCaps w:val="0"/>
          <w:noProof w:val="0"/>
          <w:color w:val="auto"/>
          <w:sz w:val="28"/>
          <w:szCs w:val="28"/>
          <w:lang w:val="en-US"/>
        </w:rPr>
      </w:pPr>
      <w:r w:rsidRPr="509BB746" w:rsidR="41E605D1">
        <w:rPr>
          <w:rFonts w:ascii="Arial" w:hAnsi="Arial" w:eastAsia="Arial" w:cs="Arial"/>
          <w:b w:val="1"/>
          <w:bCs w:val="1"/>
          <w:i w:val="1"/>
          <w:iCs w:val="1"/>
          <w:caps w:val="0"/>
          <w:smallCaps w:val="0"/>
          <w:noProof w:val="0"/>
          <w:color w:val="auto"/>
          <w:sz w:val="28"/>
          <w:szCs w:val="28"/>
          <w:lang w:val="en-US"/>
        </w:rPr>
        <w:t>Legal Frameworks and Legislation:</w:t>
      </w:r>
    </w:p>
    <w:p w:rsidR="509BB746" w:rsidP="509BB746" w:rsidRDefault="509BB746" w14:paraId="24ABC0AE" w14:textId="79967C2E">
      <w:pPr>
        <w:pStyle w:val="Normal"/>
        <w:spacing w:after="0" w:afterAutospacing="off"/>
        <w:rPr>
          <w:rFonts w:ascii="Arial" w:hAnsi="Arial" w:eastAsia="Arial" w:cs="Arial"/>
          <w:b w:val="1"/>
          <w:bCs w:val="1"/>
          <w:i w:val="0"/>
          <w:iCs w:val="0"/>
          <w:caps w:val="0"/>
          <w:smallCaps w:val="0"/>
          <w:noProof w:val="0"/>
          <w:color w:val="auto"/>
          <w:sz w:val="24"/>
          <w:szCs w:val="24"/>
          <w:lang w:val="en-US"/>
        </w:rPr>
      </w:pPr>
    </w:p>
    <w:p xmlns:wp14="http://schemas.microsoft.com/office/word/2010/wordml" w:rsidP="509BB746" wp14:paraId="4515834E" wp14:textId="66E6B889">
      <w:pPr>
        <w:spacing w:before="0" w:beforeAutospacing="off"/>
        <w:rPr>
          <w:rFonts w:ascii="Arial" w:hAnsi="Arial" w:eastAsia="Arial" w:cs="Arial"/>
          <w:b w:val="0"/>
          <w:bCs w:val="0"/>
          <w:i w:val="0"/>
          <w:iCs w:val="0"/>
          <w:caps w:val="0"/>
          <w:smallCaps w:val="0"/>
          <w:noProof w:val="0"/>
          <w:color w:val="auto"/>
          <w:sz w:val="24"/>
          <w:szCs w:val="24"/>
          <w:lang w:val="en-US"/>
        </w:rPr>
      </w:pPr>
      <w:r w:rsidRPr="509BB746" w:rsidR="769A96B9">
        <w:rPr>
          <w:rFonts w:ascii="Arial" w:hAnsi="Arial" w:eastAsia="Arial" w:cs="Arial"/>
          <w:b w:val="0"/>
          <w:bCs w:val="0"/>
          <w:i w:val="0"/>
          <w:iCs w:val="0"/>
          <w:caps w:val="0"/>
          <w:smallCaps w:val="0"/>
          <w:noProof w:val="0"/>
          <w:color w:val="auto"/>
          <w:sz w:val="24"/>
          <w:szCs w:val="24"/>
          <w:lang w:val="en-US"/>
        </w:rPr>
        <w:t>The</w:t>
      </w:r>
      <w:r w:rsidRPr="509BB746" w:rsidR="41E605D1">
        <w:rPr>
          <w:rFonts w:ascii="Arial" w:hAnsi="Arial" w:eastAsia="Arial" w:cs="Arial"/>
          <w:b w:val="0"/>
          <w:bCs w:val="0"/>
          <w:i w:val="0"/>
          <w:iCs w:val="0"/>
          <w:caps w:val="0"/>
          <w:smallCaps w:val="0"/>
          <w:noProof w:val="0"/>
          <w:color w:val="auto"/>
          <w:sz w:val="24"/>
          <w:szCs w:val="24"/>
          <w:lang w:val="en-US"/>
        </w:rPr>
        <w:t xml:space="preserve"> legal profession's dedication to equality and diversity relies on a robust legal framework, prominently featuring key legislation such as the </w:t>
      </w:r>
      <w:r w:rsidRPr="509BB746" w:rsidR="41E605D1">
        <w:rPr>
          <w:rFonts w:ascii="Arial" w:hAnsi="Arial" w:eastAsia="Arial" w:cs="Arial"/>
          <w:b w:val="1"/>
          <w:bCs w:val="1"/>
          <w:i w:val="0"/>
          <w:iCs w:val="0"/>
          <w:caps w:val="0"/>
          <w:smallCaps w:val="0"/>
          <w:noProof w:val="0"/>
          <w:color w:val="auto"/>
          <w:sz w:val="24"/>
          <w:szCs w:val="24"/>
          <w:lang w:val="en-US"/>
        </w:rPr>
        <w:t>Legal Services Act 2007</w:t>
      </w:r>
      <w:r w:rsidRPr="509BB746" w:rsidR="41E605D1">
        <w:rPr>
          <w:rFonts w:ascii="Arial" w:hAnsi="Arial" w:eastAsia="Arial" w:cs="Arial"/>
          <w:b w:val="0"/>
          <w:bCs w:val="0"/>
          <w:i w:val="0"/>
          <w:iCs w:val="0"/>
          <w:caps w:val="0"/>
          <w:smallCaps w:val="0"/>
          <w:noProof w:val="0"/>
          <w:color w:val="auto"/>
          <w:sz w:val="24"/>
          <w:szCs w:val="24"/>
          <w:lang w:val="en-US"/>
        </w:rPr>
        <w:t xml:space="preserve"> and the </w:t>
      </w:r>
      <w:r w:rsidRPr="509BB746" w:rsidR="41E605D1">
        <w:rPr>
          <w:rFonts w:ascii="Arial" w:hAnsi="Arial" w:eastAsia="Arial" w:cs="Arial"/>
          <w:b w:val="1"/>
          <w:bCs w:val="1"/>
          <w:i w:val="0"/>
          <w:iCs w:val="0"/>
          <w:caps w:val="0"/>
          <w:smallCaps w:val="0"/>
          <w:noProof w:val="0"/>
          <w:color w:val="auto"/>
          <w:sz w:val="24"/>
          <w:szCs w:val="24"/>
          <w:lang w:val="en-US"/>
        </w:rPr>
        <w:t>Equality Act 2010</w:t>
      </w:r>
      <w:r w:rsidRPr="509BB746" w:rsidR="41E605D1">
        <w:rPr>
          <w:rFonts w:ascii="Arial" w:hAnsi="Arial" w:eastAsia="Arial" w:cs="Arial"/>
          <w:b w:val="0"/>
          <w:bCs w:val="0"/>
          <w:i w:val="0"/>
          <w:iCs w:val="0"/>
          <w:caps w:val="0"/>
          <w:smallCaps w:val="0"/>
          <w:noProof w:val="0"/>
          <w:color w:val="auto"/>
          <w:sz w:val="24"/>
          <w:szCs w:val="24"/>
          <w:lang w:val="en-US"/>
        </w:rPr>
        <w:t xml:space="preserve">. The former, a pivotal piece of legislation, reshaped the regulatory landscape by </w:t>
      </w:r>
      <w:r w:rsidRPr="509BB746" w:rsidR="2FB96550">
        <w:rPr>
          <w:rFonts w:ascii="Arial" w:hAnsi="Arial" w:eastAsia="Arial" w:cs="Arial"/>
          <w:b w:val="0"/>
          <w:bCs w:val="0"/>
          <w:i w:val="0"/>
          <w:iCs w:val="0"/>
          <w:caps w:val="0"/>
          <w:smallCaps w:val="0"/>
          <w:noProof w:val="0"/>
          <w:color w:val="auto"/>
          <w:sz w:val="24"/>
          <w:szCs w:val="24"/>
          <w:lang w:val="en-US"/>
        </w:rPr>
        <w:t>setting up</w:t>
      </w:r>
      <w:r w:rsidRPr="509BB746" w:rsidR="41E605D1">
        <w:rPr>
          <w:rFonts w:ascii="Arial" w:hAnsi="Arial" w:eastAsia="Arial" w:cs="Arial"/>
          <w:b w:val="0"/>
          <w:bCs w:val="0"/>
          <w:i w:val="0"/>
          <w:iCs w:val="0"/>
          <w:caps w:val="0"/>
          <w:smallCaps w:val="0"/>
          <w:noProof w:val="0"/>
          <w:color w:val="auto"/>
          <w:sz w:val="24"/>
          <w:szCs w:val="24"/>
          <w:lang w:val="en-US"/>
        </w:rPr>
        <w:t xml:space="preserve"> the Legal Services Board and endorsing regulators like the SRA and BSB. </w:t>
      </w:r>
      <w:r w:rsidRPr="509BB746" w:rsidR="41E605D1">
        <w:rPr>
          <w:rFonts w:ascii="Arial" w:hAnsi="Arial" w:eastAsia="Arial" w:cs="Arial"/>
          <w:b w:val="0"/>
          <w:bCs w:val="0"/>
          <w:i w:val="0"/>
          <w:iCs w:val="0"/>
          <w:caps w:val="0"/>
          <w:smallCaps w:val="0"/>
          <w:noProof w:val="0"/>
          <w:color w:val="auto"/>
          <w:sz w:val="24"/>
          <w:szCs w:val="24"/>
          <w:lang w:val="en-US"/>
        </w:rPr>
        <w:t>It promotes transparency, competition, and the public interest, indirectly shaping diversity by cultivating a more responsive legal environment.</w:t>
      </w:r>
      <w:r w:rsidRPr="509BB746" w:rsidR="41E605D1">
        <w:rPr>
          <w:rFonts w:ascii="Arial" w:hAnsi="Arial" w:eastAsia="Arial" w:cs="Arial"/>
          <w:b w:val="0"/>
          <w:bCs w:val="0"/>
          <w:i w:val="0"/>
          <w:iCs w:val="0"/>
          <w:caps w:val="0"/>
          <w:smallCaps w:val="0"/>
          <w:noProof w:val="0"/>
          <w:color w:val="auto"/>
          <w:sz w:val="24"/>
          <w:szCs w:val="24"/>
          <w:lang w:val="en-US"/>
        </w:rPr>
        <w:t xml:space="preserve"> Simultaneously, the Equality Act 2010 plays a crucial role in eradicating discrimination within the legal profession, addressing various forms of bias and offering a comprehensive framework for fostering inclusivity.</w:t>
      </w:r>
    </w:p>
    <w:p xmlns:wp14="http://schemas.microsoft.com/office/word/2010/wordml" w:rsidP="509BB746" wp14:paraId="3AEFF4A4" wp14:textId="68538AA5">
      <w:pPr>
        <w:spacing w:after="0" w:afterAutospacing="off"/>
        <w:rPr>
          <w:rFonts w:ascii="Arial" w:hAnsi="Arial" w:eastAsia="Arial" w:cs="Arial"/>
          <w:b w:val="0"/>
          <w:bCs w:val="0"/>
          <w:i w:val="0"/>
          <w:iCs w:val="0"/>
          <w:caps w:val="0"/>
          <w:smallCaps w:val="0"/>
          <w:noProof w:val="0"/>
          <w:color w:val="auto"/>
          <w:sz w:val="24"/>
          <w:szCs w:val="24"/>
          <w:lang w:val="en-US"/>
        </w:rPr>
      </w:pPr>
      <w:r w:rsidRPr="509BB746" w:rsidR="41E605D1">
        <w:rPr>
          <w:rFonts w:ascii="Arial" w:hAnsi="Arial" w:eastAsia="Arial" w:cs="Arial"/>
          <w:b w:val="0"/>
          <w:bCs w:val="0"/>
          <w:i w:val="0"/>
          <w:iCs w:val="0"/>
          <w:caps w:val="0"/>
          <w:smallCaps w:val="0"/>
          <w:noProof w:val="0"/>
          <w:color w:val="auto"/>
          <w:sz w:val="24"/>
          <w:szCs w:val="24"/>
          <w:lang w:val="en-US"/>
        </w:rPr>
        <w:t xml:space="preserve">This legislative tapestry extends to the ethical obligations of individual legal practitioners through codes of conduct such as the SRA Code of Conduct, the BSB Handbook, and the CILEX Code of Conduct. These codes emphasize principles of equality, diversity, and inclusion, </w:t>
      </w:r>
      <w:r w:rsidRPr="509BB746" w:rsidR="624C6ACC">
        <w:rPr>
          <w:rFonts w:ascii="Arial" w:hAnsi="Arial" w:eastAsia="Arial" w:cs="Arial"/>
          <w:b w:val="0"/>
          <w:bCs w:val="0"/>
          <w:i w:val="0"/>
          <w:iCs w:val="0"/>
          <w:caps w:val="0"/>
          <w:smallCaps w:val="0"/>
          <w:noProof w:val="0"/>
          <w:color w:val="auto"/>
          <w:sz w:val="24"/>
          <w:szCs w:val="24"/>
          <w:lang w:val="en-US"/>
        </w:rPr>
        <w:t>setting up</w:t>
      </w:r>
      <w:r w:rsidRPr="509BB746" w:rsidR="41E605D1">
        <w:rPr>
          <w:rFonts w:ascii="Arial" w:hAnsi="Arial" w:eastAsia="Arial" w:cs="Arial"/>
          <w:b w:val="0"/>
          <w:bCs w:val="0"/>
          <w:i w:val="0"/>
          <w:iCs w:val="0"/>
          <w:caps w:val="0"/>
          <w:smallCaps w:val="0"/>
          <w:noProof w:val="0"/>
          <w:color w:val="auto"/>
          <w:sz w:val="24"/>
          <w:szCs w:val="24"/>
          <w:lang w:val="en-US"/>
        </w:rPr>
        <w:t xml:space="preserve"> ethical standards that legal professionals must adhere to. The intersection of the Legal Services Act and the Equality Act creates a </w:t>
      </w:r>
      <w:r w:rsidRPr="509BB746" w:rsidR="69882D62">
        <w:rPr>
          <w:rFonts w:ascii="Arial" w:hAnsi="Arial" w:eastAsia="Arial" w:cs="Arial"/>
          <w:b w:val="0"/>
          <w:bCs w:val="0"/>
          <w:i w:val="0"/>
          <w:iCs w:val="0"/>
          <w:caps w:val="0"/>
          <w:smallCaps w:val="0"/>
          <w:noProof w:val="0"/>
          <w:color w:val="auto"/>
          <w:sz w:val="24"/>
          <w:szCs w:val="24"/>
          <w:lang w:val="en-US"/>
        </w:rPr>
        <w:t>constructive collaboration</w:t>
      </w:r>
      <w:r w:rsidRPr="509BB746" w:rsidR="41E605D1">
        <w:rPr>
          <w:rFonts w:ascii="Arial" w:hAnsi="Arial" w:eastAsia="Arial" w:cs="Arial"/>
          <w:b w:val="0"/>
          <w:bCs w:val="0"/>
          <w:i w:val="0"/>
          <w:iCs w:val="0"/>
          <w:caps w:val="0"/>
          <w:smallCaps w:val="0"/>
          <w:noProof w:val="0"/>
          <w:color w:val="auto"/>
          <w:sz w:val="24"/>
          <w:szCs w:val="24"/>
          <w:lang w:val="en-US"/>
        </w:rPr>
        <w:t xml:space="preserve"> that reinforces the legal profession's commitment to fairness and equality. These legal frameworks not only regulate the profession but also cultivate a culture of inclusivity, fostering an environment where legal practitioners, guided by ethical imperatives, contribute meaningfully to a diverse and adaptable legal landscape. As we delve into the specifics of these legislative instruments, it becomes clear that they transcend mere rules, embodying a commitment to a legal profession that mirrors the diversity of the society it serves.</w:t>
      </w:r>
    </w:p>
    <w:p xmlns:wp14="http://schemas.microsoft.com/office/word/2010/wordml" w:rsidP="509BB746" wp14:paraId="4D3F5677" wp14:textId="042B2782">
      <w:pPr>
        <w:pStyle w:val="Normal"/>
        <w:spacing w:after="0" w:afterAutospacing="off"/>
        <w:ind/>
        <w:rPr>
          <w:rFonts w:ascii="Arial" w:hAnsi="Arial" w:eastAsia="Arial" w:cs="Arial"/>
          <w:b w:val="0"/>
          <w:bCs w:val="0"/>
          <w:i w:val="0"/>
          <w:iCs w:val="0"/>
          <w:caps w:val="0"/>
          <w:smallCaps w:val="0"/>
          <w:noProof w:val="0"/>
          <w:color w:val="auto"/>
          <w:sz w:val="24"/>
          <w:szCs w:val="24"/>
          <w:lang w:val="en-US"/>
        </w:rPr>
      </w:pPr>
    </w:p>
    <w:p xmlns:wp14="http://schemas.microsoft.com/office/word/2010/wordml" w:rsidP="509BB746" wp14:paraId="68DA33E6" wp14:textId="53B860B0">
      <w:pPr>
        <w:ind/>
        <w:rPr>
          <w:rFonts w:ascii="Arial" w:hAnsi="Arial" w:eastAsia="Arial" w:cs="Arial"/>
          <w:b w:val="1"/>
          <w:bCs w:val="1"/>
          <w:i w:val="1"/>
          <w:iCs w:val="1"/>
          <w:caps w:val="0"/>
          <w:smallCaps w:val="0"/>
          <w:noProof w:val="0"/>
          <w:color w:val="000000" w:themeColor="text1" w:themeTint="FF" w:themeShade="FF"/>
          <w:sz w:val="28"/>
          <w:szCs w:val="28"/>
          <w:lang w:val="en-US"/>
        </w:rPr>
      </w:pPr>
      <w:r w:rsidRPr="509BB746" w:rsidR="73CC4B1F">
        <w:rPr>
          <w:rFonts w:ascii="Arial" w:hAnsi="Arial" w:eastAsia="Arial" w:cs="Arial"/>
          <w:b w:val="1"/>
          <w:bCs w:val="1"/>
          <w:i w:val="1"/>
          <w:iCs w:val="1"/>
          <w:caps w:val="0"/>
          <w:smallCaps w:val="0"/>
          <w:noProof w:val="0"/>
          <w:color w:val="000000" w:themeColor="text1" w:themeTint="FF" w:themeShade="FF"/>
          <w:sz w:val="28"/>
          <w:szCs w:val="28"/>
          <w:lang w:val="en-US"/>
        </w:rPr>
        <w:t>Regulatory Bodies and Codes of Conduct:</w:t>
      </w:r>
    </w:p>
    <w:p xmlns:wp14="http://schemas.microsoft.com/office/word/2010/wordml" w:rsidP="509BB746" wp14:paraId="5318F81C" wp14:textId="637738D5">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The commitment to equality and diversity within the legal profession is not solely a legislative endeavor; it is also embedded in the ethical standards set forth by regulatory bodies. These bodies, including the Solicitors Regulation Authority (SRA), Bar Standards Board (BSB), and Chartered Institute of Legal Executives (CILEX) Regulation, play a pivotal role in shaping the conduct of legal practitioners through their respective codes of conduct.</w:t>
      </w:r>
    </w:p>
    <w:p xmlns:wp14="http://schemas.microsoft.com/office/word/2010/wordml" w:rsidP="509BB746" wp14:paraId="2C535C3A" wp14:textId="6C04BAD2">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509BB746" w:rsidR="73CC4B1F">
        <w:rPr>
          <w:rFonts w:ascii="Arial" w:hAnsi="Arial" w:eastAsia="Arial" w:cs="Arial"/>
          <w:b w:val="1"/>
          <w:bCs w:val="1"/>
          <w:i w:val="0"/>
          <w:iCs w:val="0"/>
          <w:caps w:val="0"/>
          <w:smallCaps w:val="0"/>
          <w:noProof w:val="0"/>
          <w:color w:val="000000" w:themeColor="text1" w:themeTint="FF" w:themeShade="FF"/>
          <w:sz w:val="24"/>
          <w:szCs w:val="24"/>
          <w:lang w:val="en-US"/>
        </w:rPr>
        <w:t>SRA Code of Conduct</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is a cornerstone document for solicitors, </w:t>
      </w:r>
      <w:r w:rsidRPr="509BB746" w:rsidR="067BDC2A">
        <w:rPr>
          <w:rFonts w:ascii="Arial" w:hAnsi="Arial" w:eastAsia="Arial" w:cs="Arial"/>
          <w:b w:val="0"/>
          <w:bCs w:val="0"/>
          <w:i w:val="0"/>
          <w:iCs w:val="0"/>
          <w:caps w:val="0"/>
          <w:smallCaps w:val="0"/>
          <w:noProof w:val="0"/>
          <w:color w:val="000000" w:themeColor="text1" w:themeTint="FF" w:themeShade="FF"/>
          <w:sz w:val="24"/>
          <w:szCs w:val="24"/>
          <w:lang w:val="en-US"/>
        </w:rPr>
        <w:t>supplying</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a comprehensive framework that encompasses ethical obligations and professional behavior. Within this code, specific attention is given to equality and diversity, with explicit provisions outlining the responsibility of solicitors to promote and uphold these principles. The SRA Code sets standards for individual behavior and emphasizes the importance of fostering an inclusive working culture within legal practices.</w:t>
      </w:r>
    </w:p>
    <w:p xmlns:wp14="http://schemas.microsoft.com/office/word/2010/wordml" w:rsidP="509BB746" wp14:paraId="17A6BA24" wp14:textId="06FB7BD8">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Similarly, the </w:t>
      </w:r>
      <w:r w:rsidRPr="509BB746" w:rsidR="73CC4B1F">
        <w:rPr>
          <w:rFonts w:ascii="Arial" w:hAnsi="Arial" w:eastAsia="Arial" w:cs="Arial"/>
          <w:b w:val="1"/>
          <w:bCs w:val="1"/>
          <w:i w:val="0"/>
          <w:iCs w:val="0"/>
          <w:caps w:val="0"/>
          <w:smallCaps w:val="0"/>
          <w:noProof w:val="0"/>
          <w:color w:val="000000" w:themeColor="text1" w:themeTint="FF" w:themeShade="FF"/>
          <w:sz w:val="24"/>
          <w:szCs w:val="24"/>
          <w:lang w:val="en-US"/>
        </w:rPr>
        <w:t>BSB Handbook</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governs the conduct of barristers, reinforcing the profession's commitment to diversity. The Handbook explicitly outlines principles related to equality and non-discrimination, underscoring the importance of </w:t>
      </w:r>
      <w:r w:rsidRPr="509BB746" w:rsidR="7138444F">
        <w:rPr>
          <w:rFonts w:ascii="Arial" w:hAnsi="Arial" w:eastAsia="Arial" w:cs="Arial"/>
          <w:b w:val="0"/>
          <w:bCs w:val="0"/>
          <w:i w:val="0"/>
          <w:iCs w:val="0"/>
          <w:caps w:val="0"/>
          <w:smallCaps w:val="0"/>
          <w:noProof w:val="0"/>
          <w:color w:val="000000" w:themeColor="text1" w:themeTint="FF" w:themeShade="FF"/>
          <w:sz w:val="24"/>
          <w:szCs w:val="24"/>
          <w:lang w:val="en-US"/>
        </w:rPr>
        <w:t>keeping</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an inclusive environment within the Bar. This extends beyond client interactions to interactions within the legal community, ensuring that barristers contribute to a diverse and respectful professional culture.</w:t>
      </w:r>
    </w:p>
    <w:p xmlns:wp14="http://schemas.microsoft.com/office/word/2010/wordml" w:rsidP="509BB746" wp14:paraId="26B0268E" wp14:textId="0E3765EA">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For legal executives, the </w:t>
      </w:r>
      <w:r w:rsidRPr="509BB746" w:rsidR="73CC4B1F">
        <w:rPr>
          <w:rFonts w:ascii="Arial" w:hAnsi="Arial" w:eastAsia="Arial" w:cs="Arial"/>
          <w:b w:val="1"/>
          <w:bCs w:val="1"/>
          <w:i w:val="0"/>
          <w:iCs w:val="0"/>
          <w:caps w:val="0"/>
          <w:smallCaps w:val="0"/>
          <w:noProof w:val="0"/>
          <w:color w:val="000000" w:themeColor="text1" w:themeTint="FF" w:themeShade="FF"/>
          <w:sz w:val="24"/>
          <w:szCs w:val="24"/>
          <w:lang w:val="en-US"/>
        </w:rPr>
        <w:t>CILEX Code of Conduct</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serves as a guide, emphasizing the ethical responsibilities and behavior expected of its members. This code includes provisions related to equality and diversity, recognizing the significance of these principles in upholding the integrity of the legal profession. CILEX Regulation ensures that legal executives adhere to these standards, fostering an inclusive and </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fair</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practice.</w:t>
      </w:r>
    </w:p>
    <w:p xmlns:wp14="http://schemas.microsoft.com/office/word/2010/wordml" w:rsidP="509BB746" wp14:paraId="2B8AE4A1" wp14:textId="4B48BACB">
      <w:pPr>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These codes of conduct collectively create a comprehensive framework that not only proves ethical norms for individual practitioners but also underscores the broader societal commitment to equality and diversity within the legal profession. As legal practitioners navigate their roles, these codes </w:t>
      </w:r>
      <w:r w:rsidRPr="509BB746" w:rsidR="609A7607">
        <w:rPr>
          <w:rFonts w:ascii="Arial" w:hAnsi="Arial" w:eastAsia="Arial" w:cs="Arial"/>
          <w:b w:val="0"/>
          <w:bCs w:val="0"/>
          <w:i w:val="0"/>
          <w:iCs w:val="0"/>
          <w:caps w:val="0"/>
          <w:smallCaps w:val="0"/>
          <w:noProof w:val="0"/>
          <w:color w:val="000000" w:themeColor="text1" w:themeTint="FF" w:themeShade="FF"/>
          <w:sz w:val="24"/>
          <w:szCs w:val="24"/>
          <w:lang w:val="en-US"/>
        </w:rPr>
        <w:t>supply</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a roadmap, shaping a professional ethos that is not only legally sound but ethically grounded in principles of fairness and inclusivity. In the </w:t>
      </w:r>
      <w:r w:rsidRPr="509BB746" w:rsidR="640D8B86">
        <w:rPr>
          <w:rFonts w:ascii="Arial" w:hAnsi="Arial" w:eastAsia="Arial" w:cs="Arial"/>
          <w:b w:val="0"/>
          <w:bCs w:val="0"/>
          <w:i w:val="0"/>
          <w:iCs w:val="0"/>
          <w:caps w:val="0"/>
          <w:smallCaps w:val="0"/>
          <w:noProof w:val="0"/>
          <w:color w:val="000000" w:themeColor="text1" w:themeTint="FF" w:themeShade="FF"/>
          <w:sz w:val="24"/>
          <w:szCs w:val="24"/>
          <w:lang w:val="en-US"/>
        </w:rPr>
        <w:t>next</w:t>
      </w:r>
      <w:r w:rsidRPr="509BB746" w:rsidR="73CC4B1F">
        <w:rPr>
          <w:rFonts w:ascii="Arial" w:hAnsi="Arial" w:eastAsia="Arial" w:cs="Arial"/>
          <w:b w:val="0"/>
          <w:bCs w:val="0"/>
          <w:i w:val="0"/>
          <w:iCs w:val="0"/>
          <w:caps w:val="0"/>
          <w:smallCaps w:val="0"/>
          <w:noProof w:val="0"/>
          <w:color w:val="000000" w:themeColor="text1" w:themeTint="FF" w:themeShade="FF"/>
          <w:sz w:val="24"/>
          <w:szCs w:val="24"/>
          <w:lang w:val="en-US"/>
        </w:rPr>
        <w:t xml:space="preserve"> sections, we will delve into the specific provisions of these codes, examining how they translate into tangible actions that promote equality and diversity within legal practice.</w:t>
      </w:r>
    </w:p>
    <w:p xmlns:wp14="http://schemas.microsoft.com/office/word/2010/wordml" w:rsidP="509BB746" wp14:paraId="42899571" wp14:textId="7EB69BA6">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59F126E0" wp14:textId="11BED6C0">
      <w:pPr>
        <w:spacing w:before="0" w:before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911A190">
        <w:rPr>
          <w:rFonts w:ascii="Arial" w:hAnsi="Arial" w:eastAsia="Arial" w:cs="Arial"/>
          <w:b w:val="1"/>
          <w:bCs w:val="1"/>
          <w:i w:val="0"/>
          <w:iCs w:val="0"/>
          <w:caps w:val="0"/>
          <w:smallCaps w:val="0"/>
          <w:noProof w:val="0"/>
          <w:color w:val="000000" w:themeColor="text1" w:themeTint="FF" w:themeShade="FF"/>
          <w:sz w:val="28"/>
          <w:szCs w:val="28"/>
          <w:lang w:val="en-US"/>
        </w:rPr>
        <w:t>Challenges and Criticisms</w:t>
      </w:r>
      <w:r w:rsidRPr="509BB746" w:rsidR="5911A190">
        <w:rPr>
          <w:rFonts w:ascii="Arial" w:hAnsi="Arial" w:eastAsia="Arial" w:cs="Arial"/>
          <w:b w:val="1"/>
          <w:bCs w:val="1"/>
          <w:i w:val="0"/>
          <w:iCs w:val="0"/>
          <w:caps w:val="0"/>
          <w:smallCaps w:val="0"/>
          <w:noProof w:val="0"/>
          <w:color w:val="000000" w:themeColor="text1" w:themeTint="FF" w:themeShade="FF"/>
          <w:sz w:val="24"/>
          <w:szCs w:val="24"/>
          <w:lang w:val="en-US"/>
        </w:rPr>
        <w:t>:</w:t>
      </w: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09BB746" wp14:paraId="2BEE230A" wp14:textId="35772AF4">
      <w:pPr>
        <w:spacing w:before="0" w:before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 xml:space="preserve">Despite concerted efforts to promote equality and diversity within the legal profession, challenges persist, and criticisms underscore areas where improvements are needed. One significant challenge lies in the implementation and enforcement of existing regulations. While regulatory bodies supply comprehensive codes of conduct, the translation of these guidelines into consistent and effective practice across the legal landscape </w:t>
      </w: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is still</w:t>
      </w: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 xml:space="preserve"> a formidable task. Inconsistencies in enforcement and varying interpretations of ethical standards can hinder the realization of a uniformly inclusive profession.</w:t>
      </w:r>
    </w:p>
    <w:p xmlns:wp14="http://schemas.microsoft.com/office/word/2010/wordml" w:rsidP="509BB746" wp14:paraId="1424798A" wp14:textId="6415CAD0">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Critics argue that the legal profession's diversity initiatives often face resistance from entrenched cultural norms within legal institutions. Traditional hierarchies and practices may impede the advancement of underrepresented groups, creating barriers to entry and progression. Furthermore, the legal education system itself has faced scrutiny for not being fully reflective of society's diversity, potentially limiting access to the profession for individuals from marginalized backgrounds.</w:t>
      </w:r>
    </w:p>
    <w:p xmlns:wp14="http://schemas.microsoft.com/office/word/2010/wordml" w:rsidP="509BB746" wp14:paraId="373AC416" wp14:textId="4BC2F6E5">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 xml:space="preserve">Another criticism centers on the need for more proactive measures. While regulatory frameworks and codes of conduct </w:t>
      </w: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prove</w:t>
      </w: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 xml:space="preserve"> a foundation, critics contend that a more proactive stance is needed to address systemic issues. This includes fostering a culture of openness to diversity, challenging unconscious biases, and implementing initiatives that actively encourage inclusivity rather than merely discouraging discrimination.</w:t>
      </w:r>
    </w:p>
    <w:p xmlns:wp14="http://schemas.microsoft.com/office/word/2010/wordml" w:rsidP="509BB746" wp14:paraId="72546C97" wp14:textId="46BEADB9">
      <w:pPr>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5911A190">
        <w:rPr>
          <w:rFonts w:ascii="Arial" w:hAnsi="Arial" w:eastAsia="Arial" w:cs="Arial"/>
          <w:b w:val="0"/>
          <w:bCs w:val="0"/>
          <w:i w:val="0"/>
          <w:iCs w:val="0"/>
          <w:caps w:val="0"/>
          <w:smallCaps w:val="0"/>
          <w:noProof w:val="0"/>
          <w:color w:val="000000" w:themeColor="text1" w:themeTint="FF" w:themeShade="FF"/>
          <w:sz w:val="24"/>
          <w:szCs w:val="24"/>
          <w:lang w:val="en-US"/>
        </w:rPr>
        <w:t>In navigating these challenges and responding to criticisms, the legal profession must remain vigilant in its commitment to equality and diversity. By addressing these concerns head-on, the profession can evolve towards a more inclusive future, ensuring that legal practitioners are not only aware of their ethical responsibilities but actively engaged in fostering a profession that embraces and celebrates diversity.</w:t>
      </w:r>
    </w:p>
    <w:p xmlns:wp14="http://schemas.microsoft.com/office/word/2010/wordml" w:rsidP="509BB746" wp14:paraId="27F46DB8" wp14:textId="4DB6B15B">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585015C2" wp14:textId="0EF52ED7">
      <w:pPr>
        <w:spacing w:before="0" w:beforeAutospacing="off"/>
        <w:ind/>
        <w:rPr>
          <w:rFonts w:ascii="Arial" w:hAnsi="Arial" w:eastAsia="Arial" w:cs="Arial"/>
          <w:b w:val="1"/>
          <w:bCs w:val="1"/>
          <w:i w:val="0"/>
          <w:iCs w:val="0"/>
          <w:caps w:val="0"/>
          <w:smallCaps w:val="0"/>
          <w:noProof w:val="0"/>
          <w:color w:val="000000" w:themeColor="text1" w:themeTint="FF" w:themeShade="FF"/>
          <w:sz w:val="28"/>
          <w:szCs w:val="28"/>
          <w:lang w:val="en-US"/>
        </w:rPr>
      </w:pPr>
      <w:r w:rsidRPr="509BB746" w:rsidR="0778F9FE">
        <w:rPr>
          <w:rFonts w:ascii="Arial" w:hAnsi="Arial" w:eastAsia="Arial" w:cs="Arial"/>
          <w:b w:val="1"/>
          <w:bCs w:val="1"/>
          <w:i w:val="0"/>
          <w:iCs w:val="0"/>
          <w:caps w:val="0"/>
          <w:smallCaps w:val="0"/>
          <w:noProof w:val="0"/>
          <w:color w:val="000000" w:themeColor="text1" w:themeTint="FF" w:themeShade="FF"/>
          <w:sz w:val="28"/>
          <w:szCs w:val="28"/>
          <w:lang w:val="en-US"/>
        </w:rPr>
        <w:t>Impact and Future Outlook:</w:t>
      </w:r>
      <w:r w:rsidRPr="509BB746" w:rsidR="0778F9FE">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xmlns:wp14="http://schemas.microsoft.com/office/word/2010/wordml" w:rsidP="509BB746" wp14:paraId="183DC271" wp14:textId="3DF53A0E">
      <w:pPr>
        <w:spacing w:before="0" w:before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The initiatives striving to foster equality and diversity within the legal profession have left a discernible impact on the landscape, ushering in a gradual transformation. Greater awareness and advocacy efforts have not only increased the representation of diverse practitioners but have also enriched legal services by incorporating a spectrum of perspectives. The emphasis on equality has prompted a reassessment of unconscious biases and discriminatory practices within legal institutions, contributing to a profession that better mirrors the diverse society it serves.</w:t>
      </w:r>
    </w:p>
    <w:p xmlns:wp14="http://schemas.microsoft.com/office/word/2010/wordml" w:rsidP="509BB746" wp14:paraId="36842A24" wp14:textId="2B60330B">
      <w:pPr>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 xml:space="preserve">Looking ahead, the prospects for equality and diversity in the legal field are optimistic, though challenges persist. Regulatory bodies are </w:t>
      </w: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expected</w:t>
      </w: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 xml:space="preserve"> to refine existing frameworks, adapting to appearing issues and incorporating technology for more precise assessments of diversity initiatives. The legal education system is poised for evolution, with a heightened focus on inclusivity within curricula and expanded initiatives supporting underrepresented groups.</w:t>
      </w:r>
    </w:p>
    <w:p xmlns:wp14="http://schemas.microsoft.com/office/word/2010/wordml" w:rsidP="509BB746" wp14:paraId="5E72B9DB" wp14:textId="5192CCD1">
      <w:pPr>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 xml:space="preserve">Despite this positive outlook, ongoing collaboration among regulatory bodies, practitioners, and educational institutions </w:t>
      </w:r>
      <w:r w:rsidRPr="509BB746" w:rsidR="7E11DBB4">
        <w:rPr>
          <w:rFonts w:ascii="Arial" w:hAnsi="Arial" w:eastAsia="Arial" w:cs="Arial"/>
          <w:b w:val="0"/>
          <w:bCs w:val="0"/>
          <w:i w:val="0"/>
          <w:iCs w:val="0"/>
          <w:caps w:val="0"/>
          <w:smallCaps w:val="0"/>
          <w:noProof w:val="0"/>
          <w:color w:val="000000" w:themeColor="text1" w:themeTint="FF" w:themeShade="FF"/>
          <w:sz w:val="24"/>
          <w:szCs w:val="24"/>
          <w:lang w:val="en-US"/>
        </w:rPr>
        <w:t>remains</w:t>
      </w: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Proactive measures addressing systemic issues, coupled with continuous education and awareness efforts, are essential for sustaining progress. The legal profession's commitment to not just upholding ethical standards but actively championing diversity and inclusivity will </w:t>
      </w:r>
      <w:r w:rsidRPr="509BB746" w:rsidR="39773638">
        <w:rPr>
          <w:rFonts w:ascii="Arial" w:hAnsi="Arial" w:eastAsia="Arial" w:cs="Arial"/>
          <w:b w:val="0"/>
          <w:bCs w:val="0"/>
          <w:i w:val="0"/>
          <w:iCs w:val="0"/>
          <w:caps w:val="0"/>
          <w:smallCaps w:val="0"/>
          <w:noProof w:val="0"/>
          <w:color w:val="000000" w:themeColor="text1" w:themeTint="FF" w:themeShade="FF"/>
          <w:sz w:val="24"/>
          <w:szCs w:val="24"/>
          <w:lang w:val="en-US"/>
        </w:rPr>
        <w:t>decide</w:t>
      </w:r>
      <w:r w:rsidRPr="509BB746" w:rsidR="0778F9FE">
        <w:rPr>
          <w:rFonts w:ascii="Arial" w:hAnsi="Arial" w:eastAsia="Arial" w:cs="Arial"/>
          <w:b w:val="0"/>
          <w:bCs w:val="0"/>
          <w:i w:val="0"/>
          <w:iCs w:val="0"/>
          <w:caps w:val="0"/>
          <w:smallCaps w:val="0"/>
          <w:noProof w:val="0"/>
          <w:color w:val="000000" w:themeColor="text1" w:themeTint="FF" w:themeShade="FF"/>
          <w:sz w:val="24"/>
          <w:szCs w:val="24"/>
          <w:lang w:val="en-US"/>
        </w:rPr>
        <w:t xml:space="preserve"> its trajectory towards a future marked by true representation and inclusiveness.</w:t>
      </w:r>
    </w:p>
    <w:p xmlns:wp14="http://schemas.microsoft.com/office/word/2010/wordml" w:rsidP="509BB746" wp14:paraId="0ADB2FB6" wp14:textId="7490A9E7">
      <w:pPr>
        <w:pStyle w:val="Normal"/>
        <w:spacing w:after="0" w:afterAutospacing="off"/>
        <w:ind/>
        <w:rPr>
          <w:rFonts w:ascii="Arial" w:hAnsi="Arial" w:eastAsia="Arial" w:cs="Arial"/>
          <w:noProof w:val="0"/>
          <w:color w:val="000000" w:themeColor="text1" w:themeTint="FF" w:themeShade="FF"/>
          <w:sz w:val="24"/>
          <w:szCs w:val="24"/>
          <w:lang w:val="en-US"/>
        </w:rPr>
      </w:pPr>
      <w:r w:rsidRPr="509BB746" w:rsidR="3D188109">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the legal profession's commitment to equality and diversity, embedded in legislative frameworks, codes of conduct, and proactive initiatives, marks a significant step toward a more inclusive future. Despite persistent challenges, the impact of these efforts is clear in the evolving legal landscape. The profession's outlook appears promising, with expected refinements to regulatory frameworks, technological integration, and a transformative approach to legal education. Continued collaboration and proactive measures are vital for sustaining progress. As the legal profession adapts and </w:t>
      </w:r>
      <w:r w:rsidRPr="509BB746" w:rsidR="3D188109">
        <w:rPr>
          <w:rFonts w:ascii="Arial" w:hAnsi="Arial" w:eastAsia="Arial" w:cs="Arial"/>
          <w:b w:val="0"/>
          <w:bCs w:val="0"/>
          <w:i w:val="0"/>
          <w:iCs w:val="0"/>
          <w:caps w:val="0"/>
          <w:smallCaps w:val="0"/>
          <w:noProof w:val="0"/>
          <w:color w:val="000000" w:themeColor="text1" w:themeTint="FF" w:themeShade="FF"/>
          <w:sz w:val="24"/>
          <w:szCs w:val="24"/>
          <w:lang w:val="en-US"/>
        </w:rPr>
        <w:t>is still</w:t>
      </w:r>
      <w:r w:rsidRPr="509BB746" w:rsidR="3D188109">
        <w:rPr>
          <w:rFonts w:ascii="Arial" w:hAnsi="Arial" w:eastAsia="Arial" w:cs="Arial"/>
          <w:b w:val="0"/>
          <w:bCs w:val="0"/>
          <w:i w:val="0"/>
          <w:iCs w:val="0"/>
          <w:caps w:val="0"/>
          <w:smallCaps w:val="0"/>
          <w:noProof w:val="0"/>
          <w:color w:val="000000" w:themeColor="text1" w:themeTint="FF" w:themeShade="FF"/>
          <w:sz w:val="24"/>
          <w:szCs w:val="24"/>
          <w:lang w:val="en-US"/>
        </w:rPr>
        <w:t xml:space="preserve"> dedicated to diversity and inclusivity, it is poised to shape a future characterized by fairness, representation, and ethical excellence.</w:t>
      </w:r>
    </w:p>
    <w:p xmlns:wp14="http://schemas.microsoft.com/office/word/2010/wordml" w:rsidP="509BB746" wp14:paraId="1186F4DD" wp14:textId="254DC71D">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2E0FFE06" wp14:textId="147516A8">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3E556CBC" wp14:textId="33ECD551">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1DCE8163" wp14:textId="555DA2DB">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r w:rsidRPr="509BB746" w:rsidR="33999ECE">
        <w:rPr>
          <w:rFonts w:ascii="Arial" w:hAnsi="Arial" w:eastAsia="Arial" w:cs="Arial"/>
          <w:b w:val="0"/>
          <w:bCs w:val="0"/>
          <w:i w:val="0"/>
          <w:iCs w:val="0"/>
          <w:caps w:val="0"/>
          <w:smallCaps w:val="0"/>
          <w:noProof w:val="0"/>
          <w:color w:val="000000" w:themeColor="text1" w:themeTint="FF" w:themeShade="FF"/>
          <w:sz w:val="24"/>
          <w:szCs w:val="24"/>
          <w:lang w:val="en-US"/>
        </w:rPr>
        <w:t xml:space="preserve">The Legal Services Act 2007, C.29, </w:t>
      </w:r>
      <w:r w:rsidRPr="509BB746" w:rsidR="1952A7CB">
        <w:rPr>
          <w:rFonts w:ascii="Arial" w:hAnsi="Arial" w:eastAsia="Arial" w:cs="Arial"/>
          <w:b w:val="0"/>
          <w:bCs w:val="0"/>
          <w:i w:val="0"/>
          <w:iCs w:val="0"/>
          <w:caps w:val="0"/>
          <w:smallCaps w:val="0"/>
          <w:noProof w:val="0"/>
          <w:color w:val="000000" w:themeColor="text1" w:themeTint="FF" w:themeShade="FF"/>
          <w:sz w:val="24"/>
          <w:szCs w:val="24"/>
          <w:lang w:val="en-US"/>
        </w:rPr>
        <w:t>Part.8, Section 177</w:t>
      </w:r>
      <w:r w:rsidRPr="509BB746" w:rsidR="7EB59A56">
        <w:rPr>
          <w:rFonts w:ascii="Arial" w:hAnsi="Arial" w:eastAsia="Arial" w:cs="Arial"/>
          <w:b w:val="0"/>
          <w:bCs w:val="0"/>
          <w:i w:val="0"/>
          <w:iCs w:val="0"/>
          <w:caps w:val="0"/>
          <w:smallCaps w:val="0"/>
          <w:noProof w:val="0"/>
          <w:color w:val="000000" w:themeColor="text1" w:themeTint="FF" w:themeShade="FF"/>
          <w:sz w:val="24"/>
          <w:szCs w:val="24"/>
          <w:lang w:val="en-US"/>
        </w:rPr>
        <w:t>, Section 190</w:t>
      </w:r>
    </w:p>
    <w:p xmlns:wp14="http://schemas.microsoft.com/office/word/2010/wordml" w:rsidP="509BB746" wp14:paraId="72A8EE90" wp14:textId="3282F56B">
      <w:pPr>
        <w:pStyle w:val="Normal"/>
        <w:spacing w:after="0" w:afterAutospacing="off"/>
        <w:ind/>
        <w:rPr>
          <w:rFonts w:ascii="Arial" w:hAnsi="Arial" w:eastAsia="Arial" w:cs="Arial"/>
          <w:noProof w:val="0"/>
          <w:sz w:val="24"/>
          <w:szCs w:val="24"/>
          <w:lang w:val="en-US"/>
        </w:rPr>
      </w:pPr>
      <w:r w:rsidRPr="509BB746" w:rsidR="0C605873">
        <w:rPr>
          <w:rFonts w:ascii="Arial" w:hAnsi="Arial" w:eastAsia="Arial" w:cs="Arial"/>
          <w:b w:val="0"/>
          <w:bCs w:val="0"/>
          <w:i w:val="0"/>
          <w:iCs w:val="0"/>
          <w:caps w:val="0"/>
          <w:smallCaps w:val="0"/>
          <w:noProof w:val="0"/>
          <w:color w:val="000000" w:themeColor="text1" w:themeTint="FF" w:themeShade="FF"/>
          <w:sz w:val="24"/>
          <w:szCs w:val="24"/>
          <w:lang w:val="en-US"/>
        </w:rPr>
        <w:t>The Equality Act 2010, C. 15, Part.9. Chapter 4</w:t>
      </w:r>
    </w:p>
    <w:p xmlns:wp14="http://schemas.microsoft.com/office/word/2010/wordml" w:rsidP="509BB746" wp14:paraId="4A41B5C7" wp14:textId="1818E25B">
      <w:pPr>
        <w:pStyle w:val="Normal"/>
        <w:spacing w:after="0" w:afterAutospacing="off"/>
        <w:ind/>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09BB746" wp14:paraId="2E23B8B0" wp14:textId="50759488">
      <w:pPr>
        <w:ind w:left="-20" w:right="-20"/>
        <w:rPr>
          <w:rFonts w:ascii="Arial" w:hAnsi="Arial" w:eastAsia="Arial" w:cs="Arial"/>
          <w:color w:val="000000" w:themeColor="text1" w:themeTint="FF" w:themeShade="FF"/>
          <w:sz w:val="24"/>
          <w:szCs w:val="24"/>
        </w:rPr>
      </w:pPr>
    </w:p>
    <w:p xmlns:wp14="http://schemas.microsoft.com/office/word/2010/wordml" w:rsidP="509BB746" wp14:paraId="7E295B0F" wp14:textId="4DDB35ED">
      <w:pPr>
        <w:pStyle w:val="Normal"/>
        <w:ind w:left="-20" w:right="-20"/>
        <w:rPr>
          <w:rFonts w:ascii="Arial" w:hAnsi="Arial" w:eastAsia="Arial" w:cs="Arial"/>
          <w:color w:val="000000" w:themeColor="text1" w:themeTint="FF" w:themeShade="FF"/>
          <w:sz w:val="24"/>
          <w:szCs w:val="24"/>
        </w:rPr>
      </w:pPr>
    </w:p>
    <w:p xmlns:wp14="http://schemas.microsoft.com/office/word/2010/wordml" w:rsidP="509BB746" wp14:paraId="2C078E63" wp14:textId="328580FB">
      <w:pPr>
        <w:pStyle w:val="Normal"/>
        <w:rPr>
          <w:rFonts w:ascii="Arial" w:hAnsi="Arial" w:eastAsia="Arial" w:cs="Arial"/>
          <w:color w:val="000000" w:themeColor="text1" w:themeTint="FF" w:themeShade="F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D0AA7A"/>
    <w:rsid w:val="000B802D"/>
    <w:rsid w:val="019137D1"/>
    <w:rsid w:val="043CD82F"/>
    <w:rsid w:val="067BDC2A"/>
    <w:rsid w:val="0778F9FE"/>
    <w:rsid w:val="0816C3E8"/>
    <w:rsid w:val="09D0AA7A"/>
    <w:rsid w:val="0C605873"/>
    <w:rsid w:val="0FAF5715"/>
    <w:rsid w:val="1546F0C2"/>
    <w:rsid w:val="1952A7CB"/>
    <w:rsid w:val="1B0471E5"/>
    <w:rsid w:val="21E06EA5"/>
    <w:rsid w:val="2DA71834"/>
    <w:rsid w:val="2FB96550"/>
    <w:rsid w:val="318B37F9"/>
    <w:rsid w:val="3327085A"/>
    <w:rsid w:val="33999ECE"/>
    <w:rsid w:val="39773638"/>
    <w:rsid w:val="3C43E534"/>
    <w:rsid w:val="3D188109"/>
    <w:rsid w:val="41E605D1"/>
    <w:rsid w:val="44D013DB"/>
    <w:rsid w:val="45D38CE7"/>
    <w:rsid w:val="509BB746"/>
    <w:rsid w:val="56238B01"/>
    <w:rsid w:val="5756D74B"/>
    <w:rsid w:val="5911A190"/>
    <w:rsid w:val="5DA908D0"/>
    <w:rsid w:val="5DDCBA50"/>
    <w:rsid w:val="5F0EAF43"/>
    <w:rsid w:val="609A7607"/>
    <w:rsid w:val="61B6ABC6"/>
    <w:rsid w:val="624C6ACC"/>
    <w:rsid w:val="640D8B86"/>
    <w:rsid w:val="6824570F"/>
    <w:rsid w:val="69882D62"/>
    <w:rsid w:val="6EB2EF8D"/>
    <w:rsid w:val="70CA819A"/>
    <w:rsid w:val="70E7261C"/>
    <w:rsid w:val="7138444F"/>
    <w:rsid w:val="73CC4B1F"/>
    <w:rsid w:val="74416F5D"/>
    <w:rsid w:val="769A96B9"/>
    <w:rsid w:val="7A7F5D41"/>
    <w:rsid w:val="7E11DBB4"/>
    <w:rsid w:val="7E6FAFCB"/>
    <w:rsid w:val="7EB59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AA7A"/>
  <w15:chartTrackingRefBased/>
  <w15:docId w15:val="{C68519D1-3630-4F80-BBE2-847E77F978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5ec673c78d54d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2023-12-15T19:09:45.5278862Z</dcterms:created>
  <dcterms:modified xsi:type="dcterms:W3CDTF">2023-12-15T19:49:07.9872187Z</dcterms:modified>
  <dc:creator>Angela Coman (2244455)</dc:creator>
  <lastModifiedBy>Angela Coman (2244455)</lastModifiedBy>
</coreProperties>
</file>