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98870775"/>
        <w:docPartObj>
          <w:docPartGallery w:val="Cover Pages"/>
          <w:docPartUnique/>
        </w:docPartObj>
      </w:sdtPr>
      <w:sdtEndPr>
        <w:rPr>
          <w:rFonts w:ascii="Arial" w:hAnsi="Arial" w:cs="Arial"/>
          <w:sz w:val="24"/>
          <w:szCs w:val="24"/>
        </w:rPr>
      </w:sdtEndPr>
      <w:sdtContent>
        <w:p w14:paraId="17DFAB11" w14:textId="35F8861C" w:rsidR="00DF74EE" w:rsidRDefault="00DF74EE">
          <w:r>
            <w:rPr>
              <w:noProof/>
            </w:rPr>
            <mc:AlternateContent>
              <mc:Choice Requires="wpg">
                <w:drawing>
                  <wp:anchor distT="0" distB="0" distL="114300" distR="114300" simplePos="0" relativeHeight="251661824" behindDoc="0" locked="0" layoutInCell="1" allowOverlap="1" wp14:anchorId="7AB263BE" wp14:editId="28A9758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B9324F" id="Group 51" o:spid="_x0000_s1026" style="position:absolute;margin-left:0;margin-top:0;width:8in;height:95.7pt;z-index:25166182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56704" behindDoc="0" locked="0" layoutInCell="1" allowOverlap="1" wp14:anchorId="080F49B7" wp14:editId="4D8B9A6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AE9F5" w14:textId="78752EF1" w:rsidR="00DF74EE" w:rsidRDefault="00DF74E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0F49B7" id="_x0000_t202" coordsize="21600,21600" o:spt="202" path="m,l,21600r21600,l21600,xe">
                    <v:stroke joinstyle="miter"/>
                    <v:path gradientshapeok="t" o:connecttype="rect"/>
                  </v:shapetype>
                  <v:shape id="Text Box 52" o:spid="_x0000_s1026" type="#_x0000_t202" style="position:absolute;margin-left:0;margin-top:0;width:8in;height:1in;z-index:2516567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05AE9F5" w14:textId="78752EF1" w:rsidR="00DF74EE" w:rsidRDefault="00DF74EE">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55680" behindDoc="0" locked="0" layoutInCell="1" allowOverlap="1" wp14:anchorId="13ADAFCC" wp14:editId="4B93FEE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625B01" w14:textId="1DE0013C" w:rsidR="00DF74EE" w:rsidRPr="00DF74EE" w:rsidRDefault="00000000" w:rsidP="00DF74EE">
                                <w:pPr>
                                  <w:jc w:val="right"/>
                                  <w:rPr>
                                    <w:rFonts w:ascii="Arial" w:hAnsi="Arial" w:cs="Arial"/>
                                    <w:color w:val="156082" w:themeColor="accent1"/>
                                    <w:sz w:val="40"/>
                                    <w:szCs w:val="40"/>
                                  </w:rPr>
                                </w:pPr>
                                <w:sdt>
                                  <w:sdtPr>
                                    <w:rPr>
                                      <w:rFonts w:ascii="Arial" w:hAnsi="Arial"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F74EE" w:rsidRPr="00DF74EE">
                                      <w:rPr>
                                        <w:rFonts w:ascii="Arial" w:hAnsi="Arial" w:cs="Arial"/>
                                        <w:sz w:val="40"/>
                                        <w:szCs w:val="40"/>
                                      </w:rPr>
                                      <w:t>Essay: Discuss how the evolution</w:t>
                                    </w:r>
                                    <w:r w:rsidR="00DF74EE" w:rsidRPr="00DF74EE">
                                      <w:rPr>
                                        <w:rFonts w:ascii="Arial" w:hAnsi="Arial" w:cs="Arial"/>
                                        <w:sz w:val="40"/>
                                        <w:szCs w:val="40"/>
                                      </w:rPr>
                                      <w:br/>
                                      <w:t>of HRM facilitates the strategic</w:t>
                                    </w:r>
                                    <w:r w:rsidR="00DF74EE" w:rsidRPr="00DF74EE">
                                      <w:rPr>
                                        <w:rFonts w:ascii="Arial" w:hAnsi="Arial" w:cs="Arial"/>
                                        <w:sz w:val="40"/>
                                        <w:szCs w:val="40"/>
                                      </w:rPr>
                                      <w:br/>
                                      <w:t>development of an international</w:t>
                                    </w:r>
                                    <w:r w:rsidR="00DF74EE" w:rsidRPr="00DF74EE">
                                      <w:rPr>
                                        <w:rFonts w:ascii="Arial" w:hAnsi="Arial" w:cs="Arial"/>
                                        <w:sz w:val="40"/>
                                        <w:szCs w:val="40"/>
                                      </w:rPr>
                                      <w:br/>
                                      <w:t xml:space="preserve">hotel brand through </w:t>
                                    </w:r>
                                    <w:r w:rsidR="00DF74EE">
                                      <w:rPr>
                                        <w:rFonts w:ascii="Arial" w:hAnsi="Arial" w:cs="Arial"/>
                                        <w:sz w:val="40"/>
                                        <w:szCs w:val="40"/>
                                      </w:rPr>
                                      <w:t xml:space="preserve">the </w:t>
                                    </w:r>
                                    <w:r w:rsidR="00DF74EE" w:rsidRPr="00DF74EE">
                                      <w:rPr>
                                        <w:rFonts w:ascii="Arial" w:hAnsi="Arial" w:cs="Arial"/>
                                        <w:sz w:val="40"/>
                                        <w:szCs w:val="40"/>
                                      </w:rPr>
                                      <w:t>workforce</w:t>
                                    </w:r>
                                    <w:r w:rsidR="00DF74EE" w:rsidRPr="00DF74EE">
                                      <w:rPr>
                                        <w:rFonts w:ascii="Arial" w:hAnsi="Arial" w:cs="Arial"/>
                                        <w:sz w:val="40"/>
                                        <w:szCs w:val="40"/>
                                      </w:rPr>
                                      <w:br/>
                                      <w:t>planning, recruitment and</w:t>
                                    </w:r>
                                    <w:r w:rsidR="00DF74EE" w:rsidRPr="00DF74EE">
                                      <w:rPr>
                                        <w:rFonts w:ascii="Arial" w:hAnsi="Arial" w:cs="Arial"/>
                                        <w:sz w:val="40"/>
                                        <w:szCs w:val="40"/>
                                      </w:rPr>
                                      <w:br/>
                                      <w:t>selection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E4A3137" w14:textId="434BD205" w:rsidR="00DF74EE" w:rsidRDefault="00DF74E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ADAFCC" id="Text Box 54" o:spid="_x0000_s1027" type="#_x0000_t202" style="position:absolute;margin-left:0;margin-top:0;width:8in;height:286.5pt;z-index:251655680;visibility:visible;mso-wrap-style:square;mso-width-percent:0;mso-height-percent:0;mso-top-percent:300;mso-wrap-distance-left:9pt;mso-wrap-distance-top:0;mso-wrap-distance-right:9pt;mso-wrap-distance-bottom:0;mso-position-horizontal:center;mso-position-horizontal-relative:page;mso-position-vertical-relative:page;mso-width-percent:0;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CuRQib2gAAAAYBAAAPAAAAZHJz&#10;L2Rvd25yZXYueG1sTI/BTsMwEETvSPyDtUhcKmq3UaEKcSqE6BXUUu5uvE0s4nUUO03692y5wGWk&#10;0axm3habybfijH10gTQs5goEUhWso1rD4XP7sAYRkyFr2kCo4YIRNuXtTWFyG0ba4XmfasElFHOj&#10;oUmpy6WMVYPexHnokDg7hd6bxLavpe3NyOW+lUulHqU3jnihMR2+Nlh97wevIXOX+vA+RjW8fc1m&#10;HzvMtg4zre/vppdnEAmn9HcMV3xGh5KZjmEgG0WrgR9Jv3rNFqsl+6OG1VOmQJaF/I9f/gAAAP//&#10;AwBQSwECLQAUAAYACAAAACEAtoM4kv4AAADhAQAAEwAAAAAAAAAAAAAAAAAAAAAAW0NvbnRlbnRf&#10;VHlwZXNdLnhtbFBLAQItABQABgAIAAAAIQA4/SH/1gAAAJQBAAALAAAAAAAAAAAAAAAAAC8BAABf&#10;cmVscy8ucmVsc1BLAQItABQABgAIAAAAIQAFep04awIAAEAFAAAOAAAAAAAAAAAAAAAAAC4CAABk&#10;cnMvZTJvRG9jLnhtbFBLAQItABQABgAIAAAAIQCuRQib2gAAAAYBAAAPAAAAAAAAAAAAAAAAAMUE&#10;AABkcnMvZG93bnJldi54bWxQSwUGAAAAAAQABADzAAAAzAUAAAAA&#10;" filled="f" stroked="f" strokeweight=".5pt">
                    <v:textbox inset="126pt,0,54pt,0">
                      <w:txbxContent>
                        <w:p w14:paraId="5E625B01" w14:textId="1DE0013C" w:rsidR="00DF74EE" w:rsidRPr="00DF74EE" w:rsidRDefault="00000000" w:rsidP="00DF74EE">
                          <w:pPr>
                            <w:jc w:val="right"/>
                            <w:rPr>
                              <w:rFonts w:ascii="Arial" w:hAnsi="Arial" w:cs="Arial"/>
                              <w:color w:val="156082" w:themeColor="accent1"/>
                              <w:sz w:val="40"/>
                              <w:szCs w:val="40"/>
                            </w:rPr>
                          </w:pPr>
                          <w:sdt>
                            <w:sdtPr>
                              <w:rPr>
                                <w:rFonts w:ascii="Arial" w:hAnsi="Arial" w:cs="Arial"/>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DF74EE" w:rsidRPr="00DF74EE">
                                <w:rPr>
                                  <w:rFonts w:ascii="Arial" w:hAnsi="Arial" w:cs="Arial"/>
                                  <w:sz w:val="40"/>
                                  <w:szCs w:val="40"/>
                                </w:rPr>
                                <w:t>Essay: Discuss how the evolution</w:t>
                              </w:r>
                              <w:r w:rsidR="00DF74EE" w:rsidRPr="00DF74EE">
                                <w:rPr>
                                  <w:rFonts w:ascii="Arial" w:hAnsi="Arial" w:cs="Arial"/>
                                  <w:sz w:val="40"/>
                                  <w:szCs w:val="40"/>
                                </w:rPr>
                                <w:br/>
                                <w:t>of HRM facilitates the strategic</w:t>
                              </w:r>
                              <w:r w:rsidR="00DF74EE" w:rsidRPr="00DF74EE">
                                <w:rPr>
                                  <w:rFonts w:ascii="Arial" w:hAnsi="Arial" w:cs="Arial"/>
                                  <w:sz w:val="40"/>
                                  <w:szCs w:val="40"/>
                                </w:rPr>
                                <w:br/>
                                <w:t>development of an international</w:t>
                              </w:r>
                              <w:r w:rsidR="00DF74EE" w:rsidRPr="00DF74EE">
                                <w:rPr>
                                  <w:rFonts w:ascii="Arial" w:hAnsi="Arial" w:cs="Arial"/>
                                  <w:sz w:val="40"/>
                                  <w:szCs w:val="40"/>
                                </w:rPr>
                                <w:br/>
                                <w:t xml:space="preserve">hotel brand through </w:t>
                              </w:r>
                              <w:r w:rsidR="00DF74EE">
                                <w:rPr>
                                  <w:rFonts w:ascii="Arial" w:hAnsi="Arial" w:cs="Arial"/>
                                  <w:sz w:val="40"/>
                                  <w:szCs w:val="40"/>
                                </w:rPr>
                                <w:t xml:space="preserve">the </w:t>
                              </w:r>
                              <w:r w:rsidR="00DF74EE" w:rsidRPr="00DF74EE">
                                <w:rPr>
                                  <w:rFonts w:ascii="Arial" w:hAnsi="Arial" w:cs="Arial"/>
                                  <w:sz w:val="40"/>
                                  <w:szCs w:val="40"/>
                                </w:rPr>
                                <w:t>workforce</w:t>
                              </w:r>
                              <w:r w:rsidR="00DF74EE" w:rsidRPr="00DF74EE">
                                <w:rPr>
                                  <w:rFonts w:ascii="Arial" w:hAnsi="Arial" w:cs="Arial"/>
                                  <w:sz w:val="40"/>
                                  <w:szCs w:val="40"/>
                                </w:rPr>
                                <w:br/>
                                <w:t>planning, recruitment and</w:t>
                              </w:r>
                              <w:r w:rsidR="00DF74EE" w:rsidRPr="00DF74EE">
                                <w:rPr>
                                  <w:rFonts w:ascii="Arial" w:hAnsi="Arial" w:cs="Arial"/>
                                  <w:sz w:val="40"/>
                                  <w:szCs w:val="40"/>
                                </w:rPr>
                                <w:br/>
                                <w:t>selection</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E4A3137" w14:textId="434BD205" w:rsidR="00DF74EE" w:rsidRDefault="00DF74E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36400936" w14:textId="3D01ACE5" w:rsidR="00DF74EE" w:rsidRDefault="00DF74EE">
          <w:pPr>
            <w:rPr>
              <w:rFonts w:ascii="Arial" w:hAnsi="Arial" w:cs="Arial"/>
              <w:sz w:val="24"/>
              <w:szCs w:val="24"/>
            </w:rPr>
          </w:pPr>
          <w:r>
            <w:rPr>
              <w:noProof/>
            </w:rPr>
            <mc:AlternateContent>
              <mc:Choice Requires="wps">
                <w:drawing>
                  <wp:anchor distT="0" distB="0" distL="114300" distR="114300" simplePos="0" relativeHeight="251660800" behindDoc="0" locked="0" layoutInCell="1" allowOverlap="1" wp14:anchorId="7FAECEE8" wp14:editId="48248B52">
                    <wp:simplePos x="0" y="0"/>
                    <wp:positionH relativeFrom="page">
                      <wp:posOffset>297180</wp:posOffset>
                    </wp:positionH>
                    <wp:positionV relativeFrom="page">
                      <wp:posOffset>8389620</wp:posOffset>
                    </wp:positionV>
                    <wp:extent cx="7315200" cy="1234440"/>
                    <wp:effectExtent l="0" t="0" r="0" b="381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2344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A183B" w14:textId="41721F83" w:rsidR="00DF74EE" w:rsidRDefault="00DF74EE" w:rsidP="00DF74EE">
                                <w:pPr>
                                  <w:pStyle w:val="NoSpacing"/>
                                  <w:jc w:val="center"/>
                                  <w:rPr>
                                    <w:rFonts w:ascii="Arial" w:hAnsi="Arial" w:cs="Arial"/>
                                    <w:b/>
                                    <w:bCs/>
                                    <w:sz w:val="32"/>
                                    <w:szCs w:val="32"/>
                                  </w:rPr>
                                </w:pPr>
                                <w:r>
                                  <w:rPr>
                                    <w:rFonts w:ascii="Arial" w:hAnsi="Arial" w:cs="Arial"/>
                                    <w:b/>
                                    <w:bCs/>
                                    <w:sz w:val="32"/>
                                    <w:szCs w:val="32"/>
                                  </w:rPr>
                                  <w:t xml:space="preserve">Student name: Velislava </w:t>
                                </w:r>
                                <w:proofErr w:type="spellStart"/>
                                <w:r>
                                  <w:rPr>
                                    <w:rFonts w:ascii="Arial" w:hAnsi="Arial" w:cs="Arial"/>
                                    <w:b/>
                                    <w:bCs/>
                                    <w:sz w:val="32"/>
                                    <w:szCs w:val="32"/>
                                  </w:rPr>
                                  <w:t>Stoycheva</w:t>
                                </w:r>
                                <w:proofErr w:type="spellEnd"/>
                                <w:r>
                                  <w:rPr>
                                    <w:rFonts w:ascii="Arial" w:hAnsi="Arial" w:cs="Arial"/>
                                    <w:b/>
                                    <w:bCs/>
                                    <w:sz w:val="32"/>
                                    <w:szCs w:val="32"/>
                                  </w:rPr>
                                  <w:t xml:space="preserve"> Hristova</w:t>
                                </w:r>
                              </w:p>
                              <w:p w14:paraId="535F4EDB" w14:textId="21FDA048" w:rsidR="00DF74EE" w:rsidRDefault="00DF74EE" w:rsidP="00DF74EE">
                                <w:pPr>
                                  <w:pStyle w:val="NoSpacing"/>
                                  <w:jc w:val="center"/>
                                  <w:rPr>
                                    <w:rFonts w:ascii="Arial" w:hAnsi="Arial" w:cs="Arial"/>
                                    <w:b/>
                                    <w:bCs/>
                                    <w:sz w:val="32"/>
                                    <w:szCs w:val="32"/>
                                  </w:rPr>
                                </w:pPr>
                                <w:r>
                                  <w:rPr>
                                    <w:rFonts w:ascii="Arial" w:hAnsi="Arial" w:cs="Arial"/>
                                    <w:b/>
                                    <w:bCs/>
                                    <w:sz w:val="32"/>
                                    <w:szCs w:val="32"/>
                                  </w:rPr>
                                  <w:t>Student ID :2233502</w:t>
                                </w:r>
                              </w:p>
                              <w:p w14:paraId="37BD7170" w14:textId="1C67AC4F" w:rsidR="00DF74EE" w:rsidRPr="00DF74EE" w:rsidRDefault="00DF74EE" w:rsidP="00DF74EE">
                                <w:pPr>
                                  <w:pStyle w:val="NoSpacing"/>
                                  <w:jc w:val="center"/>
                                  <w:rPr>
                                    <w:rFonts w:ascii="Arial" w:hAnsi="Arial" w:cs="Arial"/>
                                    <w:b/>
                                    <w:bCs/>
                                    <w:sz w:val="32"/>
                                    <w:szCs w:val="32"/>
                                  </w:rPr>
                                </w:pPr>
                                <w:r w:rsidRPr="00DF74EE">
                                  <w:rPr>
                                    <w:rFonts w:ascii="Arial" w:hAnsi="Arial" w:cs="Arial"/>
                                    <w:b/>
                                    <w:bCs/>
                                    <w:sz w:val="32"/>
                                    <w:szCs w:val="32"/>
                                  </w:rPr>
                                  <w:t xml:space="preserve">Module: Personnel Resourcing and Development </w:t>
                                </w:r>
                              </w:p>
                              <w:p w14:paraId="603A5FDE" w14:textId="7B60482A" w:rsidR="00DF74EE" w:rsidRDefault="00DF74EE" w:rsidP="00DF74EE">
                                <w:pPr>
                                  <w:pStyle w:val="NoSpacing"/>
                                  <w:jc w:val="center"/>
                                  <w:rPr>
                                    <w:rFonts w:ascii="Arial" w:hAnsi="Arial" w:cs="Arial"/>
                                    <w:b/>
                                    <w:bCs/>
                                    <w:sz w:val="32"/>
                                    <w:szCs w:val="32"/>
                                  </w:rPr>
                                </w:pPr>
                                <w:r w:rsidRPr="00DF74EE">
                                  <w:rPr>
                                    <w:rFonts w:ascii="Arial" w:hAnsi="Arial" w:cs="Arial"/>
                                    <w:b/>
                                    <w:bCs/>
                                    <w:sz w:val="32"/>
                                    <w:szCs w:val="32"/>
                                  </w:rPr>
                                  <w:t>Module code: BMIH5005</w:t>
                                </w:r>
                              </w:p>
                              <w:p w14:paraId="3F6AB554" w14:textId="522FB450" w:rsidR="00DF74EE" w:rsidRDefault="00DF74EE" w:rsidP="00DF74EE">
                                <w:pPr>
                                  <w:pStyle w:val="NoSpacing"/>
                                  <w:jc w:val="center"/>
                                  <w:rPr>
                                    <w:rFonts w:ascii="Arial" w:hAnsi="Arial" w:cs="Arial"/>
                                    <w:b/>
                                    <w:bCs/>
                                    <w:sz w:val="32"/>
                                    <w:szCs w:val="32"/>
                                  </w:rPr>
                                </w:pPr>
                                <w:r>
                                  <w:rPr>
                                    <w:rFonts w:ascii="Arial" w:hAnsi="Arial" w:cs="Arial"/>
                                    <w:b/>
                                    <w:bCs/>
                                    <w:sz w:val="32"/>
                                    <w:szCs w:val="32"/>
                                  </w:rPr>
                                  <w:t>Lecturer: Helen Lee</w:t>
                                </w:r>
                              </w:p>
                              <w:p w14:paraId="30715769" w14:textId="77777777" w:rsidR="00DF74EE" w:rsidRPr="00DF74EE" w:rsidRDefault="00DF74EE" w:rsidP="00DF74EE">
                                <w:pPr>
                                  <w:pStyle w:val="NoSpacing"/>
                                  <w:jc w:val="center"/>
                                  <w:rPr>
                                    <w:rFonts w:ascii="Arial" w:hAnsi="Arial" w:cs="Arial"/>
                                    <w:b/>
                                    <w:bCs/>
                                    <w:color w:val="595959" w:themeColor="text1" w:themeTint="A6"/>
                                    <w:sz w:val="32"/>
                                    <w:szCs w:val="32"/>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FAECEE8" id="Text Box 53" o:spid="_x0000_s1028" type="#_x0000_t202" style="position:absolute;margin-left:23.4pt;margin-top:660.6pt;width:8in;height:97.2pt;z-index:25166080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1HkbwIAAEAFAAAOAAAAZHJzL2Uyb0RvYy54bWysVN9P2zAQfp+0/8Hy+0ha2g5VpKgrYppU&#10;AQImnl3HptEcn2dfm3R//c5O0iK2F6a9OBffd7+/8+VVWxu2Vz5UYAs+Oss5U1ZCWdmXgn9/uvl0&#10;wVlAYUthwKqCH1TgV4uPHy4bN1dj2IIplWfkxIZ54wq+RXTzLAtyq2oRzsApS0oNvhZIv/4lK71o&#10;yHttsnGez7IGfOk8SBUC3V53Sr5I/rVWEu+0DgqZKTjlhun06dzEM1tcivmLF25byT4N8Q9Z1KKy&#10;FPTo6lqgYDtf/eGqrqSHABrPJNQZaF1JlWqgakb5m2oet8KpVAs1J7hjm8L/cytv94/u3jNsv0BL&#10;A4wNaVyYB7qM9bTa1/FLmTLSUwsPx7apFpmky8/noynNgjNJutH4fDKZpMZmJ3PnA35VULMoFNzT&#10;XFK7xH4dkEISdIDEaBZuKmPSbIxlTcFn59M8GRw1ZGFsxKo05d7NKfUk4cGoiDH2QWlWlamCeJH4&#10;pVbGs70gZggplcVUfPJL6IjSlMR7DHv8Kav3GHd1DJHB4tG4riz4VP2btMsfQ8q6w1MjX9UdRWw3&#10;LRVe8PEw2Q2UBxq4h24XgpM3FQ1lLQLeC0/kp0HSQuMdHdoANR96ibMt+F9/u4944iRpOWtomQoe&#10;fu6EV5yZb5bYOprleWIIpl+K4JMwu5heROJshmu7q1dAAxnRq+FkEiMYzSBqD/UzrfwyBiSVsJLC&#10;FhwHcYXddtOTIdVymUC0ak7g2j46GV3H+US2PbXPwruekkhsvoVh48T8DTM7bLS0sNwh6CrRNra4&#10;a2jfelrTxOb+SYnvwOv/hDo9fIvfAAAA//8DAFBLAwQUAAYACAAAACEA2n0S+uEAAAANAQAADwAA&#10;AGRycy9kb3ducmV2LnhtbEyPzU7DQAyE70i8w8pI3OgmgYQSsqkQUKQeQKJF4rrNmiRif6Ksm4a3&#10;xz3BzZ4ZjT9Xq9lZMeEY++AVpIsEBPommN63Cj5266sliEjaG22DRwU/GGFVn59VujTh6N9x2lIr&#10;uMTHUivoiIZSyth06HRchAE9e19hdJp4HVtpRn3kcmdlliSFdLr3fKHTAz522HxvD05BQTS+zsnt&#10;5m3IP6f1hnbP9uVJqcuL+eEeBOFMf2E44TM61My0DwdvorAKbgomJ9avszQDcUqkd0vW9jzlaV6A&#10;rCv5/4v6FwAA//8DAFBLAQItABQABgAIAAAAIQC2gziS/gAAAOEBAAATAAAAAAAAAAAAAAAAAAAA&#10;AABbQ29udGVudF9UeXBlc10ueG1sUEsBAi0AFAAGAAgAAAAhADj9If/WAAAAlAEAAAsAAAAAAAAA&#10;AAAAAAAALwEAAF9yZWxzLy5yZWxzUEsBAi0AFAAGAAgAAAAhABHnUeRvAgAAQAUAAA4AAAAAAAAA&#10;AAAAAAAALgIAAGRycy9lMm9Eb2MueG1sUEsBAi0AFAAGAAgAAAAhANp9EvrhAAAADQEAAA8AAAAA&#10;AAAAAAAAAAAAyQQAAGRycy9kb3ducmV2LnhtbFBLBQYAAAAABAAEAPMAAADXBQAAAAA=&#10;" filled="f" stroked="f" strokeweight=".5pt">
                    <v:textbox inset="126pt,0,54pt,0">
                      <w:txbxContent>
                        <w:p w14:paraId="504A183B" w14:textId="41721F83" w:rsidR="00DF74EE" w:rsidRDefault="00DF74EE" w:rsidP="00DF74EE">
                          <w:pPr>
                            <w:pStyle w:val="NoSpacing"/>
                            <w:jc w:val="center"/>
                            <w:rPr>
                              <w:rFonts w:ascii="Arial" w:hAnsi="Arial" w:cs="Arial"/>
                              <w:b/>
                              <w:bCs/>
                              <w:sz w:val="32"/>
                              <w:szCs w:val="32"/>
                            </w:rPr>
                          </w:pPr>
                          <w:r>
                            <w:rPr>
                              <w:rFonts w:ascii="Arial" w:hAnsi="Arial" w:cs="Arial"/>
                              <w:b/>
                              <w:bCs/>
                              <w:sz w:val="32"/>
                              <w:szCs w:val="32"/>
                            </w:rPr>
                            <w:t xml:space="preserve">Student name: Velislava </w:t>
                          </w:r>
                          <w:proofErr w:type="spellStart"/>
                          <w:r>
                            <w:rPr>
                              <w:rFonts w:ascii="Arial" w:hAnsi="Arial" w:cs="Arial"/>
                              <w:b/>
                              <w:bCs/>
                              <w:sz w:val="32"/>
                              <w:szCs w:val="32"/>
                            </w:rPr>
                            <w:t>Stoycheva</w:t>
                          </w:r>
                          <w:proofErr w:type="spellEnd"/>
                          <w:r>
                            <w:rPr>
                              <w:rFonts w:ascii="Arial" w:hAnsi="Arial" w:cs="Arial"/>
                              <w:b/>
                              <w:bCs/>
                              <w:sz w:val="32"/>
                              <w:szCs w:val="32"/>
                            </w:rPr>
                            <w:t xml:space="preserve"> Hristova</w:t>
                          </w:r>
                        </w:p>
                        <w:p w14:paraId="535F4EDB" w14:textId="21FDA048" w:rsidR="00DF74EE" w:rsidRDefault="00DF74EE" w:rsidP="00DF74EE">
                          <w:pPr>
                            <w:pStyle w:val="NoSpacing"/>
                            <w:jc w:val="center"/>
                            <w:rPr>
                              <w:rFonts w:ascii="Arial" w:hAnsi="Arial" w:cs="Arial"/>
                              <w:b/>
                              <w:bCs/>
                              <w:sz w:val="32"/>
                              <w:szCs w:val="32"/>
                            </w:rPr>
                          </w:pPr>
                          <w:r>
                            <w:rPr>
                              <w:rFonts w:ascii="Arial" w:hAnsi="Arial" w:cs="Arial"/>
                              <w:b/>
                              <w:bCs/>
                              <w:sz w:val="32"/>
                              <w:szCs w:val="32"/>
                            </w:rPr>
                            <w:t>Student ID :2233502</w:t>
                          </w:r>
                        </w:p>
                        <w:p w14:paraId="37BD7170" w14:textId="1C67AC4F" w:rsidR="00DF74EE" w:rsidRPr="00DF74EE" w:rsidRDefault="00DF74EE" w:rsidP="00DF74EE">
                          <w:pPr>
                            <w:pStyle w:val="NoSpacing"/>
                            <w:jc w:val="center"/>
                            <w:rPr>
                              <w:rFonts w:ascii="Arial" w:hAnsi="Arial" w:cs="Arial"/>
                              <w:b/>
                              <w:bCs/>
                              <w:sz w:val="32"/>
                              <w:szCs w:val="32"/>
                            </w:rPr>
                          </w:pPr>
                          <w:r w:rsidRPr="00DF74EE">
                            <w:rPr>
                              <w:rFonts w:ascii="Arial" w:hAnsi="Arial" w:cs="Arial"/>
                              <w:b/>
                              <w:bCs/>
                              <w:sz w:val="32"/>
                              <w:szCs w:val="32"/>
                            </w:rPr>
                            <w:t xml:space="preserve">Module: Personnel Resourcing and Development </w:t>
                          </w:r>
                        </w:p>
                        <w:p w14:paraId="603A5FDE" w14:textId="7B60482A" w:rsidR="00DF74EE" w:rsidRDefault="00DF74EE" w:rsidP="00DF74EE">
                          <w:pPr>
                            <w:pStyle w:val="NoSpacing"/>
                            <w:jc w:val="center"/>
                            <w:rPr>
                              <w:rFonts w:ascii="Arial" w:hAnsi="Arial" w:cs="Arial"/>
                              <w:b/>
                              <w:bCs/>
                              <w:sz w:val="32"/>
                              <w:szCs w:val="32"/>
                            </w:rPr>
                          </w:pPr>
                          <w:r w:rsidRPr="00DF74EE">
                            <w:rPr>
                              <w:rFonts w:ascii="Arial" w:hAnsi="Arial" w:cs="Arial"/>
                              <w:b/>
                              <w:bCs/>
                              <w:sz w:val="32"/>
                              <w:szCs w:val="32"/>
                            </w:rPr>
                            <w:t>Module code: BMIH5005</w:t>
                          </w:r>
                        </w:p>
                        <w:p w14:paraId="3F6AB554" w14:textId="522FB450" w:rsidR="00DF74EE" w:rsidRDefault="00DF74EE" w:rsidP="00DF74EE">
                          <w:pPr>
                            <w:pStyle w:val="NoSpacing"/>
                            <w:jc w:val="center"/>
                            <w:rPr>
                              <w:rFonts w:ascii="Arial" w:hAnsi="Arial" w:cs="Arial"/>
                              <w:b/>
                              <w:bCs/>
                              <w:sz w:val="32"/>
                              <w:szCs w:val="32"/>
                            </w:rPr>
                          </w:pPr>
                          <w:r>
                            <w:rPr>
                              <w:rFonts w:ascii="Arial" w:hAnsi="Arial" w:cs="Arial"/>
                              <w:b/>
                              <w:bCs/>
                              <w:sz w:val="32"/>
                              <w:szCs w:val="32"/>
                            </w:rPr>
                            <w:t>Lecturer: Helen Lee</w:t>
                          </w:r>
                        </w:p>
                        <w:p w14:paraId="30715769" w14:textId="77777777" w:rsidR="00DF74EE" w:rsidRPr="00DF74EE" w:rsidRDefault="00DF74EE" w:rsidP="00DF74EE">
                          <w:pPr>
                            <w:pStyle w:val="NoSpacing"/>
                            <w:jc w:val="center"/>
                            <w:rPr>
                              <w:rFonts w:ascii="Arial" w:hAnsi="Arial" w:cs="Arial"/>
                              <w:b/>
                              <w:bCs/>
                              <w:color w:val="595959" w:themeColor="text1" w:themeTint="A6"/>
                              <w:sz w:val="32"/>
                              <w:szCs w:val="32"/>
                            </w:rPr>
                          </w:pPr>
                        </w:p>
                      </w:txbxContent>
                    </v:textbox>
                    <w10:wrap type="square" anchorx="page" anchory="page"/>
                  </v:shape>
                </w:pict>
              </mc:Fallback>
            </mc:AlternateContent>
          </w:r>
          <w:r>
            <w:rPr>
              <w:rFonts w:ascii="Arial" w:hAnsi="Arial" w:cs="Arial"/>
              <w:noProof/>
              <w:sz w:val="24"/>
              <w:szCs w:val="24"/>
            </w:rPr>
            <w:drawing>
              <wp:inline distT="0" distB="0" distL="0" distR="0" wp14:anchorId="2E1EF006" wp14:editId="19F979E8">
                <wp:extent cx="2621280" cy="1743710"/>
                <wp:effectExtent l="0" t="0" r="7620" b="8890"/>
                <wp:docPr id="206475997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743710"/>
                        </a:xfrm>
                        <a:prstGeom prst="rect">
                          <a:avLst/>
                        </a:prstGeom>
                        <a:noFill/>
                      </pic:spPr>
                    </pic:pic>
                  </a:graphicData>
                </a:graphic>
              </wp:inline>
            </w:drawing>
          </w:r>
          <w:r>
            <w:rPr>
              <w:rFonts w:ascii="Arial" w:hAnsi="Arial" w:cs="Arial"/>
              <w:sz w:val="24"/>
              <w:szCs w:val="24"/>
            </w:rPr>
            <w:br w:type="page"/>
          </w:r>
        </w:p>
      </w:sdtContent>
    </w:sdt>
    <w:p w14:paraId="4D98406B" w14:textId="44EF9550" w:rsidR="001554F2" w:rsidRDefault="001554F2" w:rsidP="001554F2">
      <w:pPr>
        <w:spacing w:line="360" w:lineRule="auto"/>
        <w:jc w:val="both"/>
        <w:rPr>
          <w:rFonts w:ascii="Arial" w:hAnsi="Arial" w:cs="Arial"/>
          <w:b/>
          <w:bCs/>
          <w:sz w:val="24"/>
          <w:szCs w:val="24"/>
        </w:rPr>
      </w:pPr>
      <w:r w:rsidRPr="001554F2">
        <w:rPr>
          <w:rFonts w:ascii="Arial" w:hAnsi="Arial" w:cs="Arial"/>
          <w:b/>
          <w:bCs/>
          <w:sz w:val="24"/>
          <w:szCs w:val="24"/>
        </w:rPr>
        <w:lastRenderedPageBreak/>
        <w:t>Title: The Evolution of HRM in Hilton: A Catalyst for Strategic Development</w:t>
      </w:r>
    </w:p>
    <w:p w14:paraId="2A44C7D5" w14:textId="77777777" w:rsidR="006249BF" w:rsidRDefault="006249BF" w:rsidP="001554F2">
      <w:pPr>
        <w:spacing w:line="360" w:lineRule="auto"/>
        <w:jc w:val="both"/>
        <w:rPr>
          <w:rFonts w:ascii="Arial" w:hAnsi="Arial" w:cs="Arial"/>
          <w:b/>
          <w:bCs/>
          <w:sz w:val="24"/>
          <w:szCs w:val="24"/>
        </w:rPr>
      </w:pPr>
    </w:p>
    <w:p w14:paraId="755C7B9F" w14:textId="5490B6A9" w:rsidR="006249BF"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In the ever-evolving landscape of the global hospitality industry, international hotel brands like Hilton must strategically manage their human resources to stay ahead. This essay delves into how the evolution of Human Resources Management (HRM) in Hilton contributes to strategic development through efficient workforce planning, recruitment, and selection processes. By exploring the shifting roles of HRM, the strategic functions of HR, and the intricacies of HR planning and recruitment, we gain insights into Hilton's unique approach to sustaining a competitive edge in the international hotel sector.</w:t>
      </w:r>
    </w:p>
    <w:p w14:paraId="1F6FD991" w14:textId="4EBC5C8B" w:rsidR="006249BF"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The evolution of HRM signifies a transition from a traditional administrative role to a strategic partner within organizations (Armstrong &amp; Taylor, 2020). The 15th edition of "Armstrong’s Handbook of Human Resource Management Practice" accentuates this transformation, emphasizing the alignment of HR practices with overarching business objectives. Historically, HR departments were viewed as entities responsible for administrative tasks such as payroll and benefits management. However, with globalization and increased competition, HRM has evolved to become a strategic enabler for organizational success.</w:t>
      </w:r>
    </w:p>
    <w:p w14:paraId="1E323EAF" w14:textId="77777777" w:rsidR="001554F2" w:rsidRDefault="001554F2" w:rsidP="001554F2">
      <w:pPr>
        <w:spacing w:line="360" w:lineRule="auto"/>
        <w:jc w:val="both"/>
        <w:rPr>
          <w:rFonts w:ascii="Arial" w:hAnsi="Arial" w:cs="Arial"/>
          <w:sz w:val="24"/>
          <w:szCs w:val="24"/>
        </w:rPr>
      </w:pPr>
      <w:r w:rsidRPr="001554F2">
        <w:rPr>
          <w:rFonts w:ascii="Arial" w:hAnsi="Arial" w:cs="Arial"/>
          <w:sz w:val="24"/>
          <w:szCs w:val="24"/>
        </w:rPr>
        <w:t>The strategic role of HR functions within Hilton is integral to the brand's success. Torrington et al. (2020) highlight that HR functions extend beyond personnel administration to actively shape organizational strategies. In Hilton, HR functions are strategic partners actively involved in aligning the workforce with the brand's overall goals and objectives. This strategic alignment is evident in Hilton's commitment to developing a diverse and talented workforce capable of delivering exceptional service globally.</w:t>
      </w:r>
    </w:p>
    <w:p w14:paraId="4FE13CA7" w14:textId="78B7B81E"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 xml:space="preserve">Strategic HR planning at Hilton involves forecasting </w:t>
      </w:r>
      <w:proofErr w:type="spellStart"/>
      <w:r w:rsidR="00502423">
        <w:rPr>
          <w:rFonts w:ascii="Arial" w:hAnsi="Arial" w:cs="Arial"/>
          <w:sz w:val="24"/>
          <w:szCs w:val="24"/>
        </w:rPr>
        <w:t>labor</w:t>
      </w:r>
      <w:proofErr w:type="spellEnd"/>
      <w:r w:rsidRPr="001554F2">
        <w:rPr>
          <w:rFonts w:ascii="Arial" w:hAnsi="Arial" w:cs="Arial"/>
          <w:sz w:val="24"/>
          <w:szCs w:val="24"/>
        </w:rPr>
        <w:t xml:space="preserve"> demand and supply, goal setting, and strategic planning (Marchington &amp; Wilkinson, 2016). Forecasting </w:t>
      </w:r>
      <w:proofErr w:type="spellStart"/>
      <w:r w:rsidR="00502423">
        <w:rPr>
          <w:rFonts w:ascii="Arial" w:hAnsi="Arial" w:cs="Arial"/>
          <w:sz w:val="24"/>
          <w:szCs w:val="24"/>
        </w:rPr>
        <w:t>labor</w:t>
      </w:r>
      <w:proofErr w:type="spellEnd"/>
      <w:r w:rsidRPr="001554F2">
        <w:rPr>
          <w:rFonts w:ascii="Arial" w:hAnsi="Arial" w:cs="Arial"/>
          <w:sz w:val="24"/>
          <w:szCs w:val="24"/>
        </w:rPr>
        <w:t xml:space="preserve"> demand necessitates anticipating staffing needs based on factors such as seasonal variations, market trends, and organizational growth. Goal setting ensures that HR initiatives align with Hilton's overarching business strategy. For example, Hilton's commitment to sustainability is reflected in its HR planning, where efforts are made to </w:t>
      </w:r>
      <w:r w:rsidRPr="001554F2">
        <w:rPr>
          <w:rFonts w:ascii="Arial" w:hAnsi="Arial" w:cs="Arial"/>
          <w:sz w:val="24"/>
          <w:szCs w:val="24"/>
        </w:rPr>
        <w:lastRenderedPageBreak/>
        <w:t>hire individuals with expertise in eco-friendly practices, contributing to the brand's environmental objectives.</w:t>
      </w:r>
    </w:p>
    <w:p w14:paraId="0EE0A29F" w14:textId="77777777"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The implementation and evaluation of HR programs in Hilton are essential for continuous improvement and adaptability in the competitive hotel industry. Regular assessments of training programs, employee engagement initiatives, and performance management systems allow Hilton to fine-tune its HR strategies. This adaptability is crucial in an industry where customer preferences and market dynamics are constantly changing.</w:t>
      </w:r>
    </w:p>
    <w:p w14:paraId="46475F60" w14:textId="77777777"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Hilton's recruitment and selection processes are meticulously designed to attract and retain top talent. The eBook "Human Resource Management" by Torrington et al. (2020) underscores the importance of effective recruitment processes in securing a skilled and motivated workforce. Hilton's recruitment stages involve sourcing candidates with specific skills and attributes tailored to the hospitality sector. For instance, the emphasis on cultural competence and language skills in recruitment ensures that Hilton's employees can effectively communicate and connect with diverse guests.</w:t>
      </w:r>
    </w:p>
    <w:p w14:paraId="3B22CF60" w14:textId="0CB808D2"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 xml:space="preserve">The selection process at Hilton is thorough, ensuring candidates not only meet job requirements but also align with Hilton's values and service standards. </w:t>
      </w:r>
      <w:proofErr w:type="spellStart"/>
      <w:r w:rsidR="00502423">
        <w:rPr>
          <w:rFonts w:ascii="Arial" w:hAnsi="Arial" w:cs="Arial"/>
          <w:sz w:val="24"/>
          <w:szCs w:val="24"/>
        </w:rPr>
        <w:t>Behavioral</w:t>
      </w:r>
      <w:proofErr w:type="spellEnd"/>
      <w:r w:rsidRPr="001554F2">
        <w:rPr>
          <w:rFonts w:ascii="Arial" w:hAnsi="Arial" w:cs="Arial"/>
          <w:sz w:val="24"/>
          <w:szCs w:val="24"/>
        </w:rPr>
        <w:t xml:space="preserve"> interviews and skills assessments are integral components of Hilton's selection process, ensuring that selected candidates not only possess the technical skills required for the job but also embody the brand's ethos. This meticulous selection process contributes to the creation of a workforce that is not only skilled but also aligned with Hilton's commitment to exceptional customer service.</w:t>
      </w:r>
    </w:p>
    <w:p w14:paraId="0FACA1B6" w14:textId="58AFA3F9"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 xml:space="preserve">Hilton's commitment to strategic HRM is exemplified in its workforce planning, recruitment, and selection processes. For instance, Hilton engages in comprehensive workforce planning to accommodate seasonal demand fluctuations, optimizing staffing levels to ensure operational efficiency. This involves forecasting peak periods and adjusting staffing </w:t>
      </w:r>
      <w:r w:rsidR="00502423" w:rsidRPr="001554F2">
        <w:rPr>
          <w:rFonts w:ascii="Arial" w:hAnsi="Arial" w:cs="Arial"/>
          <w:sz w:val="24"/>
          <w:szCs w:val="24"/>
        </w:rPr>
        <w:t>levels,</w:t>
      </w:r>
      <w:r w:rsidRPr="001554F2">
        <w:rPr>
          <w:rFonts w:ascii="Arial" w:hAnsi="Arial" w:cs="Arial"/>
          <w:sz w:val="24"/>
          <w:szCs w:val="24"/>
        </w:rPr>
        <w:t xml:space="preserve"> accordingly, ensuring that Hilton can provide a seamless and exceptional guest experience during high-demand periods.</w:t>
      </w:r>
    </w:p>
    <w:p w14:paraId="6CC46C8D" w14:textId="77777777"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 xml:space="preserve">In recruitment, Hilton actively seeks individuals with cultural competence and language skills suitable for diverse markets, contributing to the brand's global success. The emphasis on diversity and inclusion in recruitment is aligned with contemporary </w:t>
      </w:r>
      <w:r w:rsidRPr="001554F2">
        <w:rPr>
          <w:rFonts w:ascii="Arial" w:hAnsi="Arial" w:cs="Arial"/>
          <w:sz w:val="24"/>
          <w:szCs w:val="24"/>
        </w:rPr>
        <w:lastRenderedPageBreak/>
        <w:t>research that emphasizes the positive impact of diverse teams on organizational performance (Cox &amp; Blake, 1991). By actively seeking individuals with diverse perspectives and backgrounds, Hilton enhances its ability to adapt to different market nuances and deliver tailored services to a global clientele.</w:t>
      </w:r>
    </w:p>
    <w:p w14:paraId="46854838" w14:textId="040A8A18"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 xml:space="preserve">The selection process at Hilton involves </w:t>
      </w:r>
      <w:proofErr w:type="spellStart"/>
      <w:r w:rsidR="000A560B">
        <w:rPr>
          <w:rFonts w:ascii="Arial" w:hAnsi="Arial" w:cs="Arial"/>
          <w:sz w:val="24"/>
          <w:szCs w:val="24"/>
        </w:rPr>
        <w:t>behavioral</w:t>
      </w:r>
      <w:proofErr w:type="spellEnd"/>
      <w:r w:rsidRPr="001554F2">
        <w:rPr>
          <w:rFonts w:ascii="Arial" w:hAnsi="Arial" w:cs="Arial"/>
          <w:sz w:val="24"/>
          <w:szCs w:val="24"/>
        </w:rPr>
        <w:t xml:space="preserve"> interviews and skills assessments, ensuring that selected candidates not only possess the technical skills required for the job but also embody the brand's ethos. For instance, Hilton's commitment to sustainability is reflected in its selection process, where candidates with a demonstrated passion for environmental conservation may be given preference. This aligns with the contemporary trend of organizations incorporating environmental and social responsibility into their hiring criteria (Sharma &amp; Iyer, 2020).</w:t>
      </w:r>
    </w:p>
    <w:p w14:paraId="18005167" w14:textId="77777777"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The managerial and business environment within which Hilton's HR professionals operate is influenced by various internal and external factors (Friedman, 2012). Internally, organizational culture and structure shape HR strategies, while externally, factors such as economic conditions, regulatory changes, and industry trends impact decision-making. Hilton's HR professionals navigate these complexities, crafting HR strategies that align with the brand's overarching goals and ensure a competitive edge in the global hospitality market.</w:t>
      </w:r>
    </w:p>
    <w:p w14:paraId="5F3F8D59" w14:textId="23607A8F"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Internally, Hilton's organizational culture is characterized by a commitment to excellence, innovation, and customer satisfaction. HR strategies are crafted to reinforce and promote this culture, ensuring that employees at all levels embody the values that define the Hilton brand. For instance, training programs may emphasize customer-centric approaches and performance management systems may be designed to recognize and reward employees who consistently deliver exceptional service.</w:t>
      </w:r>
    </w:p>
    <w:p w14:paraId="241E7144" w14:textId="5B779380"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 xml:space="preserve">Externally, economic conditions, regulatory changes, and industry trends significantly impact HR decision-making. Economic downturns may necessitate cost-effective HR strategies, such as optimizing staffing levels and introducing flexible work arrangements. Regulatory changes, especially in the areas of </w:t>
      </w:r>
      <w:proofErr w:type="spellStart"/>
      <w:r w:rsidR="00502423">
        <w:rPr>
          <w:rFonts w:ascii="Arial" w:hAnsi="Arial" w:cs="Arial"/>
          <w:sz w:val="24"/>
          <w:szCs w:val="24"/>
        </w:rPr>
        <w:t>labor</w:t>
      </w:r>
      <w:proofErr w:type="spellEnd"/>
      <w:r w:rsidRPr="001554F2">
        <w:rPr>
          <w:rFonts w:ascii="Arial" w:hAnsi="Arial" w:cs="Arial"/>
          <w:sz w:val="24"/>
          <w:szCs w:val="24"/>
        </w:rPr>
        <w:t xml:space="preserve"> and environmental laws, may require Hilton to adapt its HR policies to remain compliant. Industry trends, such as the rise of technology in hospitality services, may influence HR strategies related to workforce skill development and training.</w:t>
      </w:r>
    </w:p>
    <w:p w14:paraId="7EE3489C" w14:textId="77777777"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lastRenderedPageBreak/>
        <w:t>Hilton's focus on personnel development contributes significantly to positive organizational outcomes. Continuing professional development, as emphasized by Friedman (2012), ensures that HR professionals at Hilton stay abreast of industry trends, enabling them to contribute effectively to organizational success. This commitment to ongoing learning extends beyond HR professionals to include all levels of employees within Hilton.</w:t>
      </w:r>
    </w:p>
    <w:p w14:paraId="70657F5B" w14:textId="7EC31257"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 xml:space="preserve">For HR professionals, continuous learning involves staying informed about emerging trends in HR technology, changes in </w:t>
      </w:r>
      <w:proofErr w:type="spellStart"/>
      <w:r w:rsidR="00502423">
        <w:rPr>
          <w:rFonts w:ascii="Arial" w:hAnsi="Arial" w:cs="Arial"/>
          <w:sz w:val="24"/>
          <w:szCs w:val="24"/>
        </w:rPr>
        <w:t>labor</w:t>
      </w:r>
      <w:proofErr w:type="spellEnd"/>
      <w:r w:rsidRPr="001554F2">
        <w:rPr>
          <w:rFonts w:ascii="Arial" w:hAnsi="Arial" w:cs="Arial"/>
          <w:sz w:val="24"/>
          <w:szCs w:val="24"/>
        </w:rPr>
        <w:t xml:space="preserve"> laws, and innovations in talent management. This ongoing development ensures that HR strategies remain agile and responsive to evolving industry standards. Additionally, HR professionals may participate in industry conferences, workshops, and webinars to exchange insights with peers and stay updated on best practices in the field.</w:t>
      </w:r>
    </w:p>
    <w:p w14:paraId="00D3BB7A" w14:textId="77777777"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At the operational level, Hilton invests in the continuous training and development of its frontline staff. Training programs focus on equipping employees with the skills and knowledge necessary to deliver exceptional service. For instance, employees may undergo regular training on the use of new technology in hospitality services, ensuring that they can efficiently navigate digital platforms and provide guests with a seamless experience.</w:t>
      </w:r>
    </w:p>
    <w:p w14:paraId="08DEFE19" w14:textId="251ED292" w:rsidR="001554F2" w:rsidRPr="001554F2" w:rsidRDefault="001554F2" w:rsidP="001554F2">
      <w:pPr>
        <w:spacing w:line="360" w:lineRule="auto"/>
        <w:jc w:val="both"/>
        <w:rPr>
          <w:rFonts w:ascii="Arial" w:hAnsi="Arial" w:cs="Arial"/>
          <w:sz w:val="24"/>
          <w:szCs w:val="24"/>
        </w:rPr>
      </w:pPr>
      <w:r w:rsidRPr="001554F2">
        <w:rPr>
          <w:rFonts w:ascii="Arial" w:hAnsi="Arial" w:cs="Arial"/>
          <w:sz w:val="24"/>
          <w:szCs w:val="24"/>
        </w:rPr>
        <w:t>The positive organizational outcomes resulting from personnel development are evident in various aspects of Hilton's performance. Employee satisfaction and engagement are likely to be higher among individuals who feel supported in their professional growth. Higher engagement levels contribute to lower turnover rates, creating a stable and experienced workforce that positively impacts the quality of service delivered to guests (Harter et al., 2002). Moreover, ongoing personnel development aligns with contemporary research indicating a positive correlation between employee development and organizational performance (</w:t>
      </w:r>
      <w:proofErr w:type="spellStart"/>
      <w:r w:rsidRPr="001554F2">
        <w:rPr>
          <w:rFonts w:ascii="Arial" w:hAnsi="Arial" w:cs="Arial"/>
          <w:sz w:val="24"/>
          <w:szCs w:val="24"/>
        </w:rPr>
        <w:t>Marsick</w:t>
      </w:r>
      <w:proofErr w:type="spellEnd"/>
      <w:r w:rsidRPr="001554F2">
        <w:rPr>
          <w:rFonts w:ascii="Arial" w:hAnsi="Arial" w:cs="Arial"/>
          <w:sz w:val="24"/>
          <w:szCs w:val="24"/>
        </w:rPr>
        <w:t xml:space="preserve"> &amp; Watkins, 2003).</w:t>
      </w:r>
    </w:p>
    <w:p w14:paraId="6DC6CB10" w14:textId="2B371099" w:rsidR="001554F2" w:rsidRDefault="001554F2" w:rsidP="001554F2">
      <w:pPr>
        <w:spacing w:line="360" w:lineRule="auto"/>
        <w:jc w:val="both"/>
        <w:rPr>
          <w:rFonts w:ascii="Arial" w:hAnsi="Arial" w:cs="Arial"/>
          <w:sz w:val="24"/>
          <w:szCs w:val="24"/>
        </w:rPr>
      </w:pPr>
      <w:r w:rsidRPr="001554F2">
        <w:rPr>
          <w:rFonts w:ascii="Arial" w:hAnsi="Arial" w:cs="Arial"/>
          <w:sz w:val="24"/>
          <w:szCs w:val="24"/>
        </w:rPr>
        <w:t xml:space="preserve">In conclusion, the evolution of HRM in </w:t>
      </w:r>
      <w:r w:rsidR="006249BF">
        <w:rPr>
          <w:rFonts w:ascii="Arial" w:hAnsi="Arial" w:cs="Arial"/>
          <w:sz w:val="24"/>
          <w:szCs w:val="24"/>
        </w:rPr>
        <w:t xml:space="preserve">the </w:t>
      </w:r>
      <w:r w:rsidRPr="001554F2">
        <w:rPr>
          <w:rFonts w:ascii="Arial" w:hAnsi="Arial" w:cs="Arial"/>
          <w:sz w:val="24"/>
          <w:szCs w:val="24"/>
        </w:rPr>
        <w:t xml:space="preserve">Hilton International Hotel Brand is a critical factor in facilitating strategic development through effective workforce planning, recruitment, and selection processes. Hilton's strategic approach to HR functions aligns with its overall business objectives, contributing to the brand's competitive advantage in the international hotel industry. The examination of the managerial and </w:t>
      </w:r>
      <w:r w:rsidRPr="001554F2">
        <w:rPr>
          <w:rFonts w:ascii="Arial" w:hAnsi="Arial" w:cs="Arial"/>
          <w:sz w:val="24"/>
          <w:szCs w:val="24"/>
        </w:rPr>
        <w:lastRenderedPageBreak/>
        <w:t>business environment highlights the challenges and opportunities faced by HR professionals in crafting HR strategies that address both internal and external factors. The personnel development initiatives at Hilton underscore the brand's commitment to sustaining a skilled and engaged workforce, positively impacting organizational outcomes.</w:t>
      </w:r>
    </w:p>
    <w:p w14:paraId="46F1F29C" w14:textId="77777777" w:rsidR="006249BF" w:rsidRDefault="006249BF" w:rsidP="001554F2">
      <w:pPr>
        <w:spacing w:line="360" w:lineRule="auto"/>
        <w:jc w:val="both"/>
        <w:rPr>
          <w:rFonts w:ascii="Arial" w:hAnsi="Arial" w:cs="Arial"/>
          <w:sz w:val="24"/>
          <w:szCs w:val="24"/>
        </w:rPr>
      </w:pPr>
    </w:p>
    <w:p w14:paraId="3BFEEAD0" w14:textId="77777777" w:rsidR="006249BF" w:rsidRDefault="006249BF" w:rsidP="001554F2">
      <w:pPr>
        <w:spacing w:line="360" w:lineRule="auto"/>
        <w:jc w:val="both"/>
        <w:rPr>
          <w:rFonts w:ascii="Arial" w:hAnsi="Arial" w:cs="Arial"/>
          <w:sz w:val="24"/>
          <w:szCs w:val="24"/>
        </w:rPr>
      </w:pPr>
    </w:p>
    <w:p w14:paraId="630B36C4" w14:textId="77777777" w:rsidR="006249BF" w:rsidRDefault="006249BF" w:rsidP="001554F2">
      <w:pPr>
        <w:spacing w:line="360" w:lineRule="auto"/>
        <w:jc w:val="both"/>
        <w:rPr>
          <w:rFonts w:ascii="Arial" w:hAnsi="Arial" w:cs="Arial"/>
          <w:sz w:val="24"/>
          <w:szCs w:val="24"/>
        </w:rPr>
      </w:pPr>
    </w:p>
    <w:p w14:paraId="150A75B4" w14:textId="77777777" w:rsidR="006249BF" w:rsidRDefault="006249BF" w:rsidP="001554F2">
      <w:pPr>
        <w:spacing w:line="360" w:lineRule="auto"/>
        <w:jc w:val="both"/>
        <w:rPr>
          <w:rFonts w:ascii="Arial" w:hAnsi="Arial" w:cs="Arial"/>
          <w:sz w:val="24"/>
          <w:szCs w:val="24"/>
        </w:rPr>
      </w:pPr>
    </w:p>
    <w:p w14:paraId="6449343C" w14:textId="77777777" w:rsidR="006249BF" w:rsidRDefault="006249BF" w:rsidP="001554F2">
      <w:pPr>
        <w:spacing w:line="360" w:lineRule="auto"/>
        <w:jc w:val="both"/>
        <w:rPr>
          <w:rFonts w:ascii="Arial" w:hAnsi="Arial" w:cs="Arial"/>
          <w:sz w:val="24"/>
          <w:szCs w:val="24"/>
        </w:rPr>
      </w:pPr>
    </w:p>
    <w:p w14:paraId="4543A93B" w14:textId="77777777" w:rsidR="006249BF" w:rsidRDefault="006249BF" w:rsidP="001554F2">
      <w:pPr>
        <w:spacing w:line="360" w:lineRule="auto"/>
        <w:jc w:val="both"/>
        <w:rPr>
          <w:rFonts w:ascii="Arial" w:hAnsi="Arial" w:cs="Arial"/>
          <w:sz w:val="24"/>
          <w:szCs w:val="24"/>
        </w:rPr>
      </w:pPr>
    </w:p>
    <w:p w14:paraId="17D58516" w14:textId="77777777" w:rsidR="006249BF" w:rsidRDefault="006249BF" w:rsidP="001554F2">
      <w:pPr>
        <w:spacing w:line="360" w:lineRule="auto"/>
        <w:jc w:val="both"/>
        <w:rPr>
          <w:rFonts w:ascii="Arial" w:hAnsi="Arial" w:cs="Arial"/>
          <w:sz w:val="24"/>
          <w:szCs w:val="24"/>
        </w:rPr>
      </w:pPr>
    </w:p>
    <w:p w14:paraId="6681C789" w14:textId="77777777" w:rsidR="006249BF" w:rsidRDefault="006249BF" w:rsidP="001554F2">
      <w:pPr>
        <w:spacing w:line="360" w:lineRule="auto"/>
        <w:jc w:val="both"/>
        <w:rPr>
          <w:rFonts w:ascii="Arial" w:hAnsi="Arial" w:cs="Arial"/>
          <w:sz w:val="24"/>
          <w:szCs w:val="24"/>
        </w:rPr>
      </w:pPr>
    </w:p>
    <w:p w14:paraId="2BACD025" w14:textId="77777777" w:rsidR="006249BF" w:rsidRPr="001554F2" w:rsidRDefault="006249BF" w:rsidP="001554F2">
      <w:pPr>
        <w:spacing w:line="360" w:lineRule="auto"/>
        <w:jc w:val="both"/>
        <w:rPr>
          <w:rFonts w:ascii="Arial" w:hAnsi="Arial" w:cs="Arial"/>
          <w:sz w:val="24"/>
          <w:szCs w:val="24"/>
        </w:rPr>
      </w:pPr>
    </w:p>
    <w:p w14:paraId="2D97779C" w14:textId="77777777" w:rsidR="005B6E9F" w:rsidRDefault="005B6E9F" w:rsidP="001554F2">
      <w:pPr>
        <w:spacing w:line="360" w:lineRule="auto"/>
        <w:jc w:val="both"/>
        <w:rPr>
          <w:rFonts w:ascii="Arial" w:hAnsi="Arial" w:cs="Arial"/>
          <w:b/>
          <w:bCs/>
          <w:sz w:val="24"/>
          <w:szCs w:val="24"/>
        </w:rPr>
      </w:pPr>
    </w:p>
    <w:p w14:paraId="3BD020C0" w14:textId="77777777" w:rsidR="005B6E9F" w:rsidRDefault="005B6E9F" w:rsidP="001554F2">
      <w:pPr>
        <w:spacing w:line="360" w:lineRule="auto"/>
        <w:jc w:val="both"/>
        <w:rPr>
          <w:rFonts w:ascii="Arial" w:hAnsi="Arial" w:cs="Arial"/>
          <w:b/>
          <w:bCs/>
          <w:sz w:val="24"/>
          <w:szCs w:val="24"/>
        </w:rPr>
      </w:pPr>
    </w:p>
    <w:p w14:paraId="248F1969" w14:textId="77777777" w:rsidR="005B6E9F" w:rsidRDefault="005B6E9F" w:rsidP="001554F2">
      <w:pPr>
        <w:spacing w:line="360" w:lineRule="auto"/>
        <w:jc w:val="both"/>
        <w:rPr>
          <w:rFonts w:ascii="Arial" w:hAnsi="Arial" w:cs="Arial"/>
          <w:b/>
          <w:bCs/>
          <w:sz w:val="24"/>
          <w:szCs w:val="24"/>
        </w:rPr>
      </w:pPr>
    </w:p>
    <w:p w14:paraId="2EF90B78" w14:textId="77777777" w:rsidR="005B6E9F" w:rsidRDefault="005B6E9F" w:rsidP="001554F2">
      <w:pPr>
        <w:spacing w:line="360" w:lineRule="auto"/>
        <w:jc w:val="both"/>
        <w:rPr>
          <w:rFonts w:ascii="Arial" w:hAnsi="Arial" w:cs="Arial"/>
          <w:b/>
          <w:bCs/>
          <w:sz w:val="24"/>
          <w:szCs w:val="24"/>
        </w:rPr>
      </w:pPr>
    </w:p>
    <w:p w14:paraId="7910E09A" w14:textId="77777777" w:rsidR="005B6E9F" w:rsidRDefault="005B6E9F" w:rsidP="001554F2">
      <w:pPr>
        <w:spacing w:line="360" w:lineRule="auto"/>
        <w:jc w:val="both"/>
        <w:rPr>
          <w:rFonts w:ascii="Arial" w:hAnsi="Arial" w:cs="Arial"/>
          <w:b/>
          <w:bCs/>
          <w:sz w:val="24"/>
          <w:szCs w:val="24"/>
        </w:rPr>
      </w:pPr>
    </w:p>
    <w:p w14:paraId="7427BA2C" w14:textId="77777777" w:rsidR="005B6E9F" w:rsidRDefault="005B6E9F" w:rsidP="001554F2">
      <w:pPr>
        <w:spacing w:line="360" w:lineRule="auto"/>
        <w:jc w:val="both"/>
        <w:rPr>
          <w:rFonts w:ascii="Arial" w:hAnsi="Arial" w:cs="Arial"/>
          <w:b/>
          <w:bCs/>
          <w:sz w:val="24"/>
          <w:szCs w:val="24"/>
        </w:rPr>
      </w:pPr>
    </w:p>
    <w:p w14:paraId="25317D30" w14:textId="77777777" w:rsidR="005B6E9F" w:rsidRDefault="005B6E9F" w:rsidP="001554F2">
      <w:pPr>
        <w:spacing w:line="360" w:lineRule="auto"/>
        <w:jc w:val="both"/>
        <w:rPr>
          <w:rFonts w:ascii="Arial" w:hAnsi="Arial" w:cs="Arial"/>
          <w:b/>
          <w:bCs/>
          <w:sz w:val="24"/>
          <w:szCs w:val="24"/>
        </w:rPr>
      </w:pPr>
    </w:p>
    <w:p w14:paraId="66B06CCE" w14:textId="77777777" w:rsidR="005B6E9F" w:rsidRDefault="005B6E9F" w:rsidP="001554F2">
      <w:pPr>
        <w:spacing w:line="360" w:lineRule="auto"/>
        <w:jc w:val="both"/>
        <w:rPr>
          <w:rFonts w:ascii="Arial" w:hAnsi="Arial" w:cs="Arial"/>
          <w:b/>
          <w:bCs/>
          <w:sz w:val="24"/>
          <w:szCs w:val="24"/>
        </w:rPr>
      </w:pPr>
    </w:p>
    <w:p w14:paraId="6F42785B" w14:textId="77777777" w:rsidR="005B6E9F" w:rsidRDefault="005B6E9F" w:rsidP="001554F2">
      <w:pPr>
        <w:spacing w:line="360" w:lineRule="auto"/>
        <w:jc w:val="both"/>
        <w:rPr>
          <w:rFonts w:ascii="Arial" w:hAnsi="Arial" w:cs="Arial"/>
          <w:b/>
          <w:bCs/>
          <w:sz w:val="24"/>
          <w:szCs w:val="24"/>
        </w:rPr>
      </w:pPr>
    </w:p>
    <w:p w14:paraId="5D904D28" w14:textId="77777777" w:rsidR="005B6E9F" w:rsidRDefault="005B6E9F" w:rsidP="001554F2">
      <w:pPr>
        <w:spacing w:line="360" w:lineRule="auto"/>
        <w:jc w:val="both"/>
        <w:rPr>
          <w:rFonts w:ascii="Arial" w:hAnsi="Arial" w:cs="Arial"/>
          <w:b/>
          <w:bCs/>
          <w:sz w:val="24"/>
          <w:szCs w:val="24"/>
        </w:rPr>
      </w:pPr>
    </w:p>
    <w:p w14:paraId="6675711D" w14:textId="77777777" w:rsidR="005B6E9F" w:rsidRDefault="005B6E9F" w:rsidP="001554F2">
      <w:pPr>
        <w:spacing w:line="360" w:lineRule="auto"/>
        <w:jc w:val="both"/>
        <w:rPr>
          <w:rFonts w:ascii="Arial" w:hAnsi="Arial" w:cs="Arial"/>
          <w:b/>
          <w:bCs/>
          <w:sz w:val="24"/>
          <w:szCs w:val="24"/>
        </w:rPr>
      </w:pPr>
    </w:p>
    <w:p w14:paraId="7E6917AD" w14:textId="14FA6EB2" w:rsidR="001554F2" w:rsidRDefault="001554F2" w:rsidP="001554F2">
      <w:pPr>
        <w:spacing w:line="360" w:lineRule="auto"/>
        <w:jc w:val="both"/>
        <w:rPr>
          <w:rFonts w:ascii="Arial" w:hAnsi="Arial" w:cs="Arial"/>
          <w:b/>
          <w:bCs/>
          <w:sz w:val="24"/>
          <w:szCs w:val="24"/>
        </w:rPr>
      </w:pPr>
      <w:r w:rsidRPr="001554F2">
        <w:rPr>
          <w:rFonts w:ascii="Arial" w:hAnsi="Arial" w:cs="Arial"/>
          <w:b/>
          <w:bCs/>
          <w:sz w:val="24"/>
          <w:szCs w:val="24"/>
        </w:rPr>
        <w:lastRenderedPageBreak/>
        <w:t>Reference List</w:t>
      </w:r>
      <w:r w:rsidR="006249BF">
        <w:rPr>
          <w:rFonts w:ascii="Arial" w:hAnsi="Arial" w:cs="Arial"/>
          <w:b/>
          <w:bCs/>
          <w:sz w:val="24"/>
          <w:szCs w:val="24"/>
        </w:rPr>
        <w:t>:</w:t>
      </w:r>
    </w:p>
    <w:p w14:paraId="73C968AE" w14:textId="77777777" w:rsidR="006249BF" w:rsidRPr="001554F2" w:rsidRDefault="006249BF" w:rsidP="001554F2">
      <w:pPr>
        <w:spacing w:line="360" w:lineRule="auto"/>
        <w:jc w:val="both"/>
        <w:rPr>
          <w:rFonts w:ascii="Arial" w:hAnsi="Arial" w:cs="Arial"/>
          <w:b/>
          <w:bCs/>
          <w:sz w:val="24"/>
          <w:szCs w:val="24"/>
        </w:rPr>
      </w:pPr>
    </w:p>
    <w:p w14:paraId="20BE3339" w14:textId="78EAEDD3"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Armstrong, M., &amp; Taylor, S. (2020). </w:t>
      </w:r>
      <w:r w:rsidRPr="001554F2">
        <w:rPr>
          <w:rFonts w:ascii="Arial" w:hAnsi="Arial" w:cs="Arial"/>
          <w:i/>
          <w:iCs/>
          <w:sz w:val="24"/>
          <w:szCs w:val="24"/>
        </w:rPr>
        <w:t>Armstrong’s handbook of human resource management practice.</w:t>
      </w:r>
      <w:r w:rsidRPr="001554F2">
        <w:rPr>
          <w:rFonts w:ascii="Arial" w:hAnsi="Arial" w:cs="Arial"/>
          <w:sz w:val="24"/>
          <w:szCs w:val="24"/>
        </w:rPr>
        <w:t xml:space="preserve"> 15th edition. </w:t>
      </w:r>
      <w:r w:rsidR="000A560B" w:rsidRPr="001554F2">
        <w:rPr>
          <w:rFonts w:ascii="Arial" w:hAnsi="Arial" w:cs="Arial"/>
          <w:sz w:val="24"/>
          <w:szCs w:val="24"/>
        </w:rPr>
        <w:t>Kogan Page</w:t>
      </w:r>
      <w:r w:rsidRPr="001554F2">
        <w:rPr>
          <w:rFonts w:ascii="Arial" w:hAnsi="Arial" w:cs="Arial"/>
          <w:sz w:val="24"/>
          <w:szCs w:val="24"/>
        </w:rPr>
        <w:t>.</w:t>
      </w:r>
    </w:p>
    <w:p w14:paraId="3BBFD06C" w14:textId="77777777"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Torrington, D., Hall, L., Atkinson, C., &amp; Taylor, S. (2020). </w:t>
      </w:r>
      <w:r w:rsidRPr="001554F2">
        <w:rPr>
          <w:rFonts w:ascii="Arial" w:hAnsi="Arial" w:cs="Arial"/>
          <w:i/>
          <w:iCs/>
          <w:sz w:val="24"/>
          <w:szCs w:val="24"/>
        </w:rPr>
        <w:t>Human Resource Management.</w:t>
      </w:r>
      <w:r w:rsidRPr="001554F2">
        <w:rPr>
          <w:rFonts w:ascii="Arial" w:hAnsi="Arial" w:cs="Arial"/>
          <w:sz w:val="24"/>
          <w:szCs w:val="24"/>
        </w:rPr>
        <w:t xml:space="preserve"> Pearson Education, Limited, Harlow.</w:t>
      </w:r>
    </w:p>
    <w:p w14:paraId="48AB9A59" w14:textId="77777777"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Friedman, A. (2012). </w:t>
      </w:r>
      <w:r w:rsidRPr="001554F2">
        <w:rPr>
          <w:rFonts w:ascii="Arial" w:hAnsi="Arial" w:cs="Arial"/>
          <w:i/>
          <w:iCs/>
          <w:sz w:val="24"/>
          <w:szCs w:val="24"/>
        </w:rPr>
        <w:t>Continuing professional development: lifelong learning of millions.</w:t>
      </w:r>
      <w:r w:rsidRPr="001554F2">
        <w:rPr>
          <w:rFonts w:ascii="Arial" w:hAnsi="Arial" w:cs="Arial"/>
          <w:sz w:val="24"/>
          <w:szCs w:val="24"/>
        </w:rPr>
        <w:t xml:space="preserve"> Routledge.</w:t>
      </w:r>
    </w:p>
    <w:p w14:paraId="7A4D1D5F" w14:textId="77777777"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Marchington, M., &amp; Wilkinson, A. (2016). </w:t>
      </w:r>
      <w:r w:rsidRPr="001554F2">
        <w:rPr>
          <w:rFonts w:ascii="Arial" w:hAnsi="Arial" w:cs="Arial"/>
          <w:i/>
          <w:iCs/>
          <w:sz w:val="24"/>
          <w:szCs w:val="24"/>
        </w:rPr>
        <w:t>Human resource management at work.</w:t>
      </w:r>
      <w:r w:rsidRPr="001554F2">
        <w:rPr>
          <w:rFonts w:ascii="Arial" w:hAnsi="Arial" w:cs="Arial"/>
          <w:sz w:val="24"/>
          <w:szCs w:val="24"/>
        </w:rPr>
        <w:t xml:space="preserve"> 6th ed. Chartered Institute of Personnel and Development.</w:t>
      </w:r>
    </w:p>
    <w:p w14:paraId="7B6CCBEE" w14:textId="77777777"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Cox, T., &amp; Blake, S. (1991). Managing cultural diversity: Implications for organizational competitiveness. Academy of Management Executive, 5(3), 45-56.</w:t>
      </w:r>
    </w:p>
    <w:p w14:paraId="17D86492" w14:textId="77777777"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Sharma, S., &amp; Iyer, G. R. (2020). Corporate social responsibility and human resource management: A systematic review and conceptual analysis. Sustainability, 12(15), 6017.</w:t>
      </w:r>
    </w:p>
    <w:p w14:paraId="6396F94C" w14:textId="77777777"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Harter, J. K., Schmidt, F. L., &amp; Hayes, T. L. (2002). Business-unit-level relationship between employee satisfaction, employee engagement, and business outcomes: A meta-analysis. Journal of Applied Psychology, 87(2), 268.</w:t>
      </w:r>
    </w:p>
    <w:p w14:paraId="31E6C4A8" w14:textId="77777777" w:rsidR="001554F2" w:rsidRPr="001554F2" w:rsidRDefault="001554F2" w:rsidP="001554F2">
      <w:pPr>
        <w:numPr>
          <w:ilvl w:val="0"/>
          <w:numId w:val="1"/>
        </w:numPr>
        <w:spacing w:line="360" w:lineRule="auto"/>
        <w:jc w:val="both"/>
        <w:rPr>
          <w:rFonts w:ascii="Arial" w:hAnsi="Arial" w:cs="Arial"/>
          <w:sz w:val="24"/>
          <w:szCs w:val="24"/>
        </w:rPr>
      </w:pPr>
      <w:proofErr w:type="spellStart"/>
      <w:r w:rsidRPr="001554F2">
        <w:rPr>
          <w:rFonts w:ascii="Arial" w:hAnsi="Arial" w:cs="Arial"/>
          <w:sz w:val="24"/>
          <w:szCs w:val="24"/>
        </w:rPr>
        <w:t>Marsick</w:t>
      </w:r>
      <w:proofErr w:type="spellEnd"/>
      <w:r w:rsidRPr="001554F2">
        <w:rPr>
          <w:rFonts w:ascii="Arial" w:hAnsi="Arial" w:cs="Arial"/>
          <w:sz w:val="24"/>
          <w:szCs w:val="24"/>
        </w:rPr>
        <w:t>, V. J., &amp; Watkins, K. E. (2003). Demonstrating the value of an organization’s learning culture: The dimensions of the learning organization questionnaire. Advances in Developing Human Resources, 5(2), 132-151.</w:t>
      </w:r>
    </w:p>
    <w:p w14:paraId="7D133805" w14:textId="492E0C2C"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People Management. </w:t>
      </w:r>
      <w:r w:rsidR="00AF4313">
        <w:rPr>
          <w:rFonts w:ascii="Arial" w:hAnsi="Arial" w:cs="Arial"/>
          <w:sz w:val="24"/>
          <w:szCs w:val="24"/>
        </w:rPr>
        <w:t xml:space="preserve">Available at: </w:t>
      </w:r>
      <w:hyperlink r:id="rId8" w:history="1">
        <w:r w:rsidR="00AF4313" w:rsidRPr="00065B50">
          <w:rPr>
            <w:rStyle w:val="Hyperlink"/>
            <w:rFonts w:ascii="Arial" w:hAnsi="Arial" w:cs="Arial"/>
            <w:sz w:val="24"/>
            <w:szCs w:val="24"/>
          </w:rPr>
          <w:t>https://www.peoplemanagement.co.uk/</w:t>
        </w:r>
      </w:hyperlink>
      <w:r w:rsidR="00AF4313">
        <w:rPr>
          <w:rFonts w:ascii="Arial" w:hAnsi="Arial" w:cs="Arial"/>
          <w:sz w:val="24"/>
          <w:szCs w:val="24"/>
        </w:rPr>
        <w:t xml:space="preserve"> [</w:t>
      </w:r>
      <w:r w:rsidR="00502423">
        <w:rPr>
          <w:rFonts w:ascii="Arial" w:hAnsi="Arial" w:cs="Arial"/>
          <w:sz w:val="24"/>
          <w:szCs w:val="24"/>
        </w:rPr>
        <w:t>Accessed:</w:t>
      </w:r>
      <w:r w:rsidR="00AF4313">
        <w:rPr>
          <w:rFonts w:ascii="Arial" w:hAnsi="Arial" w:cs="Arial"/>
          <w:sz w:val="24"/>
          <w:szCs w:val="24"/>
        </w:rPr>
        <w:t xml:space="preserve"> 31/01/2024]</w:t>
      </w:r>
    </w:p>
    <w:p w14:paraId="65591399" w14:textId="3CBD50C5"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Personnel Today.</w:t>
      </w:r>
      <w:r w:rsidR="00AF4313">
        <w:rPr>
          <w:rFonts w:ascii="Arial" w:hAnsi="Arial" w:cs="Arial"/>
          <w:sz w:val="24"/>
          <w:szCs w:val="24"/>
        </w:rPr>
        <w:t xml:space="preserve"> Available </w:t>
      </w:r>
      <w:r w:rsidR="00502423">
        <w:rPr>
          <w:rFonts w:ascii="Arial" w:hAnsi="Arial" w:cs="Arial"/>
          <w:sz w:val="24"/>
          <w:szCs w:val="24"/>
        </w:rPr>
        <w:t>at:</w:t>
      </w:r>
      <w:r w:rsidR="00AF4313">
        <w:rPr>
          <w:rFonts w:ascii="Arial" w:hAnsi="Arial" w:cs="Arial"/>
          <w:sz w:val="24"/>
          <w:szCs w:val="24"/>
        </w:rPr>
        <w:t xml:space="preserve"> </w:t>
      </w:r>
      <w:hyperlink r:id="rId9" w:history="1">
        <w:r w:rsidR="00AF4313" w:rsidRPr="00065B50">
          <w:rPr>
            <w:rStyle w:val="Hyperlink"/>
            <w:rFonts w:ascii="Arial" w:hAnsi="Arial" w:cs="Arial"/>
            <w:sz w:val="24"/>
            <w:szCs w:val="24"/>
          </w:rPr>
          <w:t>https://www.personneltoday.com/</w:t>
        </w:r>
      </w:hyperlink>
      <w:r w:rsidR="00AF4313">
        <w:rPr>
          <w:rFonts w:ascii="Arial" w:hAnsi="Arial" w:cs="Arial"/>
          <w:sz w:val="24"/>
          <w:szCs w:val="24"/>
        </w:rPr>
        <w:t xml:space="preserve"> [</w:t>
      </w:r>
      <w:r w:rsidR="00502423">
        <w:rPr>
          <w:rFonts w:ascii="Arial" w:hAnsi="Arial" w:cs="Arial"/>
          <w:sz w:val="24"/>
          <w:szCs w:val="24"/>
        </w:rPr>
        <w:t>Accessed:</w:t>
      </w:r>
      <w:r w:rsidR="00AF4313">
        <w:rPr>
          <w:rFonts w:ascii="Arial" w:hAnsi="Arial" w:cs="Arial"/>
          <w:sz w:val="24"/>
          <w:szCs w:val="24"/>
        </w:rPr>
        <w:t xml:space="preserve"> 31/01/2024]</w:t>
      </w:r>
    </w:p>
    <w:p w14:paraId="2551B11F" w14:textId="03EB5961"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Human Resource Management Journal.</w:t>
      </w:r>
      <w:r w:rsidR="00AF4313">
        <w:rPr>
          <w:rFonts w:ascii="Arial" w:hAnsi="Arial" w:cs="Arial"/>
          <w:sz w:val="24"/>
          <w:szCs w:val="24"/>
        </w:rPr>
        <w:t xml:space="preserve"> Available at: </w:t>
      </w:r>
      <w:hyperlink r:id="rId10" w:history="1">
        <w:r w:rsidR="00AF4313" w:rsidRPr="00065B50">
          <w:rPr>
            <w:rStyle w:val="Hyperlink"/>
            <w:rFonts w:ascii="Arial" w:hAnsi="Arial" w:cs="Arial"/>
            <w:sz w:val="24"/>
            <w:szCs w:val="24"/>
          </w:rPr>
          <w:t>https://onlinelibrary.wiley.com/</w:t>
        </w:r>
      </w:hyperlink>
      <w:r w:rsidR="00AF4313">
        <w:rPr>
          <w:rFonts w:ascii="Arial" w:hAnsi="Arial" w:cs="Arial"/>
          <w:sz w:val="24"/>
          <w:szCs w:val="24"/>
        </w:rPr>
        <w:t xml:space="preserve"> [</w:t>
      </w:r>
      <w:r w:rsidR="00502423">
        <w:rPr>
          <w:rFonts w:ascii="Arial" w:hAnsi="Arial" w:cs="Arial"/>
          <w:sz w:val="24"/>
          <w:szCs w:val="24"/>
        </w:rPr>
        <w:t>Accessed:</w:t>
      </w:r>
      <w:r w:rsidR="00AF4313">
        <w:rPr>
          <w:rFonts w:ascii="Arial" w:hAnsi="Arial" w:cs="Arial"/>
          <w:sz w:val="24"/>
          <w:szCs w:val="24"/>
        </w:rPr>
        <w:t xml:space="preserve"> 31/01/2024] </w:t>
      </w:r>
    </w:p>
    <w:p w14:paraId="4A04B240" w14:textId="53F86F94"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lastRenderedPageBreak/>
        <w:t>International Journal of Human Resource Management</w:t>
      </w:r>
      <w:r w:rsidR="00BF6132">
        <w:rPr>
          <w:rFonts w:ascii="Arial" w:hAnsi="Arial" w:cs="Arial"/>
          <w:sz w:val="24"/>
          <w:szCs w:val="24"/>
        </w:rPr>
        <w:t>.</w:t>
      </w:r>
      <w:r w:rsidRPr="001554F2">
        <w:rPr>
          <w:rFonts w:ascii="Arial" w:hAnsi="Arial" w:cs="Arial"/>
          <w:sz w:val="24"/>
          <w:szCs w:val="24"/>
        </w:rPr>
        <w:t xml:space="preserve"> </w:t>
      </w:r>
      <w:r w:rsidR="00BF6132">
        <w:rPr>
          <w:rFonts w:ascii="Arial" w:hAnsi="Arial" w:cs="Arial"/>
          <w:sz w:val="24"/>
          <w:szCs w:val="24"/>
        </w:rPr>
        <w:t xml:space="preserve">Available at: </w:t>
      </w:r>
      <w:hyperlink r:id="rId11" w:history="1">
        <w:r w:rsidR="00BF6132" w:rsidRPr="00065B50">
          <w:rPr>
            <w:rStyle w:val="Hyperlink"/>
            <w:rFonts w:ascii="Arial" w:hAnsi="Arial" w:cs="Arial"/>
            <w:sz w:val="24"/>
            <w:szCs w:val="24"/>
          </w:rPr>
          <w:t>https://www.tandfonline.com/toc/rijh20/current</w:t>
        </w:r>
      </w:hyperlink>
      <w:r w:rsidR="00150815">
        <w:rPr>
          <w:rFonts w:ascii="Arial" w:hAnsi="Arial" w:cs="Arial"/>
          <w:sz w:val="24"/>
          <w:szCs w:val="24"/>
        </w:rPr>
        <w:t>.</w:t>
      </w:r>
      <w:r w:rsidR="00BF6132">
        <w:rPr>
          <w:rFonts w:ascii="Arial" w:hAnsi="Arial" w:cs="Arial"/>
          <w:sz w:val="24"/>
          <w:szCs w:val="24"/>
        </w:rPr>
        <w:t xml:space="preserve"> </w:t>
      </w:r>
      <w:r w:rsidR="00502423">
        <w:rPr>
          <w:rFonts w:ascii="Arial" w:hAnsi="Arial" w:cs="Arial"/>
          <w:sz w:val="24"/>
          <w:szCs w:val="24"/>
        </w:rPr>
        <w:t>[</w:t>
      </w:r>
      <w:r w:rsidR="00BF6132">
        <w:rPr>
          <w:rFonts w:ascii="Arial" w:hAnsi="Arial" w:cs="Arial"/>
          <w:sz w:val="24"/>
          <w:szCs w:val="24"/>
        </w:rPr>
        <w:t>Accessed: 01/02/2024</w:t>
      </w:r>
      <w:r w:rsidR="00502423">
        <w:rPr>
          <w:rFonts w:ascii="Arial" w:hAnsi="Arial" w:cs="Arial"/>
          <w:sz w:val="24"/>
          <w:szCs w:val="24"/>
        </w:rPr>
        <w:t>]</w:t>
      </w:r>
    </w:p>
    <w:p w14:paraId="31371FBC" w14:textId="6DCF19A5"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Journal</w:t>
      </w:r>
      <w:r w:rsidR="00150815">
        <w:rPr>
          <w:rFonts w:ascii="Arial" w:hAnsi="Arial" w:cs="Arial"/>
          <w:sz w:val="24"/>
          <w:szCs w:val="24"/>
        </w:rPr>
        <w:t xml:space="preserve"> </w:t>
      </w:r>
      <w:r w:rsidRPr="001554F2">
        <w:rPr>
          <w:rFonts w:ascii="Arial" w:hAnsi="Arial" w:cs="Arial"/>
          <w:sz w:val="24"/>
          <w:szCs w:val="24"/>
        </w:rPr>
        <w:t>of Human Resources</w:t>
      </w:r>
      <w:r w:rsidR="00BF6132">
        <w:rPr>
          <w:rFonts w:ascii="Arial" w:hAnsi="Arial" w:cs="Arial"/>
          <w:sz w:val="24"/>
          <w:szCs w:val="24"/>
        </w:rPr>
        <w:t xml:space="preserve">. Available at: </w:t>
      </w:r>
      <w:hyperlink r:id="rId12" w:history="1">
        <w:r w:rsidR="00150815" w:rsidRPr="00065B50">
          <w:rPr>
            <w:rStyle w:val="Hyperlink"/>
            <w:rFonts w:ascii="Arial" w:hAnsi="Arial" w:cs="Arial"/>
            <w:sz w:val="24"/>
            <w:szCs w:val="24"/>
          </w:rPr>
          <w:t>https://jhr.uwpress.org/content/early/recent</w:t>
        </w:r>
      </w:hyperlink>
      <w:r w:rsidR="00150815">
        <w:rPr>
          <w:rFonts w:ascii="Arial" w:hAnsi="Arial" w:cs="Arial"/>
          <w:sz w:val="24"/>
          <w:szCs w:val="24"/>
        </w:rPr>
        <w:t xml:space="preserve">. </w:t>
      </w:r>
      <w:bookmarkStart w:id="0" w:name="_Hlk157701221"/>
      <w:r w:rsidR="00502423">
        <w:rPr>
          <w:rFonts w:ascii="Arial" w:hAnsi="Arial" w:cs="Arial"/>
          <w:sz w:val="24"/>
          <w:szCs w:val="24"/>
        </w:rPr>
        <w:t>[</w:t>
      </w:r>
      <w:r w:rsidR="00150815">
        <w:rPr>
          <w:rFonts w:ascii="Arial" w:hAnsi="Arial" w:cs="Arial"/>
          <w:sz w:val="24"/>
          <w:szCs w:val="24"/>
        </w:rPr>
        <w:t>Accessed: 01/02/2024</w:t>
      </w:r>
      <w:bookmarkEnd w:id="0"/>
      <w:r w:rsidR="00502423">
        <w:rPr>
          <w:rFonts w:ascii="Arial" w:hAnsi="Arial" w:cs="Arial"/>
          <w:sz w:val="24"/>
          <w:szCs w:val="24"/>
        </w:rPr>
        <w:t>]</w:t>
      </w:r>
    </w:p>
    <w:p w14:paraId="2AC94B03" w14:textId="74B0BD17"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Journal of Human Resources in Hospitality and Tourism: </w:t>
      </w:r>
      <w:r w:rsidR="00150815">
        <w:rPr>
          <w:rFonts w:ascii="Arial" w:hAnsi="Arial" w:cs="Arial"/>
          <w:sz w:val="24"/>
          <w:szCs w:val="24"/>
        </w:rPr>
        <w:t xml:space="preserve">Available at: </w:t>
      </w:r>
      <w:hyperlink r:id="rId13" w:tgtFrame="_new" w:history="1">
        <w:r w:rsidRPr="001554F2">
          <w:rPr>
            <w:rStyle w:val="Hyperlink"/>
            <w:rFonts w:ascii="Arial" w:hAnsi="Arial" w:cs="Arial"/>
            <w:sz w:val="24"/>
            <w:szCs w:val="24"/>
          </w:rPr>
          <w:t>https://www.tandfonline.com/journals/whrh20</w:t>
        </w:r>
      </w:hyperlink>
      <w:r w:rsidR="00150815">
        <w:rPr>
          <w:rStyle w:val="Hyperlink"/>
          <w:rFonts w:ascii="Arial" w:hAnsi="Arial" w:cs="Arial"/>
          <w:sz w:val="24"/>
          <w:szCs w:val="24"/>
        </w:rPr>
        <w:t xml:space="preserve"> </w:t>
      </w:r>
      <w:r w:rsidR="00502423">
        <w:rPr>
          <w:rFonts w:ascii="Arial" w:hAnsi="Arial" w:cs="Arial"/>
          <w:sz w:val="24"/>
          <w:szCs w:val="24"/>
        </w:rPr>
        <w:t>[</w:t>
      </w:r>
      <w:r w:rsidR="00BB6A1C">
        <w:rPr>
          <w:rFonts w:ascii="Arial" w:hAnsi="Arial" w:cs="Arial"/>
          <w:sz w:val="24"/>
          <w:szCs w:val="24"/>
        </w:rPr>
        <w:t>Accessed: 01/02/2024</w:t>
      </w:r>
      <w:r w:rsidR="00502423">
        <w:rPr>
          <w:rFonts w:ascii="Arial" w:hAnsi="Arial" w:cs="Arial"/>
          <w:sz w:val="24"/>
          <w:szCs w:val="24"/>
        </w:rPr>
        <w:t>]</w:t>
      </w:r>
    </w:p>
    <w:p w14:paraId="074F7228" w14:textId="7BA4286F"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CIPD - Continuing professional development (CPD) information on the website of the Chartered Institute of Personnel and Development (CIPD).</w:t>
      </w:r>
      <w:r w:rsidR="00BB6A1C">
        <w:rPr>
          <w:rFonts w:ascii="Arial" w:hAnsi="Arial" w:cs="Arial"/>
          <w:sz w:val="24"/>
          <w:szCs w:val="24"/>
        </w:rPr>
        <w:t xml:space="preserve"> Available </w:t>
      </w:r>
      <w:r w:rsidR="00C50F8F">
        <w:rPr>
          <w:rFonts w:ascii="Arial" w:hAnsi="Arial" w:cs="Arial"/>
          <w:sz w:val="24"/>
          <w:szCs w:val="24"/>
        </w:rPr>
        <w:t>at:</w:t>
      </w:r>
      <w:r w:rsidR="00BB6A1C">
        <w:rPr>
          <w:rFonts w:ascii="Arial" w:hAnsi="Arial" w:cs="Arial"/>
          <w:sz w:val="24"/>
          <w:szCs w:val="24"/>
        </w:rPr>
        <w:t xml:space="preserve"> </w:t>
      </w:r>
      <w:r w:rsidR="00BB6A1C">
        <w:rPr>
          <w:rStyle w:val="Hyperlink"/>
          <w:rFonts w:ascii="Arial" w:hAnsi="Arial" w:cs="Arial"/>
          <w:sz w:val="24"/>
          <w:szCs w:val="24"/>
        </w:rPr>
        <w:t xml:space="preserve"> </w:t>
      </w:r>
      <w:hyperlink r:id="rId14" w:history="1">
        <w:r w:rsidR="00BB6A1C" w:rsidRPr="00065B50">
          <w:rPr>
            <w:rStyle w:val="Hyperlink"/>
            <w:rFonts w:ascii="Arial" w:hAnsi="Arial" w:cs="Arial"/>
            <w:sz w:val="24"/>
            <w:szCs w:val="24"/>
          </w:rPr>
          <w:t>https://www.cipd.org/uk/learning/cpd/</w:t>
        </w:r>
      </w:hyperlink>
      <w:r w:rsidR="00BB6A1C">
        <w:rPr>
          <w:rStyle w:val="Hyperlink"/>
          <w:rFonts w:ascii="Arial" w:hAnsi="Arial" w:cs="Arial"/>
          <w:sz w:val="24"/>
          <w:szCs w:val="24"/>
        </w:rPr>
        <w:t xml:space="preserve">  </w:t>
      </w:r>
      <w:r w:rsidR="00502423">
        <w:rPr>
          <w:rFonts w:ascii="Arial" w:hAnsi="Arial" w:cs="Arial"/>
          <w:sz w:val="24"/>
          <w:szCs w:val="24"/>
        </w:rPr>
        <w:t>[</w:t>
      </w:r>
      <w:r w:rsidR="00BB6A1C">
        <w:rPr>
          <w:rFonts w:ascii="Arial" w:hAnsi="Arial" w:cs="Arial"/>
          <w:sz w:val="24"/>
          <w:szCs w:val="24"/>
        </w:rPr>
        <w:t>Accessed: 01/02/2024</w:t>
      </w:r>
      <w:r w:rsidR="00502423">
        <w:rPr>
          <w:rFonts w:ascii="Arial" w:hAnsi="Arial" w:cs="Arial"/>
          <w:sz w:val="24"/>
          <w:szCs w:val="24"/>
        </w:rPr>
        <w:t>]</w:t>
      </w:r>
    </w:p>
    <w:p w14:paraId="76C671F1" w14:textId="559CC1B0" w:rsidR="006249BF"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CIPD - Performance Reviews | Factsheets | CIPD </w:t>
      </w:r>
      <w:r w:rsidR="006249BF">
        <w:rPr>
          <w:rFonts w:ascii="Arial" w:hAnsi="Arial" w:cs="Arial"/>
          <w:sz w:val="24"/>
          <w:szCs w:val="24"/>
        </w:rPr>
        <w:t>–</w:t>
      </w:r>
    </w:p>
    <w:p w14:paraId="0DDB27A0" w14:textId="6F496250" w:rsidR="001554F2" w:rsidRPr="001554F2" w:rsidRDefault="001554F2" w:rsidP="006249BF">
      <w:pPr>
        <w:spacing w:line="360" w:lineRule="auto"/>
        <w:ind w:left="720"/>
        <w:jc w:val="both"/>
        <w:rPr>
          <w:rFonts w:ascii="Arial" w:hAnsi="Arial" w:cs="Arial"/>
          <w:sz w:val="24"/>
          <w:szCs w:val="24"/>
        </w:rPr>
      </w:pPr>
      <w:r w:rsidRPr="001554F2">
        <w:rPr>
          <w:rFonts w:ascii="Arial" w:hAnsi="Arial" w:cs="Arial"/>
          <w:sz w:val="24"/>
          <w:szCs w:val="24"/>
        </w:rPr>
        <w:t xml:space="preserve"> Links to the CIPD’s top resources on performance appraisal and </w:t>
      </w:r>
      <w:r w:rsidR="00C50F8F" w:rsidRPr="001554F2">
        <w:rPr>
          <w:rFonts w:ascii="Arial" w:hAnsi="Arial" w:cs="Arial"/>
          <w:sz w:val="24"/>
          <w:szCs w:val="24"/>
        </w:rPr>
        <w:t>feedback</w:t>
      </w:r>
      <w:r w:rsidR="00C50F8F">
        <w:rPr>
          <w:rFonts w:ascii="Arial" w:hAnsi="Arial" w:cs="Arial"/>
          <w:sz w:val="24"/>
          <w:szCs w:val="24"/>
        </w:rPr>
        <w:t xml:space="preserve">. Available at: </w:t>
      </w:r>
      <w:hyperlink r:id="rId15" w:history="1">
        <w:r w:rsidR="00C50F8F" w:rsidRPr="00065B50">
          <w:rPr>
            <w:rStyle w:val="Hyperlink"/>
            <w:rFonts w:ascii="Arial" w:hAnsi="Arial" w:cs="Arial"/>
            <w:sz w:val="24"/>
            <w:szCs w:val="24"/>
          </w:rPr>
          <w:t>https://www.cipd.org/en/knowledge/factsheets/appraisals-factsheet/</w:t>
        </w:r>
      </w:hyperlink>
      <w:r w:rsidR="00C50F8F">
        <w:rPr>
          <w:rFonts w:ascii="Arial" w:hAnsi="Arial" w:cs="Arial"/>
          <w:sz w:val="24"/>
          <w:szCs w:val="24"/>
        </w:rPr>
        <w:t>.</w:t>
      </w:r>
      <w:r w:rsidR="00502423">
        <w:rPr>
          <w:rFonts w:ascii="Arial" w:hAnsi="Arial" w:cs="Arial"/>
          <w:sz w:val="24"/>
          <w:szCs w:val="24"/>
        </w:rPr>
        <w:t>[</w:t>
      </w:r>
      <w:r w:rsidR="00C50F8F">
        <w:rPr>
          <w:rFonts w:ascii="Arial" w:hAnsi="Arial" w:cs="Arial"/>
          <w:sz w:val="24"/>
          <w:szCs w:val="24"/>
        </w:rPr>
        <w:t>Accessed: 01/02/2024</w:t>
      </w:r>
      <w:r w:rsidR="00502423">
        <w:rPr>
          <w:rFonts w:ascii="Arial" w:hAnsi="Arial" w:cs="Arial"/>
          <w:sz w:val="24"/>
          <w:szCs w:val="24"/>
        </w:rPr>
        <w:t>]</w:t>
      </w:r>
    </w:p>
    <w:p w14:paraId="2B8BD65B" w14:textId="1FBF68AD"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Customer 1st </w:t>
      </w:r>
      <w:r w:rsidR="00F61A40" w:rsidRPr="001554F2">
        <w:rPr>
          <w:rFonts w:ascii="Arial" w:hAnsi="Arial" w:cs="Arial"/>
          <w:sz w:val="24"/>
          <w:szCs w:val="24"/>
        </w:rPr>
        <w:t>International.</w:t>
      </w:r>
      <w:r w:rsidR="00F61A40">
        <w:rPr>
          <w:rFonts w:ascii="Arial" w:hAnsi="Arial" w:cs="Arial"/>
          <w:sz w:val="24"/>
          <w:szCs w:val="24"/>
        </w:rPr>
        <w:t xml:space="preserve"> Available</w:t>
      </w:r>
      <w:r w:rsidR="00472948">
        <w:rPr>
          <w:rFonts w:ascii="Arial" w:hAnsi="Arial" w:cs="Arial"/>
          <w:sz w:val="24"/>
          <w:szCs w:val="24"/>
        </w:rPr>
        <w:t xml:space="preserve"> at:</w:t>
      </w:r>
      <w:r w:rsidRPr="001554F2">
        <w:rPr>
          <w:rFonts w:ascii="Arial" w:hAnsi="Arial" w:cs="Arial"/>
          <w:sz w:val="24"/>
          <w:szCs w:val="24"/>
        </w:rPr>
        <w:t xml:space="preserve"> </w:t>
      </w:r>
      <w:hyperlink r:id="rId16" w:history="1">
        <w:r w:rsidR="00472948" w:rsidRPr="00065B50">
          <w:rPr>
            <w:rStyle w:val="Hyperlink"/>
            <w:rFonts w:ascii="Arial" w:hAnsi="Arial" w:cs="Arial"/>
            <w:sz w:val="24"/>
            <w:szCs w:val="24"/>
          </w:rPr>
          <w:t>https://customer1st.com/</w:t>
        </w:r>
      </w:hyperlink>
      <w:r w:rsidR="00F61A40">
        <w:rPr>
          <w:rFonts w:ascii="Arial" w:hAnsi="Arial" w:cs="Arial"/>
          <w:sz w:val="24"/>
          <w:szCs w:val="24"/>
        </w:rPr>
        <w:t>.</w:t>
      </w:r>
      <w:r w:rsidR="00502423">
        <w:rPr>
          <w:rFonts w:ascii="Arial" w:hAnsi="Arial" w:cs="Arial"/>
          <w:sz w:val="24"/>
          <w:szCs w:val="24"/>
        </w:rPr>
        <w:t>[</w:t>
      </w:r>
      <w:r w:rsidR="00F61A40">
        <w:rPr>
          <w:rFonts w:ascii="Arial" w:hAnsi="Arial" w:cs="Arial"/>
          <w:sz w:val="24"/>
          <w:szCs w:val="24"/>
        </w:rPr>
        <w:t>Accessed:02/02/2024</w:t>
      </w:r>
      <w:r w:rsidR="00502423">
        <w:rPr>
          <w:rFonts w:ascii="Arial" w:hAnsi="Arial" w:cs="Arial"/>
          <w:sz w:val="24"/>
          <w:szCs w:val="24"/>
        </w:rPr>
        <w:t>]</w:t>
      </w:r>
    </w:p>
    <w:p w14:paraId="2EAB2180" w14:textId="07F64C4E"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Institute</w:t>
      </w:r>
      <w:r w:rsidR="00F61A40">
        <w:rPr>
          <w:rFonts w:ascii="Arial" w:hAnsi="Arial" w:cs="Arial"/>
          <w:sz w:val="24"/>
          <w:szCs w:val="24"/>
        </w:rPr>
        <w:t xml:space="preserve"> </w:t>
      </w:r>
      <w:r w:rsidRPr="001554F2">
        <w:rPr>
          <w:rFonts w:ascii="Arial" w:hAnsi="Arial" w:cs="Arial"/>
          <w:sz w:val="24"/>
          <w:szCs w:val="24"/>
        </w:rPr>
        <w:t xml:space="preserve">of Customer </w:t>
      </w:r>
      <w:r w:rsidR="00F61A40" w:rsidRPr="001554F2">
        <w:rPr>
          <w:rFonts w:ascii="Arial" w:hAnsi="Arial" w:cs="Arial"/>
          <w:sz w:val="24"/>
          <w:szCs w:val="24"/>
        </w:rPr>
        <w:t>Service.</w:t>
      </w:r>
      <w:r w:rsidR="00F61A40">
        <w:rPr>
          <w:rFonts w:ascii="Arial" w:hAnsi="Arial" w:cs="Arial"/>
          <w:sz w:val="24"/>
          <w:szCs w:val="24"/>
        </w:rPr>
        <w:t xml:space="preserve"> Available at:</w:t>
      </w:r>
      <w:r w:rsidRPr="001554F2">
        <w:rPr>
          <w:rFonts w:ascii="Arial" w:hAnsi="Arial" w:cs="Arial"/>
          <w:sz w:val="24"/>
          <w:szCs w:val="24"/>
        </w:rPr>
        <w:t xml:space="preserve"> </w:t>
      </w:r>
      <w:hyperlink r:id="rId17" w:tgtFrame="_new" w:history="1">
        <w:r w:rsidRPr="001554F2">
          <w:rPr>
            <w:rStyle w:val="Hyperlink"/>
            <w:rFonts w:ascii="Arial" w:hAnsi="Arial" w:cs="Arial"/>
            <w:sz w:val="24"/>
            <w:szCs w:val="24"/>
          </w:rPr>
          <w:t>https://www.instituteofcustomerservice.com</w:t>
        </w:r>
      </w:hyperlink>
      <w:r w:rsidR="00F61A40">
        <w:rPr>
          <w:rStyle w:val="Hyperlink"/>
          <w:rFonts w:ascii="Arial" w:hAnsi="Arial" w:cs="Arial"/>
          <w:sz w:val="24"/>
          <w:szCs w:val="24"/>
        </w:rPr>
        <w:t xml:space="preserve"> </w:t>
      </w:r>
      <w:r w:rsidR="00502423">
        <w:rPr>
          <w:rFonts w:ascii="Arial" w:hAnsi="Arial" w:cs="Arial"/>
          <w:sz w:val="24"/>
          <w:szCs w:val="24"/>
        </w:rPr>
        <w:t>[</w:t>
      </w:r>
      <w:r w:rsidR="00F61A40">
        <w:rPr>
          <w:rFonts w:ascii="Arial" w:hAnsi="Arial" w:cs="Arial"/>
          <w:sz w:val="24"/>
          <w:szCs w:val="24"/>
        </w:rPr>
        <w:t>Accessed:02/02/2024</w:t>
      </w:r>
      <w:r w:rsidR="00502423">
        <w:rPr>
          <w:rFonts w:ascii="Arial" w:hAnsi="Arial" w:cs="Arial"/>
          <w:sz w:val="24"/>
          <w:szCs w:val="24"/>
        </w:rPr>
        <w:t>]</w:t>
      </w:r>
    </w:p>
    <w:p w14:paraId="7630E711" w14:textId="46C5ABF9"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Department for Energy Security and Net </w:t>
      </w:r>
      <w:r w:rsidR="00502423" w:rsidRPr="001554F2">
        <w:rPr>
          <w:rFonts w:ascii="Arial" w:hAnsi="Arial" w:cs="Arial"/>
          <w:sz w:val="24"/>
          <w:szCs w:val="24"/>
        </w:rPr>
        <w:t>Zero</w:t>
      </w:r>
      <w:r w:rsidR="00502423">
        <w:rPr>
          <w:rFonts w:ascii="Arial" w:hAnsi="Arial" w:cs="Arial"/>
          <w:sz w:val="24"/>
          <w:szCs w:val="24"/>
        </w:rPr>
        <w:t>. Available</w:t>
      </w:r>
      <w:r w:rsidR="00F61A40">
        <w:rPr>
          <w:rFonts w:ascii="Arial" w:hAnsi="Arial" w:cs="Arial"/>
          <w:sz w:val="24"/>
          <w:szCs w:val="24"/>
        </w:rPr>
        <w:t xml:space="preserve"> at:</w:t>
      </w:r>
      <w:r w:rsidRPr="001554F2">
        <w:rPr>
          <w:rFonts w:ascii="Arial" w:hAnsi="Arial" w:cs="Arial"/>
          <w:sz w:val="24"/>
          <w:szCs w:val="24"/>
        </w:rPr>
        <w:t xml:space="preserve"> GOV.UK (</w:t>
      </w:r>
      <w:hyperlink r:id="rId18" w:tgtFrame="_new" w:history="1">
        <w:r w:rsidRPr="001554F2">
          <w:rPr>
            <w:rStyle w:val="Hyperlink"/>
            <w:rFonts w:ascii="Arial" w:hAnsi="Arial" w:cs="Arial"/>
            <w:sz w:val="24"/>
            <w:szCs w:val="24"/>
          </w:rPr>
          <w:t>www.gov.uk</w:t>
        </w:r>
      </w:hyperlink>
      <w:r w:rsidRPr="001554F2">
        <w:rPr>
          <w:rFonts w:ascii="Arial" w:hAnsi="Arial" w:cs="Arial"/>
          <w:sz w:val="24"/>
          <w:szCs w:val="24"/>
        </w:rPr>
        <w:t>) - Website for the UK government Department for Business, Energy &amp; Industrial Strategy.</w:t>
      </w:r>
      <w:r w:rsidR="00F61A40">
        <w:rPr>
          <w:rFonts w:ascii="Arial" w:hAnsi="Arial" w:cs="Arial"/>
          <w:sz w:val="24"/>
          <w:szCs w:val="24"/>
        </w:rPr>
        <w:t xml:space="preserve"> </w:t>
      </w:r>
      <w:r w:rsidR="00502423">
        <w:rPr>
          <w:rFonts w:ascii="Arial" w:hAnsi="Arial" w:cs="Arial"/>
          <w:sz w:val="24"/>
          <w:szCs w:val="24"/>
        </w:rPr>
        <w:t>[</w:t>
      </w:r>
      <w:r w:rsidR="00F61A40">
        <w:rPr>
          <w:rFonts w:ascii="Arial" w:hAnsi="Arial" w:cs="Arial"/>
          <w:sz w:val="24"/>
          <w:szCs w:val="24"/>
        </w:rPr>
        <w:t>Accessed:02/02/2024</w:t>
      </w:r>
      <w:r w:rsidR="00502423">
        <w:rPr>
          <w:rFonts w:ascii="Arial" w:hAnsi="Arial" w:cs="Arial"/>
          <w:sz w:val="24"/>
          <w:szCs w:val="24"/>
        </w:rPr>
        <w:t>]</w:t>
      </w:r>
    </w:p>
    <w:p w14:paraId="4D1D6086" w14:textId="77777777" w:rsidR="001554F2" w:rsidRPr="001554F2" w:rsidRDefault="001554F2" w:rsidP="001554F2">
      <w:pPr>
        <w:numPr>
          <w:ilvl w:val="0"/>
          <w:numId w:val="1"/>
        </w:numPr>
        <w:spacing w:line="360" w:lineRule="auto"/>
        <w:jc w:val="both"/>
        <w:rPr>
          <w:rFonts w:ascii="Arial" w:hAnsi="Arial" w:cs="Arial"/>
          <w:sz w:val="24"/>
          <w:szCs w:val="24"/>
        </w:rPr>
      </w:pPr>
      <w:r w:rsidRPr="001554F2">
        <w:rPr>
          <w:rFonts w:ascii="Arial" w:hAnsi="Arial" w:cs="Arial"/>
          <w:sz w:val="24"/>
          <w:szCs w:val="24"/>
        </w:rPr>
        <w:t xml:space="preserve">Johnston, R., Clark, G., </w:t>
      </w:r>
      <w:proofErr w:type="spellStart"/>
      <w:r w:rsidRPr="001554F2">
        <w:rPr>
          <w:rFonts w:ascii="Arial" w:hAnsi="Arial" w:cs="Arial"/>
          <w:sz w:val="24"/>
          <w:szCs w:val="24"/>
        </w:rPr>
        <w:t>Shulver</w:t>
      </w:r>
      <w:proofErr w:type="spellEnd"/>
      <w:r w:rsidRPr="001554F2">
        <w:rPr>
          <w:rFonts w:ascii="Arial" w:hAnsi="Arial" w:cs="Arial"/>
          <w:sz w:val="24"/>
          <w:szCs w:val="24"/>
        </w:rPr>
        <w:t xml:space="preserve">, M. (2012). </w:t>
      </w:r>
      <w:r w:rsidRPr="001554F2">
        <w:rPr>
          <w:rFonts w:ascii="Arial" w:hAnsi="Arial" w:cs="Arial"/>
          <w:i/>
          <w:iCs/>
          <w:sz w:val="24"/>
          <w:szCs w:val="24"/>
        </w:rPr>
        <w:t>Service Operations Management.</w:t>
      </w:r>
      <w:r w:rsidRPr="001554F2">
        <w:rPr>
          <w:rFonts w:ascii="Arial" w:hAnsi="Arial" w:cs="Arial"/>
          <w:sz w:val="24"/>
          <w:szCs w:val="24"/>
        </w:rPr>
        <w:t xml:space="preserve"> Pearson, London.</w:t>
      </w:r>
    </w:p>
    <w:p w14:paraId="4CB8B504" w14:textId="77777777" w:rsidR="00DB4C10" w:rsidRPr="001554F2" w:rsidRDefault="00DB4C10" w:rsidP="001554F2">
      <w:pPr>
        <w:spacing w:line="360" w:lineRule="auto"/>
        <w:jc w:val="both"/>
        <w:rPr>
          <w:rFonts w:ascii="Arial" w:hAnsi="Arial" w:cs="Arial"/>
          <w:sz w:val="24"/>
          <w:szCs w:val="24"/>
        </w:rPr>
      </w:pPr>
    </w:p>
    <w:sectPr w:rsidR="00DB4C10" w:rsidRPr="001554F2" w:rsidSect="00AF1C0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6B76D7"/>
    <w:multiLevelType w:val="multilevel"/>
    <w:tmpl w:val="D6D68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110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4DE"/>
    <w:rsid w:val="000414DE"/>
    <w:rsid w:val="00060A3E"/>
    <w:rsid w:val="00071BA3"/>
    <w:rsid w:val="000A560B"/>
    <w:rsid w:val="000A6D08"/>
    <w:rsid w:val="000E4E83"/>
    <w:rsid w:val="00120BCB"/>
    <w:rsid w:val="00130920"/>
    <w:rsid w:val="00142CBF"/>
    <w:rsid w:val="00144FF5"/>
    <w:rsid w:val="00150815"/>
    <w:rsid w:val="001554F2"/>
    <w:rsid w:val="002427E3"/>
    <w:rsid w:val="00267D3B"/>
    <w:rsid w:val="00293EE0"/>
    <w:rsid w:val="002D041F"/>
    <w:rsid w:val="00341585"/>
    <w:rsid w:val="00341FE4"/>
    <w:rsid w:val="00391E7E"/>
    <w:rsid w:val="003E7344"/>
    <w:rsid w:val="00472948"/>
    <w:rsid w:val="004935D4"/>
    <w:rsid w:val="00502423"/>
    <w:rsid w:val="00514E23"/>
    <w:rsid w:val="00562F02"/>
    <w:rsid w:val="00590598"/>
    <w:rsid w:val="005B6E9F"/>
    <w:rsid w:val="005C2AEB"/>
    <w:rsid w:val="005C63FD"/>
    <w:rsid w:val="006057B1"/>
    <w:rsid w:val="006249BF"/>
    <w:rsid w:val="0067093B"/>
    <w:rsid w:val="00680B87"/>
    <w:rsid w:val="007360FA"/>
    <w:rsid w:val="007920F2"/>
    <w:rsid w:val="007B0EAC"/>
    <w:rsid w:val="007D1E61"/>
    <w:rsid w:val="008E6CA8"/>
    <w:rsid w:val="00906A25"/>
    <w:rsid w:val="00930C4E"/>
    <w:rsid w:val="009C3977"/>
    <w:rsid w:val="00A166C9"/>
    <w:rsid w:val="00A73563"/>
    <w:rsid w:val="00AF1C05"/>
    <w:rsid w:val="00AF4313"/>
    <w:rsid w:val="00B5795E"/>
    <w:rsid w:val="00B65F0F"/>
    <w:rsid w:val="00BB6A1C"/>
    <w:rsid w:val="00BC0E83"/>
    <w:rsid w:val="00BF6132"/>
    <w:rsid w:val="00C104AE"/>
    <w:rsid w:val="00C50F8F"/>
    <w:rsid w:val="00C86D1F"/>
    <w:rsid w:val="00CD5109"/>
    <w:rsid w:val="00CF22FB"/>
    <w:rsid w:val="00D27585"/>
    <w:rsid w:val="00D86505"/>
    <w:rsid w:val="00DB4C10"/>
    <w:rsid w:val="00DB5D6B"/>
    <w:rsid w:val="00DD26AC"/>
    <w:rsid w:val="00DF74EE"/>
    <w:rsid w:val="00E13F3A"/>
    <w:rsid w:val="00E26130"/>
    <w:rsid w:val="00E77CBE"/>
    <w:rsid w:val="00F04AE3"/>
    <w:rsid w:val="00F61A40"/>
    <w:rsid w:val="00FC3318"/>
    <w:rsid w:val="00FE6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E30F32"/>
  <w15:chartTrackingRefBased/>
  <w15:docId w15:val="{44FCECB1-3B14-482C-BE1B-44D0855F3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4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14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14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4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4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4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4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4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4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4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14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14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4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4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4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4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4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4DE"/>
    <w:rPr>
      <w:rFonts w:eastAsiaTheme="majorEastAsia" w:cstheme="majorBidi"/>
      <w:color w:val="272727" w:themeColor="text1" w:themeTint="D8"/>
    </w:rPr>
  </w:style>
  <w:style w:type="paragraph" w:styleId="Title">
    <w:name w:val="Title"/>
    <w:basedOn w:val="Normal"/>
    <w:next w:val="Normal"/>
    <w:link w:val="TitleChar"/>
    <w:uiPriority w:val="10"/>
    <w:qFormat/>
    <w:rsid w:val="000414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4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4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4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4DE"/>
    <w:pPr>
      <w:spacing w:before="160"/>
      <w:jc w:val="center"/>
    </w:pPr>
    <w:rPr>
      <w:i/>
      <w:iCs/>
      <w:color w:val="404040" w:themeColor="text1" w:themeTint="BF"/>
    </w:rPr>
  </w:style>
  <w:style w:type="character" w:customStyle="1" w:styleId="QuoteChar">
    <w:name w:val="Quote Char"/>
    <w:basedOn w:val="DefaultParagraphFont"/>
    <w:link w:val="Quote"/>
    <w:uiPriority w:val="29"/>
    <w:rsid w:val="000414DE"/>
    <w:rPr>
      <w:i/>
      <w:iCs/>
      <w:color w:val="404040" w:themeColor="text1" w:themeTint="BF"/>
    </w:rPr>
  </w:style>
  <w:style w:type="paragraph" w:styleId="ListParagraph">
    <w:name w:val="List Paragraph"/>
    <w:basedOn w:val="Normal"/>
    <w:uiPriority w:val="34"/>
    <w:qFormat/>
    <w:rsid w:val="000414DE"/>
    <w:pPr>
      <w:ind w:left="720"/>
      <w:contextualSpacing/>
    </w:pPr>
  </w:style>
  <w:style w:type="character" w:styleId="IntenseEmphasis">
    <w:name w:val="Intense Emphasis"/>
    <w:basedOn w:val="DefaultParagraphFont"/>
    <w:uiPriority w:val="21"/>
    <w:qFormat/>
    <w:rsid w:val="000414DE"/>
    <w:rPr>
      <w:i/>
      <w:iCs/>
      <w:color w:val="0F4761" w:themeColor="accent1" w:themeShade="BF"/>
    </w:rPr>
  </w:style>
  <w:style w:type="paragraph" w:styleId="IntenseQuote">
    <w:name w:val="Intense Quote"/>
    <w:basedOn w:val="Normal"/>
    <w:next w:val="Normal"/>
    <w:link w:val="IntenseQuoteChar"/>
    <w:uiPriority w:val="30"/>
    <w:qFormat/>
    <w:rsid w:val="000414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4DE"/>
    <w:rPr>
      <w:i/>
      <w:iCs/>
      <w:color w:val="0F4761" w:themeColor="accent1" w:themeShade="BF"/>
    </w:rPr>
  </w:style>
  <w:style w:type="character" w:styleId="IntenseReference">
    <w:name w:val="Intense Reference"/>
    <w:basedOn w:val="DefaultParagraphFont"/>
    <w:uiPriority w:val="32"/>
    <w:qFormat/>
    <w:rsid w:val="000414DE"/>
    <w:rPr>
      <w:b/>
      <w:bCs/>
      <w:smallCaps/>
      <w:color w:val="0F4761" w:themeColor="accent1" w:themeShade="BF"/>
      <w:spacing w:val="5"/>
    </w:rPr>
  </w:style>
  <w:style w:type="character" w:styleId="Hyperlink">
    <w:name w:val="Hyperlink"/>
    <w:basedOn w:val="DefaultParagraphFont"/>
    <w:uiPriority w:val="99"/>
    <w:unhideWhenUsed/>
    <w:rsid w:val="001554F2"/>
    <w:rPr>
      <w:color w:val="467886" w:themeColor="hyperlink"/>
      <w:u w:val="single"/>
    </w:rPr>
  </w:style>
  <w:style w:type="character" w:styleId="UnresolvedMention">
    <w:name w:val="Unresolved Mention"/>
    <w:basedOn w:val="DefaultParagraphFont"/>
    <w:uiPriority w:val="99"/>
    <w:semiHidden/>
    <w:unhideWhenUsed/>
    <w:rsid w:val="001554F2"/>
    <w:rPr>
      <w:color w:val="605E5C"/>
      <w:shd w:val="clear" w:color="auto" w:fill="E1DFDD"/>
    </w:rPr>
  </w:style>
  <w:style w:type="paragraph" w:styleId="NoSpacing">
    <w:name w:val="No Spacing"/>
    <w:link w:val="NoSpacingChar"/>
    <w:uiPriority w:val="1"/>
    <w:qFormat/>
    <w:rsid w:val="00DF74E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F74EE"/>
    <w:rPr>
      <w:rFonts w:eastAsiaTheme="minorEastAsia"/>
      <w:kern w:val="0"/>
      <w:lang w:val="en-US"/>
      <w14:ligatures w14:val="none"/>
    </w:rPr>
  </w:style>
  <w:style w:type="character" w:styleId="FollowedHyperlink">
    <w:name w:val="FollowedHyperlink"/>
    <w:basedOn w:val="DefaultParagraphFont"/>
    <w:uiPriority w:val="99"/>
    <w:semiHidden/>
    <w:unhideWhenUsed/>
    <w:rsid w:val="000A56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5617439">
      <w:bodyDiv w:val="1"/>
      <w:marLeft w:val="0"/>
      <w:marRight w:val="0"/>
      <w:marTop w:val="0"/>
      <w:marBottom w:val="0"/>
      <w:divBdr>
        <w:top w:val="none" w:sz="0" w:space="0" w:color="auto"/>
        <w:left w:val="none" w:sz="0" w:space="0" w:color="auto"/>
        <w:bottom w:val="none" w:sz="0" w:space="0" w:color="auto"/>
        <w:right w:val="none" w:sz="0" w:space="0" w:color="auto"/>
      </w:divBdr>
    </w:div>
    <w:div w:id="142541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 TargetMode="External"/><Relationship Id="rId13" Type="http://schemas.openxmlformats.org/officeDocument/2006/relationships/hyperlink" Target="https://www.tandfonline.com/journals/whrh20" TargetMode="External"/><Relationship Id="rId18" Type="http://schemas.openxmlformats.org/officeDocument/2006/relationships/hyperlink" Target="http://www.gov.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jhr.uwpress.org/content/early/recent" TargetMode="External"/><Relationship Id="rId17" Type="http://schemas.openxmlformats.org/officeDocument/2006/relationships/hyperlink" Target="https://www.instituteofcustomerservice.com/" TargetMode="External"/><Relationship Id="rId2" Type="http://schemas.openxmlformats.org/officeDocument/2006/relationships/styles" Target="styles.xml"/><Relationship Id="rId16" Type="http://schemas.openxmlformats.org/officeDocument/2006/relationships/hyperlink" Target="https://customer1st.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tandfonline.com/toc/rijh20/current" TargetMode="External"/><Relationship Id="rId5" Type="http://schemas.openxmlformats.org/officeDocument/2006/relationships/image" Target="media/image1.png"/><Relationship Id="rId15" Type="http://schemas.openxmlformats.org/officeDocument/2006/relationships/hyperlink" Target="https://www.cipd.org/en/knowledge/factsheets/appraisals-factsheet/" TargetMode="External"/><Relationship Id="rId10" Type="http://schemas.openxmlformats.org/officeDocument/2006/relationships/hyperlink" Target="https://onlinelibrary.wiley.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ersonneltoday.com/" TargetMode="External"/><Relationship Id="rId14" Type="http://schemas.openxmlformats.org/officeDocument/2006/relationships/hyperlink" Target="https://www.cipd.org/uk/learning/c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1671</Words>
  <Characters>11172</Characters>
  <Application>Microsoft Office Word</Application>
  <DocSecurity>0</DocSecurity>
  <Lines>205</Lines>
  <Paragraphs>41</Paragraphs>
  <ScaleCrop>false</ScaleCrop>
  <HeadingPairs>
    <vt:vector size="2" baseType="variant">
      <vt:variant>
        <vt:lpstr>Title</vt:lpstr>
      </vt:variant>
      <vt:variant>
        <vt:i4>1</vt:i4>
      </vt:variant>
    </vt:vector>
  </HeadingPairs>
  <TitlesOfParts>
    <vt:vector size="1" baseType="lpstr">
      <vt:lpstr>Essay: Discuss how the evolution
of HRM facilitates the strategic
development of an international
hotel brand through the workforce
planning, recruitment and
selection</vt:lpstr>
    </vt:vector>
  </TitlesOfParts>
  <Company/>
  <LinksUpToDate>false</LinksUpToDate>
  <CharactersWithSpaces>12807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Discuss how the evolution
of HRM facilitates the strategic
development of an international
hotel brand through the workforce
planning, recruitment and
selection</dc:title>
  <dc:subject/>
  <dc:creator>Velislava Hristova</dc:creator>
  <cp:keywords/>
  <dc:description/>
  <cp:lastModifiedBy>Velislava Hristova</cp:lastModifiedBy>
  <cp:revision>4</cp:revision>
  <dcterms:created xsi:type="dcterms:W3CDTF">2024-02-02T17:10:00Z</dcterms:created>
  <dcterms:modified xsi:type="dcterms:W3CDTF">2024-02-02T19:13:00Z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afc7f73b0a5f3abc1b5be82d0f933d1d1bc5f38bc54c1edca42fa2be2ccb5c06</vt:lpwstr>
  </property>
</Properties>
</file>