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3B3B8" w14:textId="74BB92BD" w:rsidR="007A63E4" w:rsidRPr="007A63E4" w:rsidRDefault="007A63E4">
      <w:pPr>
        <w:rPr>
          <w:u w:val="single"/>
        </w:rPr>
      </w:pPr>
      <w:r>
        <w:rPr>
          <w:u w:val="single"/>
        </w:rPr>
        <w:t>The Way in Which Homer Has Constructed the Characters, Their Actions and His Commentary on Them Highlights That They Do Not Deserve Praise or Admiration</w:t>
      </w:r>
    </w:p>
    <w:p w14:paraId="41DFF88D" w14:textId="15B2D500" w:rsidR="005C21D4" w:rsidRDefault="00F5591E">
      <w:r w:rsidRPr="00F5591E">
        <w:rPr>
          <w:i/>
        </w:rPr>
        <w:t xml:space="preserve">The Iliad </w:t>
      </w:r>
      <w:r>
        <w:t xml:space="preserve">while being set during the Trojan War, focuses on a small part of the war that being </w:t>
      </w:r>
      <w:r w:rsidR="008C5435">
        <w:t>the anger of Achilles and the consequences surrounding that episode. While hosting numerous known heroes and characters arguably doing heroic deeds, when analysing the text it appears that the narrator</w:t>
      </w:r>
      <w:r w:rsidR="00EA1099">
        <w:t>, whether that be a singular voice or multiple voices under the name of Homer</w:t>
      </w:r>
      <w:r w:rsidR="00EA1099">
        <w:rPr>
          <w:rStyle w:val="FootnoteReference"/>
        </w:rPr>
        <w:footnoteReference w:id="1"/>
      </w:r>
      <w:r w:rsidR="00EA1099">
        <w:t>,</w:t>
      </w:r>
      <w:r w:rsidR="008C5435">
        <w:t xml:space="preserve"> offers more criticism than praise for both the heroes and their deeds. It is this </w:t>
      </w:r>
      <w:r w:rsidR="003D573A">
        <w:t xml:space="preserve">criticism that has led to the focus of this paper, which is that the heroes of </w:t>
      </w:r>
      <w:r w:rsidR="003D573A">
        <w:rPr>
          <w:i/>
        </w:rPr>
        <w:t xml:space="preserve">The Iliad </w:t>
      </w:r>
      <w:r w:rsidR="003D573A">
        <w:t>were never meant to be praised or admired</w:t>
      </w:r>
      <w:r w:rsidR="00461056">
        <w:t xml:space="preserve"> therefore Nagy argues we should refer to them as characters not heroes</w:t>
      </w:r>
      <w:r w:rsidR="00461056">
        <w:rPr>
          <w:rStyle w:val="FootnoteReference"/>
        </w:rPr>
        <w:footnoteReference w:id="2"/>
      </w:r>
      <w:r w:rsidR="003D573A">
        <w:t xml:space="preserve">. This </w:t>
      </w:r>
      <w:r w:rsidR="009B2DC5">
        <w:t xml:space="preserve">focus may seem mistaken as </w:t>
      </w:r>
      <w:r w:rsidR="009B2DC5">
        <w:rPr>
          <w:i/>
        </w:rPr>
        <w:t>The Iliad</w:t>
      </w:r>
      <w:r w:rsidR="009B2DC5">
        <w:t xml:space="preserve">’s main hero, Achilles, is considered the greatest </w:t>
      </w:r>
      <w:r w:rsidR="0066370E">
        <w:t>amongst the heroes</w:t>
      </w:r>
      <w:r w:rsidR="0066370E">
        <w:rPr>
          <w:rStyle w:val="FootnoteReference"/>
        </w:rPr>
        <w:footnoteReference w:id="3"/>
      </w:r>
      <w:r w:rsidR="00084203">
        <w:t xml:space="preserve"> and the listeners of this story worshipped the heroes in cults</w:t>
      </w:r>
      <w:r w:rsidR="00084203">
        <w:rPr>
          <w:rStyle w:val="FootnoteReference"/>
        </w:rPr>
        <w:footnoteReference w:id="4"/>
      </w:r>
      <w:r w:rsidR="006857BA">
        <w:t>.</w:t>
      </w:r>
      <w:r w:rsidR="0066370E">
        <w:t xml:space="preserve"> </w:t>
      </w:r>
      <w:r w:rsidR="006857BA">
        <w:t>H</w:t>
      </w:r>
      <w:r w:rsidR="0066370E">
        <w:t>owever</w:t>
      </w:r>
      <w:r w:rsidR="00E67398">
        <w:t>,</w:t>
      </w:r>
      <w:r w:rsidR="001259C4">
        <w:t xml:space="preserve"> when looking at the language used, the actions of the heroes, the role the Age of Heroes plays in context of the Ages of Man and to an extent the beginning of the dismissing role</w:t>
      </w:r>
      <w:r w:rsidR="00D34D42">
        <w:t xml:space="preserve"> of the g</w:t>
      </w:r>
      <w:r w:rsidR="001259C4">
        <w:t>ods in epic</w:t>
      </w:r>
      <w:r w:rsidR="000C59F9">
        <w:t>,</w:t>
      </w:r>
      <w:r w:rsidR="001259C4">
        <w:t xml:space="preserve"> the statement that the heroes </w:t>
      </w:r>
      <w:r w:rsidR="00084203">
        <w:t>were not presented</w:t>
      </w:r>
      <w:r w:rsidR="005C21D4">
        <w:t xml:space="preserve"> in </w:t>
      </w:r>
      <w:r w:rsidR="005C21D4">
        <w:rPr>
          <w:i/>
        </w:rPr>
        <w:t xml:space="preserve">The Iliad </w:t>
      </w:r>
      <w:r w:rsidR="001259C4">
        <w:t>to be praised or admired</w:t>
      </w:r>
      <w:r w:rsidR="005C21D4">
        <w:t xml:space="preserve"> earns serious consideration.</w:t>
      </w:r>
    </w:p>
    <w:p w14:paraId="484F227F" w14:textId="1962AD78" w:rsidR="006F64D3" w:rsidRPr="001A37B0" w:rsidRDefault="001B4463">
      <w:r>
        <w:t>Lang</w:t>
      </w:r>
      <w:r w:rsidR="00DD1F0D">
        <w:t xml:space="preserve"> is of the opinion that</w:t>
      </w:r>
      <w:r>
        <w:t xml:space="preserve"> Homer was more than likely composing </w:t>
      </w:r>
      <w:r>
        <w:rPr>
          <w:i/>
        </w:rPr>
        <w:t xml:space="preserve">The Iliad </w:t>
      </w:r>
      <w:r>
        <w:t>for audiences that would have included eager warriors</w:t>
      </w:r>
      <w:r>
        <w:rPr>
          <w:rStyle w:val="FootnoteReference"/>
        </w:rPr>
        <w:footnoteReference w:id="5"/>
      </w:r>
      <w:r w:rsidR="00550C95">
        <w:t xml:space="preserve">, but his descriptions of the battles are not glorious </w:t>
      </w:r>
      <w:r w:rsidR="0062167E">
        <w:t xml:space="preserve">feats to please them </w:t>
      </w:r>
      <w:r w:rsidR="000348FC">
        <w:t>instead they are made up</w:t>
      </w:r>
      <w:r w:rsidR="009D1314">
        <w:t>, as Whitman says</w:t>
      </w:r>
      <w:r w:rsidR="009D1314">
        <w:rPr>
          <w:rStyle w:val="FootnoteReference"/>
        </w:rPr>
        <w:footnoteReference w:id="6"/>
      </w:r>
      <w:r w:rsidR="009D1314">
        <w:t>,</w:t>
      </w:r>
      <w:r w:rsidR="000348FC">
        <w:t xml:space="preserve"> of imagery focusing on the terror</w:t>
      </w:r>
      <w:r w:rsidR="009D1314">
        <w:rPr>
          <w:rStyle w:val="FootnoteReference"/>
        </w:rPr>
        <w:footnoteReference w:id="7"/>
      </w:r>
      <w:r w:rsidR="009D1314">
        <w:t xml:space="preserve">. </w:t>
      </w:r>
      <w:r w:rsidR="006F64D3">
        <w:t xml:space="preserve">The character of </w:t>
      </w:r>
      <w:proofErr w:type="spellStart"/>
      <w:r w:rsidR="006F64D3">
        <w:t>Euphorbus</w:t>
      </w:r>
      <w:proofErr w:type="spellEnd"/>
      <w:r w:rsidR="006F64D3">
        <w:t xml:space="preserve"> and the role he plays was arguably included to resonate with these young, eager warr</w:t>
      </w:r>
      <w:r w:rsidR="007B72FD">
        <w:t xml:space="preserve">iors in the audience. </w:t>
      </w:r>
      <w:proofErr w:type="spellStart"/>
      <w:r w:rsidR="007B72FD">
        <w:t>Euphorbus</w:t>
      </w:r>
      <w:proofErr w:type="spellEnd"/>
      <w:r w:rsidR="007B72FD">
        <w:t>, Homer tells us is young and is experiencing his first war</w:t>
      </w:r>
      <w:r w:rsidR="007B72FD">
        <w:rPr>
          <w:rStyle w:val="FootnoteReference"/>
        </w:rPr>
        <w:footnoteReference w:id="8"/>
      </w:r>
      <w:r w:rsidR="004D4E80">
        <w:t xml:space="preserve"> and when he is ultimately violently killed Homer takes time to note the regret of the destruction of someone so young</w:t>
      </w:r>
      <w:r w:rsidR="004D4E80">
        <w:rPr>
          <w:rStyle w:val="FootnoteReference"/>
        </w:rPr>
        <w:footnoteReference w:id="9"/>
      </w:r>
      <w:r w:rsidR="001A37B0">
        <w:t>.</w:t>
      </w:r>
      <w:r w:rsidR="00CF7436">
        <w:t xml:space="preserve"> This could be taken to mean that Homer goes against the notion that a short life with glory is better than a long life without, an idea that characters in </w:t>
      </w:r>
      <w:r w:rsidR="00CF7436">
        <w:rPr>
          <w:i/>
        </w:rPr>
        <w:t xml:space="preserve">The Iliad </w:t>
      </w:r>
      <w:r w:rsidR="00CF7436">
        <w:t>believe</w:t>
      </w:r>
      <w:r w:rsidR="00CF7436">
        <w:rPr>
          <w:rStyle w:val="FootnoteReference"/>
        </w:rPr>
        <w:footnoteReference w:id="10"/>
      </w:r>
      <w:r w:rsidR="00CF7436">
        <w:t xml:space="preserve">. </w:t>
      </w:r>
      <w:r w:rsidR="00BC1315">
        <w:t>Furthermore it</w:t>
      </w:r>
      <w:r w:rsidR="001A37B0">
        <w:t xml:space="preserve"> could be </w:t>
      </w:r>
      <w:r w:rsidR="00911F6B">
        <w:t>claimed</w:t>
      </w:r>
      <w:r w:rsidR="001A37B0">
        <w:t xml:space="preserve"> than that Homer is warning, those in his audience who wish to, against emulating the characters in </w:t>
      </w:r>
      <w:r w:rsidR="001A37B0">
        <w:rPr>
          <w:i/>
        </w:rPr>
        <w:t>The Iliad</w:t>
      </w:r>
      <w:r w:rsidR="001A37B0">
        <w:t>.</w:t>
      </w:r>
    </w:p>
    <w:p w14:paraId="1EEB43D8" w14:textId="77777777" w:rsidR="00550C95" w:rsidRDefault="001A37B0">
      <w:r>
        <w:t xml:space="preserve">Following on from this, </w:t>
      </w:r>
      <w:r w:rsidR="0062167E">
        <w:t>Homer takes every opportunity to remind us that in war men die in horrible way</w:t>
      </w:r>
      <w:r w:rsidR="00356996">
        <w:t>s</w:t>
      </w:r>
      <w:r w:rsidR="0062167E">
        <w:t xml:space="preserve"> all the while women wait to be widowed and captured</w:t>
      </w:r>
      <w:r w:rsidR="0062167E">
        <w:rPr>
          <w:rStyle w:val="FootnoteReference"/>
        </w:rPr>
        <w:footnoteReference w:id="11"/>
      </w:r>
      <w:r w:rsidR="0062167E">
        <w:t xml:space="preserve">. This is achieved by </w:t>
      </w:r>
      <w:r w:rsidR="009D1314">
        <w:t xml:space="preserve">Homer also </w:t>
      </w:r>
      <w:r w:rsidR="0062167E">
        <w:t>taking</w:t>
      </w:r>
      <w:r w:rsidR="00EC65A2">
        <w:t xml:space="preserve"> time to focus on each man as he dies</w:t>
      </w:r>
      <w:r w:rsidR="00EC65A2">
        <w:rPr>
          <w:rStyle w:val="FootnoteReference"/>
        </w:rPr>
        <w:footnoteReference w:id="12"/>
      </w:r>
      <w:r w:rsidR="009D1314">
        <w:t xml:space="preserve"> </w:t>
      </w:r>
      <w:r w:rsidR="00EC65A2">
        <w:t>in order for us to feel pathos</w:t>
      </w:r>
      <w:r w:rsidR="00EC65A2">
        <w:rPr>
          <w:rStyle w:val="FootnoteReference"/>
        </w:rPr>
        <w:footnoteReference w:id="13"/>
      </w:r>
      <w:r w:rsidR="0062167E">
        <w:t xml:space="preserve">, it is at these times in the poem </w:t>
      </w:r>
      <w:proofErr w:type="spellStart"/>
      <w:r w:rsidR="0062167E">
        <w:t>Zanker</w:t>
      </w:r>
      <w:proofErr w:type="spellEnd"/>
      <w:r w:rsidR="0062167E">
        <w:t xml:space="preserve"> argues Homer shows a personal distaste for killing</w:t>
      </w:r>
      <w:r w:rsidR="009975BF">
        <w:t xml:space="preserve"> and the gloating of the killer </w:t>
      </w:r>
      <w:r w:rsidR="00AD19F1">
        <w:t>who seems to</w:t>
      </w:r>
      <w:r w:rsidR="00356996">
        <w:t xml:space="preserve"> </w:t>
      </w:r>
      <w:r w:rsidR="00AD19F1">
        <w:t>obtain</w:t>
      </w:r>
      <w:r w:rsidR="00356996">
        <w:t xml:space="preserve"> glory</w:t>
      </w:r>
      <w:r w:rsidR="00AD19F1">
        <w:t xml:space="preserve"> by doing such an action</w:t>
      </w:r>
      <w:r w:rsidR="0062167E">
        <w:rPr>
          <w:rStyle w:val="FootnoteReference"/>
        </w:rPr>
        <w:footnoteReference w:id="14"/>
      </w:r>
      <w:r w:rsidR="006F64D3">
        <w:t>.</w:t>
      </w:r>
      <w:r w:rsidR="0062167E">
        <w:t xml:space="preserve"> </w:t>
      </w:r>
      <w:r w:rsidR="00911F6B">
        <w:t>Also allowing time in the poem to show the women waiting at Troy and their fears</w:t>
      </w:r>
      <w:r w:rsidR="00911F6B">
        <w:rPr>
          <w:rStyle w:val="FootnoteReference"/>
        </w:rPr>
        <w:footnoteReference w:id="15"/>
      </w:r>
      <w:r w:rsidR="00911F6B">
        <w:t xml:space="preserve">, Homer tells the audience </w:t>
      </w:r>
      <w:r w:rsidR="00DD0DD1">
        <w:t>how</w:t>
      </w:r>
      <w:r w:rsidR="00911F6B">
        <w:t xml:space="preserve"> the horrors of war continue after the battles are over. </w:t>
      </w:r>
    </w:p>
    <w:p w14:paraId="429689EA" w14:textId="2D900054" w:rsidR="00B122E7" w:rsidRDefault="001B4463">
      <w:r>
        <w:lastRenderedPageBreak/>
        <w:t>I</w:t>
      </w:r>
      <w:r w:rsidR="00F06E3E">
        <w:t>t is interesting that</w:t>
      </w:r>
      <w:r>
        <w:t xml:space="preserve"> Homer focuses on both sides of the war</w:t>
      </w:r>
      <w:r w:rsidR="00F06E3E">
        <w:t>, which again could be because Homer wishes to make it very clear</w:t>
      </w:r>
      <w:r w:rsidR="00B302AF">
        <w:t xml:space="preserve"> that war is not glorious. If only the Greek point of view was talked about </w:t>
      </w:r>
      <w:r w:rsidR="00B302AF">
        <w:rPr>
          <w:i/>
        </w:rPr>
        <w:t xml:space="preserve">The Iliad </w:t>
      </w:r>
      <w:r w:rsidR="00B302AF">
        <w:t>would be very different and it would be easy see the Trojan War as the backdrop for where the Greeks are the heroes righteously fighting against the villainous Trojans. But because we spend time in the city of Troy</w:t>
      </w:r>
      <w:r w:rsidR="001B6A31">
        <w:rPr>
          <w:rStyle w:val="FootnoteReference"/>
        </w:rPr>
        <w:footnoteReference w:id="16"/>
      </w:r>
      <w:r w:rsidR="001B6A31">
        <w:t xml:space="preserve">, we ultimately in the opinion of </w:t>
      </w:r>
      <w:proofErr w:type="spellStart"/>
      <w:r w:rsidR="001B6A31">
        <w:t>Stawell</w:t>
      </w:r>
      <w:proofErr w:type="spellEnd"/>
      <w:r w:rsidR="001B6A31">
        <w:t xml:space="preserve"> come to love their citizens and their king</w:t>
      </w:r>
      <w:r w:rsidR="001B6A31">
        <w:rPr>
          <w:rStyle w:val="FootnoteReference"/>
        </w:rPr>
        <w:footnoteReference w:id="17"/>
      </w:r>
      <w:r w:rsidR="001B6A31">
        <w:t xml:space="preserve">. </w:t>
      </w:r>
      <w:r w:rsidR="00BA7B9D">
        <w:t>In fact the city of Troy is set up to be a civilised centre of domestic decorum</w:t>
      </w:r>
      <w:r w:rsidR="00BA7B9D">
        <w:rPr>
          <w:rStyle w:val="FootnoteReference"/>
        </w:rPr>
        <w:footnoteReference w:id="18"/>
      </w:r>
      <w:r w:rsidR="006B59E2">
        <w:t>, this mak</w:t>
      </w:r>
      <w:r w:rsidR="00AC095B">
        <w:t>es the Greek camp look barbaric</w:t>
      </w:r>
      <w:r w:rsidR="006B59E2">
        <w:t xml:space="preserve"> in comparison and also allows for the audience to have to picture the Greeks destroying </w:t>
      </w:r>
      <w:r w:rsidR="004A147D">
        <w:t>a humane city that sounds similar to their own</w:t>
      </w:r>
      <w:r w:rsidR="004A147D">
        <w:rPr>
          <w:rStyle w:val="FootnoteReference"/>
        </w:rPr>
        <w:footnoteReference w:id="19"/>
      </w:r>
      <w:r w:rsidR="004A147D">
        <w:t xml:space="preserve">. </w:t>
      </w:r>
      <w:r w:rsidR="00E11BAA">
        <w:t>Therefore</w:t>
      </w:r>
      <w:r w:rsidR="001B6A31">
        <w:t xml:space="preserve"> the distinction between who is right and who is wrong </w:t>
      </w:r>
      <w:r w:rsidR="00E11BAA">
        <w:t xml:space="preserve">is made </w:t>
      </w:r>
      <w:r w:rsidR="001B6A31">
        <w:t>murky</w:t>
      </w:r>
      <w:r w:rsidR="00946073">
        <w:t>,</w:t>
      </w:r>
      <w:r w:rsidR="00D221B8">
        <w:t xml:space="preserve"> as Owen</w:t>
      </w:r>
      <w:r w:rsidR="001B6A31">
        <w:t xml:space="preserve"> continues on this point with the fact that Troy no longer appears to be an enemy whose destruction would be virtuous</w:t>
      </w:r>
      <w:r w:rsidR="001B6A31">
        <w:rPr>
          <w:rStyle w:val="FootnoteReference"/>
        </w:rPr>
        <w:footnoteReference w:id="20"/>
      </w:r>
      <w:r w:rsidR="00946073">
        <w:t xml:space="preserve">. </w:t>
      </w:r>
    </w:p>
    <w:p w14:paraId="2435A4AF" w14:textId="4CDAD81D" w:rsidR="004B24D3" w:rsidRDefault="005024C1" w:rsidP="004B24D3">
      <w:r>
        <w:t>However</w:t>
      </w:r>
      <w:r w:rsidR="005D1776">
        <w:t xml:space="preserve"> this brings about the question was this ever a war that could bring about a virtuous end or even bring glory to those involved. Owen describes the cause for the war a</w:t>
      </w:r>
      <w:r w:rsidR="00D00FFD">
        <w:t>s a</w:t>
      </w:r>
      <w:r w:rsidR="005D1776">
        <w:t xml:space="preserve"> shameful one</w:t>
      </w:r>
      <w:r w:rsidR="005D1776">
        <w:rPr>
          <w:rStyle w:val="FootnoteReference"/>
        </w:rPr>
        <w:footnoteReference w:id="21"/>
      </w:r>
      <w:r w:rsidR="00CC69D8">
        <w:t>, Hector believes the cause of the war to be a stain on his city’s name</w:t>
      </w:r>
      <w:r w:rsidR="00CC69D8">
        <w:rPr>
          <w:rStyle w:val="FootnoteReference"/>
        </w:rPr>
        <w:footnoteReference w:id="22"/>
      </w:r>
      <w:r w:rsidR="00CC69D8">
        <w:t xml:space="preserve"> and fights to purely save his c</w:t>
      </w:r>
      <w:r w:rsidR="004E52F2">
        <w:t>ity and not</w:t>
      </w:r>
      <w:r w:rsidR="00CC69D8">
        <w:t xml:space="preserve"> to defend his brother’s actions</w:t>
      </w:r>
      <w:r w:rsidR="00CC69D8">
        <w:rPr>
          <w:rStyle w:val="FootnoteReference"/>
        </w:rPr>
        <w:footnoteReference w:id="23"/>
      </w:r>
      <w:r w:rsidR="00F157E3">
        <w:t xml:space="preserve">. </w:t>
      </w:r>
      <w:r w:rsidR="00CF7436">
        <w:t>But for the most part hero</w:t>
      </w:r>
      <w:r>
        <w:t>e</w:t>
      </w:r>
      <w:r w:rsidR="00CF7436">
        <w:t>s fight for glory even if this means dying</w:t>
      </w:r>
      <w:r>
        <w:rPr>
          <w:rStyle w:val="FootnoteReference"/>
        </w:rPr>
        <w:footnoteReference w:id="24"/>
      </w:r>
      <w:r>
        <w:t xml:space="preserve">, Achilles’ </w:t>
      </w:r>
      <w:r w:rsidR="00DA7ADB">
        <w:t>does</w:t>
      </w:r>
      <w:r>
        <w:t xml:space="preserve"> not fight because he believes the Trojans have done anything wrong but because of glory</w:t>
      </w:r>
      <w:r w:rsidR="00A85ACD">
        <w:t xml:space="preserve"> he can gain</w:t>
      </w:r>
      <w:r>
        <w:rPr>
          <w:rStyle w:val="FootnoteReference"/>
        </w:rPr>
        <w:footnoteReference w:id="25"/>
      </w:r>
      <w:r>
        <w:t xml:space="preserve">. </w:t>
      </w:r>
      <w:r w:rsidR="00A85ACD">
        <w:t>Yet if t</w:t>
      </w:r>
      <w:r w:rsidR="00C543B3">
        <w:t>he cause of the war is shameful and at several times people wish to give up fighting and go home</w:t>
      </w:r>
      <w:r w:rsidR="00C543B3">
        <w:rPr>
          <w:rStyle w:val="FootnoteReference"/>
        </w:rPr>
        <w:footnoteReference w:id="26"/>
      </w:r>
      <w:r w:rsidR="006D5F41">
        <w:t xml:space="preserve">, can any of the characters really be considered a hero or </w:t>
      </w:r>
      <w:r w:rsidR="004E52F2">
        <w:t xml:space="preserve">be seen to </w:t>
      </w:r>
      <w:r w:rsidR="006D5F41">
        <w:t>gain glory</w:t>
      </w:r>
      <w:r w:rsidR="008E05D9">
        <w:t xml:space="preserve"> from it</w:t>
      </w:r>
      <w:r w:rsidR="006D5F41">
        <w:t>.</w:t>
      </w:r>
    </w:p>
    <w:p w14:paraId="48719B63" w14:textId="313241BA" w:rsidR="00CC09D8" w:rsidRDefault="00CC09D8" w:rsidP="004B24D3">
      <w:r>
        <w:t xml:space="preserve">It would appear that Homer </w:t>
      </w:r>
      <w:r w:rsidR="00E85DD0">
        <w:t>does</w:t>
      </w:r>
      <w:r>
        <w:t xml:space="preserve"> not believe so as he takes away or undermines what would normally give glory, </w:t>
      </w:r>
      <w:r w:rsidR="00A33C56">
        <w:t>for instance Achilles’</w:t>
      </w:r>
      <w:r w:rsidR="00982480">
        <w:t xml:space="preserve"> fighting</w:t>
      </w:r>
      <w:r w:rsidR="00A33C56">
        <w:t xml:space="preserve"> </w:t>
      </w:r>
      <w:r w:rsidR="008E05D9">
        <w:t xml:space="preserve">abilities </w:t>
      </w:r>
      <w:r w:rsidR="00A33C56">
        <w:t>which would normally allow him to receive glory is</w:t>
      </w:r>
      <w:r w:rsidR="008E5AC4">
        <w:t xml:space="preserve"> undermined and</w:t>
      </w:r>
      <w:r w:rsidR="00A33C56">
        <w:t xml:space="preserve"> considered to be a thing of slighter value</w:t>
      </w:r>
      <w:r w:rsidR="00A33C56">
        <w:rPr>
          <w:rStyle w:val="FootnoteReference"/>
        </w:rPr>
        <w:footnoteReference w:id="27"/>
      </w:r>
      <w:r w:rsidR="00A33C56">
        <w:t xml:space="preserve"> and we are told that Agamemnon will always be better just because he rules more people</w:t>
      </w:r>
      <w:r w:rsidR="00A33C56">
        <w:rPr>
          <w:rStyle w:val="FootnoteReference"/>
        </w:rPr>
        <w:footnoteReference w:id="28"/>
      </w:r>
      <w:r w:rsidR="00024411">
        <w:t xml:space="preserve">. </w:t>
      </w:r>
      <w:r w:rsidR="00A70A7D">
        <w:t>Homer takes away the glory Hector would normally would be expected to receive when he kills Patroclus</w:t>
      </w:r>
      <w:r w:rsidR="00A70A7D">
        <w:rPr>
          <w:rStyle w:val="FootnoteReference"/>
        </w:rPr>
        <w:footnoteReference w:id="29"/>
      </w:r>
      <w:r w:rsidR="00A70A7D">
        <w:t xml:space="preserve"> by having Patroclus predict his death</w:t>
      </w:r>
      <w:r w:rsidR="00A70A7D">
        <w:rPr>
          <w:rStyle w:val="FootnoteReference"/>
        </w:rPr>
        <w:footnoteReference w:id="30"/>
      </w:r>
      <w:r w:rsidR="00B27ECD">
        <w:t>. There is also a contrast to when Achilles says he will have glory forever</w:t>
      </w:r>
      <w:r w:rsidR="00B27ECD">
        <w:rPr>
          <w:rStyle w:val="FootnoteReference"/>
        </w:rPr>
        <w:footnoteReference w:id="31"/>
      </w:r>
      <w:r w:rsidR="00A70A7D">
        <w:t xml:space="preserve"> </w:t>
      </w:r>
      <w:r w:rsidR="00B27ECD">
        <w:t>when Zeus allows the wall that was built to be destroyed after the war</w:t>
      </w:r>
      <w:r w:rsidR="00B27ECD">
        <w:rPr>
          <w:rStyle w:val="FootnoteReference"/>
        </w:rPr>
        <w:footnoteReference w:id="32"/>
      </w:r>
      <w:r w:rsidR="00B27ECD">
        <w:t>, as though Homer is suggesting their glory if gained means nothing as when the war is over it will soon be forgotten</w:t>
      </w:r>
      <w:r w:rsidR="00B27ECD">
        <w:rPr>
          <w:rStyle w:val="FootnoteReference"/>
        </w:rPr>
        <w:footnoteReference w:id="33"/>
      </w:r>
      <w:r w:rsidR="003B3E35">
        <w:t>.</w:t>
      </w:r>
    </w:p>
    <w:p w14:paraId="2B1734CA" w14:textId="672F3DFA" w:rsidR="003B3E35" w:rsidRDefault="003B3E35" w:rsidP="004B24D3">
      <w:r>
        <w:t xml:space="preserve">This being said if Homer wanted to say that no one would receive glory from this war than why would he allow heroes to be able to gain aristeia, as having an episode of aristeia normally also comes hand in hand with gaining glory. Diomedes, Hector and Achilles either explicitly or can be argued to have had a moment of aristeia in </w:t>
      </w:r>
      <w:r>
        <w:rPr>
          <w:i/>
        </w:rPr>
        <w:t>The Iliad</w:t>
      </w:r>
      <w:r w:rsidR="00CA33BA">
        <w:t xml:space="preserve">, but only Diomedes it can be argued is truly </w:t>
      </w:r>
      <w:r w:rsidR="00CA33BA">
        <w:lastRenderedPageBreak/>
        <w:t>allowed any glory from his aristeia the others have it undermined. Hector’s aristeia is argued to take place when he storms the wall built by the Greeks</w:t>
      </w:r>
      <w:r w:rsidR="001D2AAF">
        <w:t xml:space="preserve"> a moment Owen argues Homer has aggrandised to be his triumphal moment</w:t>
      </w:r>
      <w:r w:rsidR="001D2AAF">
        <w:rPr>
          <w:rStyle w:val="FootnoteReference"/>
        </w:rPr>
        <w:footnoteReference w:id="34"/>
      </w:r>
      <w:r w:rsidR="00CA33BA">
        <w:t xml:space="preserve">, but Homer has it undermined by </w:t>
      </w:r>
      <w:proofErr w:type="spellStart"/>
      <w:r w:rsidR="001D2AAF">
        <w:t>Sarpedon</w:t>
      </w:r>
      <w:proofErr w:type="spellEnd"/>
      <w:r w:rsidR="001D2AAF">
        <w:t xml:space="preserve"> questioning heroism and if they deserve worship and glory</w:t>
      </w:r>
      <w:r w:rsidR="001D2AAF">
        <w:rPr>
          <w:rStyle w:val="FootnoteReference"/>
        </w:rPr>
        <w:footnoteReference w:id="35"/>
      </w:r>
      <w:r w:rsidR="00D64598">
        <w:t xml:space="preserve">. </w:t>
      </w:r>
      <w:r w:rsidR="00CA33BA">
        <w:t>When Achilles finally kills Hector, this episode can be seen to be his moment of aristeia but Homer seemingly has Achilles ruin it by mutilating Hector's body. The pathos from his speech</w:t>
      </w:r>
      <w:r w:rsidR="00CA33BA">
        <w:rPr>
          <w:rStyle w:val="FootnoteReference"/>
        </w:rPr>
        <w:footnoteReference w:id="36"/>
      </w:r>
      <w:r w:rsidR="00CA33BA">
        <w:t xml:space="preserve"> is undermined by Homer’s explicit</w:t>
      </w:r>
      <w:r w:rsidR="00CA33BA">
        <w:rPr>
          <w:rStyle w:val="FootnoteReference"/>
        </w:rPr>
        <w:footnoteReference w:id="37"/>
      </w:r>
      <w:r w:rsidR="00CA33BA">
        <w:t xml:space="preserve"> disapproval</w:t>
      </w:r>
      <w:r w:rsidR="00D64598">
        <w:t xml:space="preserve"> of his actions</w:t>
      </w:r>
      <w:r w:rsidR="00CA33BA">
        <w:rPr>
          <w:rStyle w:val="FootnoteReference"/>
        </w:rPr>
        <w:footnoteReference w:id="38"/>
      </w:r>
      <w:r w:rsidR="00CA33BA">
        <w:t>.</w:t>
      </w:r>
      <w:r w:rsidR="00D64598">
        <w:t xml:space="preserve"> The fact that Diomedes is allowed his aristeia in book five</w:t>
      </w:r>
      <w:r w:rsidR="00536A33">
        <w:rPr>
          <w:rStyle w:val="FootnoteReference"/>
        </w:rPr>
        <w:footnoteReference w:id="39"/>
      </w:r>
      <w:r w:rsidR="00D64598">
        <w:t xml:space="preserve"> therefore seems unusual, with explanations being simply it was added to help describe the battle more interestingly, to bulk the battle out or to highlight the new found confidence in the Achaeans</w:t>
      </w:r>
      <w:r w:rsidR="00D64598">
        <w:rPr>
          <w:rStyle w:val="FootnoteReference"/>
        </w:rPr>
        <w:footnoteReference w:id="40"/>
      </w:r>
      <w:r w:rsidR="00D64598">
        <w:t>.</w:t>
      </w:r>
    </w:p>
    <w:p w14:paraId="28F90EC8" w14:textId="559DC567" w:rsidR="001C5376" w:rsidRDefault="00C83898" w:rsidP="004B24D3">
      <w:r>
        <w:t>There is also a criticism of the anger and violence throughout the poem</w:t>
      </w:r>
      <w:r>
        <w:rPr>
          <w:rStyle w:val="FootnoteReference"/>
        </w:rPr>
        <w:footnoteReference w:id="41"/>
      </w:r>
      <w:r>
        <w:t xml:space="preserve">, traits that are excessive in some characters such as Achilles whose anger is described as </w:t>
      </w:r>
      <w:proofErr w:type="spellStart"/>
      <w:r w:rsidRPr="00C83898">
        <w:rPr>
          <w:i/>
        </w:rPr>
        <w:t>mēnis</w:t>
      </w:r>
      <w:proofErr w:type="spellEnd"/>
      <w:r>
        <w:rPr>
          <w:rStyle w:val="FootnoteReference"/>
          <w:i/>
        </w:rPr>
        <w:footnoteReference w:id="42"/>
      </w:r>
      <w:r>
        <w:rPr>
          <w:i/>
        </w:rPr>
        <w:t xml:space="preserve"> </w:t>
      </w:r>
      <w:r>
        <w:t>and he is the only mortal to experience this level of anger</w:t>
      </w:r>
      <w:r>
        <w:rPr>
          <w:rStyle w:val="FootnoteReference"/>
        </w:rPr>
        <w:footnoteReference w:id="43"/>
      </w:r>
      <w:r>
        <w:t xml:space="preserve">. Achilles’ anger is shown to be volatile </w:t>
      </w:r>
      <w:r w:rsidR="0073522B">
        <w:t xml:space="preserve">as </w:t>
      </w:r>
      <w:r>
        <w:t>he is instantly fired up</w:t>
      </w:r>
      <w:r>
        <w:rPr>
          <w:rStyle w:val="FootnoteReference"/>
        </w:rPr>
        <w:footnoteReference w:id="44"/>
      </w:r>
      <w:r>
        <w:t xml:space="preserve"> </w:t>
      </w:r>
      <w:r w:rsidR="0073522B">
        <w:t>and needs to be restrained by a god</w:t>
      </w:r>
      <w:r w:rsidR="0073522B">
        <w:rPr>
          <w:rStyle w:val="FootnoteReference"/>
        </w:rPr>
        <w:footnoteReference w:id="45"/>
      </w:r>
      <w:r w:rsidR="0013241C">
        <w:t xml:space="preserve">, </w:t>
      </w:r>
      <w:proofErr w:type="spellStart"/>
      <w:r w:rsidR="0013241C">
        <w:t>Tros</w:t>
      </w:r>
      <w:proofErr w:type="spellEnd"/>
      <w:r w:rsidR="0013241C">
        <w:t xml:space="preserve"> is treated as a fool for trying to plea to Achilles who Homer chastises as</w:t>
      </w:r>
      <w:r w:rsidR="009C79A5">
        <w:t xml:space="preserve"> not</w:t>
      </w:r>
      <w:r w:rsidR="0013241C">
        <w:t xml:space="preserve"> being ‘sweet-tempered or tender-hearted’</w:t>
      </w:r>
      <w:r w:rsidR="0013241C">
        <w:rPr>
          <w:rStyle w:val="FootnoteReference"/>
        </w:rPr>
        <w:footnoteReference w:id="46"/>
      </w:r>
      <w:r w:rsidR="00461056">
        <w:t xml:space="preserve">. This anger and violence </w:t>
      </w:r>
      <w:r w:rsidR="009060AB">
        <w:t xml:space="preserve">evolves </w:t>
      </w:r>
      <w:r w:rsidR="00461056">
        <w:t>the characters</w:t>
      </w:r>
      <w:r w:rsidR="009060AB">
        <w:t xml:space="preserve"> into being inhumane with Agamemnon declaring they will kill children still in the mother’s womb</w:t>
      </w:r>
      <w:r w:rsidR="009060AB">
        <w:rPr>
          <w:rStyle w:val="FootnoteReference"/>
        </w:rPr>
        <w:footnoteReference w:id="47"/>
      </w:r>
      <w:r w:rsidR="009060AB">
        <w:t>, Schein comments that Achilles ceases to be human</w:t>
      </w:r>
      <w:r w:rsidR="009060AB">
        <w:rPr>
          <w:rStyle w:val="FootnoteReference"/>
        </w:rPr>
        <w:footnoteReference w:id="48"/>
      </w:r>
      <w:r w:rsidR="0013241C">
        <w:t xml:space="preserve"> </w:t>
      </w:r>
      <w:r w:rsidR="009060AB">
        <w:t xml:space="preserve">when he mutilates Hectors corpse. </w:t>
      </w:r>
      <w:r w:rsidR="00727D0D">
        <w:t xml:space="preserve">Additionally, </w:t>
      </w:r>
      <w:r w:rsidR="009060AB">
        <w:t>Achilles also does not seem capable of unlearning this behaviour or calming down, going against the belief of the time that controlling anger is important</w:t>
      </w:r>
      <w:r w:rsidR="009060AB">
        <w:rPr>
          <w:rStyle w:val="FootnoteReference"/>
        </w:rPr>
        <w:footnoteReference w:id="49"/>
      </w:r>
      <w:r w:rsidR="001C3CCC">
        <w:t xml:space="preserve">, </w:t>
      </w:r>
      <w:r w:rsidR="00770F41">
        <w:t>as he appears to only transfer his anger from Agamemnon to Hector</w:t>
      </w:r>
      <w:r w:rsidR="00770F41">
        <w:rPr>
          <w:rStyle w:val="FootnoteReference"/>
        </w:rPr>
        <w:footnoteReference w:id="50"/>
      </w:r>
      <w:r w:rsidR="009C79A5">
        <w:t xml:space="preserve">. </w:t>
      </w:r>
      <w:r w:rsidR="009060AB">
        <w:t>Whitman agrees that the characters who assert themselves through violence to this extent are going against heroic behaviour</w:t>
      </w:r>
      <w:r w:rsidR="009060AB">
        <w:rPr>
          <w:rStyle w:val="FootnoteReference"/>
        </w:rPr>
        <w:footnoteReference w:id="51"/>
      </w:r>
      <w:r w:rsidR="009C79A5">
        <w:t>, so it seems reasonable to suggest that Homer was trying to use his characters as an example to his listeners that men should impose proper limits on their anger</w:t>
      </w:r>
      <w:r w:rsidR="009C79A5">
        <w:rPr>
          <w:rStyle w:val="FootnoteReference"/>
        </w:rPr>
        <w:footnoteReference w:id="52"/>
      </w:r>
      <w:r w:rsidR="00DB4F96">
        <w:t>.</w:t>
      </w:r>
    </w:p>
    <w:p w14:paraId="1659B2A9" w14:textId="02446FB7" w:rsidR="0016790B" w:rsidRDefault="00010436" w:rsidP="0016790B">
      <w:r>
        <w:t xml:space="preserve">Arguably then there is the notion that war makes monsters out of men being told in </w:t>
      </w:r>
      <w:r>
        <w:rPr>
          <w:i/>
        </w:rPr>
        <w:t>The Iliad</w:t>
      </w:r>
      <w:r>
        <w:t xml:space="preserve">. </w:t>
      </w:r>
      <w:r w:rsidR="004255EC">
        <w:t xml:space="preserve">Andromache recalls when Achilles behaviour was more admirable showing respect to the dead king </w:t>
      </w:r>
      <w:r w:rsidR="004255EC" w:rsidRPr="004255EC">
        <w:t>Eёtion</w:t>
      </w:r>
      <w:r w:rsidR="004255EC">
        <w:rPr>
          <w:rStyle w:val="FootnoteReference"/>
        </w:rPr>
        <w:footnoteReference w:id="53"/>
      </w:r>
      <w:r w:rsidR="00657BBE">
        <w:t xml:space="preserve"> after he kills him</w:t>
      </w:r>
      <w:r w:rsidR="004255EC">
        <w:t xml:space="preserve">, even though </w:t>
      </w:r>
      <w:r w:rsidR="004255EC" w:rsidRPr="004255EC">
        <w:t>Eёtion</w:t>
      </w:r>
      <w:r w:rsidR="004255EC">
        <w:t xml:space="preserve"> was her father she still acknowledges Achilles generous behaviour</w:t>
      </w:r>
      <w:r w:rsidR="004255EC">
        <w:rPr>
          <w:rStyle w:val="FootnoteReference"/>
        </w:rPr>
        <w:footnoteReference w:id="54"/>
      </w:r>
      <w:r w:rsidR="004F7403">
        <w:t>. This shows that Achilles did use to have room for respect, kindness and pity</w:t>
      </w:r>
      <w:r w:rsidR="004F7403">
        <w:rPr>
          <w:rStyle w:val="FootnoteReference"/>
        </w:rPr>
        <w:footnoteReference w:id="55"/>
      </w:r>
      <w:r w:rsidR="00E7600C">
        <w:t xml:space="preserve"> and Homer references this story in order to display the decline of Achilles’ moral character. The best </w:t>
      </w:r>
      <w:r w:rsidR="00E7600C">
        <w:lastRenderedPageBreak/>
        <w:t>example of this is when Homer has Andromache watch Achilles, whom she had previously had respect for, mutilate the body of her husband</w:t>
      </w:r>
      <w:r w:rsidR="006246B3">
        <w:t xml:space="preserve"> who was therefore also </w:t>
      </w:r>
      <w:proofErr w:type="spellStart"/>
      <w:r w:rsidR="006246B3" w:rsidRPr="004255EC">
        <w:t>Eёtion</w:t>
      </w:r>
      <w:r w:rsidR="006246B3">
        <w:t>’s</w:t>
      </w:r>
      <w:proofErr w:type="spellEnd"/>
      <w:r w:rsidR="006246B3">
        <w:t xml:space="preserve"> son-in-law</w:t>
      </w:r>
      <w:r w:rsidR="006246B3">
        <w:rPr>
          <w:rStyle w:val="FootnoteReference"/>
        </w:rPr>
        <w:t xml:space="preserve"> </w:t>
      </w:r>
      <w:r w:rsidR="00E7600C">
        <w:rPr>
          <w:rStyle w:val="FootnoteReference"/>
        </w:rPr>
        <w:footnoteReference w:id="56"/>
      </w:r>
      <w:r w:rsidR="00E7600C">
        <w:t xml:space="preserve">. </w:t>
      </w:r>
      <w:proofErr w:type="spellStart"/>
      <w:r w:rsidR="005770FB">
        <w:t>Monro</w:t>
      </w:r>
      <w:proofErr w:type="spellEnd"/>
      <w:r w:rsidR="005770FB">
        <w:t xml:space="preserve"> argues that originally the poem ended there as there is no need for the other two books to achieve poetical completeness</w:t>
      </w:r>
      <w:r w:rsidR="005770FB">
        <w:rPr>
          <w:rStyle w:val="FootnoteReference"/>
        </w:rPr>
        <w:footnoteReference w:id="57"/>
      </w:r>
      <w:r w:rsidR="005770FB">
        <w:t>, in which case Homer had meant for Achilles to have no chance for his character to be redeemed. However with the inclusion of the last two books it can be argued Achilles’ character gets redemption and learns compassion</w:t>
      </w:r>
      <w:r w:rsidR="005770FB">
        <w:rPr>
          <w:rStyle w:val="FootnoteReference"/>
        </w:rPr>
        <w:footnoteReference w:id="58"/>
      </w:r>
      <w:r w:rsidR="005770FB">
        <w:t xml:space="preserve">, as </w:t>
      </w:r>
      <w:proofErr w:type="spellStart"/>
      <w:r w:rsidR="005770FB">
        <w:t>Zanker</w:t>
      </w:r>
      <w:proofErr w:type="spellEnd"/>
      <w:r w:rsidR="005770FB">
        <w:t xml:space="preserve"> suggests it is not Priam’s gifts</w:t>
      </w:r>
      <w:r w:rsidR="005770FB">
        <w:rPr>
          <w:rStyle w:val="FootnoteReference"/>
        </w:rPr>
        <w:footnoteReference w:id="59"/>
      </w:r>
      <w:r w:rsidR="005770FB">
        <w:t xml:space="preserve"> that Achilles’ responds to but pity and the understanding of Priam’s suffering</w:t>
      </w:r>
      <w:r w:rsidR="005770FB">
        <w:rPr>
          <w:rStyle w:val="FootnoteReference"/>
        </w:rPr>
        <w:footnoteReference w:id="60"/>
      </w:r>
      <w:r w:rsidR="005770FB">
        <w:t xml:space="preserve">. </w:t>
      </w:r>
      <w:r w:rsidR="007D6498">
        <w:t xml:space="preserve">However </w:t>
      </w:r>
      <w:proofErr w:type="spellStart"/>
      <w:r w:rsidR="007D6498">
        <w:t>Zanker</w:t>
      </w:r>
      <w:proofErr w:type="spellEnd"/>
      <w:r w:rsidR="007D6498">
        <w:t xml:space="preserve"> </w:t>
      </w:r>
      <w:r w:rsidR="00DA7ADB">
        <w:t>does</w:t>
      </w:r>
      <w:r w:rsidR="007D6498">
        <w:t xml:space="preserve"> admit that although he is now acting morally it may be just to prove the gods wrong</w:t>
      </w:r>
      <w:r w:rsidR="007D6498">
        <w:rPr>
          <w:rStyle w:val="FootnoteReference"/>
        </w:rPr>
        <w:footnoteReference w:id="61"/>
      </w:r>
      <w:r w:rsidR="00781544">
        <w:t>, as Apollo tells us</w:t>
      </w:r>
      <w:r w:rsidR="007D6498">
        <w:t xml:space="preserve"> that Achilles has no pity or respect</w:t>
      </w:r>
      <w:r w:rsidR="007D6498">
        <w:rPr>
          <w:rStyle w:val="FootnoteReference"/>
        </w:rPr>
        <w:footnoteReference w:id="62"/>
      </w:r>
      <w:r w:rsidR="005566AD">
        <w:t>.</w:t>
      </w:r>
    </w:p>
    <w:p w14:paraId="7C9F7877" w14:textId="1E50054D" w:rsidR="0070554C" w:rsidRDefault="007915E1">
      <w:r>
        <w:t>Values are not upheld by the characters, as shown mostly when Nestor has to remind them of normal heroic ideals</w:t>
      </w:r>
      <w:r>
        <w:rPr>
          <w:rStyle w:val="FootnoteReference"/>
        </w:rPr>
        <w:footnoteReference w:id="63"/>
      </w:r>
      <w:r>
        <w:t xml:space="preserve">. </w:t>
      </w:r>
      <w:r w:rsidR="007043B1">
        <w:t>We see in the duel between Paris and Menelaus that Paris has little concern to honour the terms</w:t>
      </w:r>
      <w:r w:rsidR="007043B1">
        <w:rPr>
          <w:rStyle w:val="FootnoteReference"/>
        </w:rPr>
        <w:footnoteReference w:id="64"/>
      </w:r>
      <w:r w:rsidR="007043B1">
        <w:t xml:space="preserve"> showing he cares not for the values </w:t>
      </w:r>
      <w:r w:rsidR="005873FB">
        <w:t>and that Hector was right that he has no valour</w:t>
      </w:r>
      <w:r w:rsidR="005873FB">
        <w:rPr>
          <w:rStyle w:val="FootnoteReference"/>
        </w:rPr>
        <w:footnoteReference w:id="65"/>
      </w:r>
      <w:r w:rsidR="00480BA7">
        <w:t>.</w:t>
      </w:r>
      <w:r w:rsidR="008510D9">
        <w:t xml:space="preserve"> </w:t>
      </w:r>
      <w:r w:rsidR="000F518E">
        <w:t xml:space="preserve">When Achilles first speaks in </w:t>
      </w:r>
      <w:r w:rsidR="000F518E">
        <w:rPr>
          <w:i/>
        </w:rPr>
        <w:t>The Iliad</w:t>
      </w:r>
      <w:r w:rsidR="000F518E">
        <w:rPr>
          <w:rStyle w:val="FootnoteReference"/>
          <w:i/>
        </w:rPr>
        <w:footnoteReference w:id="66"/>
      </w:r>
      <w:r w:rsidR="000F518E">
        <w:t xml:space="preserve"> it is not to save his fellow Greek</w:t>
      </w:r>
      <w:r w:rsidR="00A92CEF">
        <w:t>s</w:t>
      </w:r>
      <w:r w:rsidR="000F518E">
        <w:t xml:space="preserve"> from the wrath of Apollo because he wants to help them or feels a duty to try and get Agamemnon to put thi</w:t>
      </w:r>
      <w:r w:rsidR="00D67D42">
        <w:t>n</w:t>
      </w:r>
      <w:r w:rsidR="000F518E">
        <w:t>gs right</w:t>
      </w:r>
      <w:r w:rsidR="003C0873">
        <w:t>, it is because of divine interference</w:t>
      </w:r>
      <w:r w:rsidR="003C0873">
        <w:rPr>
          <w:rStyle w:val="FootnoteReference"/>
        </w:rPr>
        <w:footnoteReference w:id="67"/>
      </w:r>
      <w:r w:rsidR="003C0873">
        <w:t>.</w:t>
      </w:r>
      <w:r w:rsidR="000F518E">
        <w:t xml:space="preserve"> </w:t>
      </w:r>
      <w:r w:rsidR="00C13498">
        <w:t>Cooperation and friendship seem to be the only values that a majority of the characters uphold</w:t>
      </w:r>
      <w:r w:rsidR="00C13498">
        <w:rPr>
          <w:rStyle w:val="FootnoteReference"/>
        </w:rPr>
        <w:footnoteReference w:id="68"/>
      </w:r>
      <w:r w:rsidR="00C13498">
        <w:t>, to the point where Diomedes on recognising his guest-friend Glaucus makes a pact not to fight him</w:t>
      </w:r>
      <w:r w:rsidR="00C13498">
        <w:rPr>
          <w:rStyle w:val="FootnoteReference"/>
        </w:rPr>
        <w:footnoteReference w:id="69"/>
      </w:r>
      <w:r w:rsidR="00C13498">
        <w:t xml:space="preserve"> </w:t>
      </w:r>
      <w:r w:rsidR="004E6D3B">
        <w:t>and Aias implies that friendship is more important than fame</w:t>
      </w:r>
      <w:r w:rsidR="004E6D3B">
        <w:rPr>
          <w:rStyle w:val="FootnoteReference"/>
        </w:rPr>
        <w:footnoteReference w:id="70"/>
      </w:r>
      <w:r w:rsidR="004E6D3B">
        <w:t>.</w:t>
      </w:r>
      <w:r w:rsidR="00E5409D">
        <w:t xml:space="preserve"> Friendship and loyalty is also the main point used to persuade Achilles to re-join the war</w:t>
      </w:r>
      <w:r w:rsidR="009C3A37">
        <w:t xml:space="preserve"> to save the Greek army</w:t>
      </w:r>
      <w:r w:rsidR="00D867C2">
        <w:t>, but Achilles has abandoned these values</w:t>
      </w:r>
      <w:r w:rsidR="00D867C2">
        <w:rPr>
          <w:rStyle w:val="FootnoteReference"/>
        </w:rPr>
        <w:footnoteReference w:id="71"/>
      </w:r>
      <w:r w:rsidR="00D867C2">
        <w:t xml:space="preserve"> to the confusion of </w:t>
      </w:r>
      <w:r w:rsidR="00CF6AD0">
        <w:t>Diomedes and Aias</w:t>
      </w:r>
      <w:r w:rsidR="00CF6AD0">
        <w:rPr>
          <w:rStyle w:val="FootnoteReference"/>
        </w:rPr>
        <w:footnoteReference w:id="72"/>
      </w:r>
      <w:r w:rsidR="00CF6AD0">
        <w:t xml:space="preserve"> and the anger of Phoenix</w:t>
      </w:r>
      <w:r w:rsidR="00CF6AD0">
        <w:rPr>
          <w:rStyle w:val="FootnoteReference"/>
        </w:rPr>
        <w:footnoteReference w:id="73"/>
      </w:r>
      <w:r w:rsidR="009E777F">
        <w:t xml:space="preserve"> that he will let them die over a girl</w:t>
      </w:r>
      <w:r w:rsidR="00CF6AD0">
        <w:t xml:space="preserve">. Also Homer makes it very clear that Achilles is the true killer of Patroclus when he </w:t>
      </w:r>
      <w:r w:rsidR="00A92CEF">
        <w:t>chooses</w:t>
      </w:r>
      <w:r w:rsidR="00CF6AD0">
        <w:t xml:space="preserve"> pride over friendship</w:t>
      </w:r>
      <w:r w:rsidR="00CF6AD0">
        <w:rPr>
          <w:rStyle w:val="FootnoteReference"/>
        </w:rPr>
        <w:footnoteReference w:id="74"/>
      </w:r>
      <w:r w:rsidR="00CF6AD0">
        <w:t xml:space="preserve">. </w:t>
      </w:r>
    </w:p>
    <w:p w14:paraId="0813C981" w14:textId="6DB646BF" w:rsidR="0070554C" w:rsidRDefault="00CA0A94">
      <w:r>
        <w:t>The best example of Homer showing that no one in the poem is someone that should be emulated comes from Hector. Hector is set up as a character with the most values and as a true patriot, fighting only to save domestic life</w:t>
      </w:r>
      <w:r>
        <w:rPr>
          <w:rStyle w:val="FootnoteReference"/>
        </w:rPr>
        <w:footnoteReference w:id="75"/>
      </w:r>
      <w:r>
        <w:t xml:space="preserve"> and Owen maintains the belief that he is the only authentic, heroic voice</w:t>
      </w:r>
      <w:r>
        <w:rPr>
          <w:rStyle w:val="FootnoteReference"/>
        </w:rPr>
        <w:footnoteReference w:id="76"/>
      </w:r>
      <w:r w:rsidR="00D4412C">
        <w:t xml:space="preserve"> shown mainly during his reply to Andromache’s appeal</w:t>
      </w:r>
      <w:r w:rsidR="00D4412C">
        <w:rPr>
          <w:rStyle w:val="FootnoteReference"/>
        </w:rPr>
        <w:footnoteReference w:id="77"/>
      </w:r>
      <w:r>
        <w:t xml:space="preserve">. </w:t>
      </w:r>
      <w:r w:rsidR="006E0D28">
        <w:t xml:space="preserve">Yet it is these heroic ideals </w:t>
      </w:r>
      <w:r w:rsidR="006E0D28">
        <w:lastRenderedPageBreak/>
        <w:t>that are harmful to his family</w:t>
      </w:r>
      <w:r w:rsidR="006E0D28">
        <w:rPr>
          <w:rStyle w:val="FootnoteReference"/>
        </w:rPr>
        <w:footnoteReference w:id="78"/>
      </w:r>
      <w:r w:rsidR="006E0D28">
        <w:t>, as Andromache predicts his daring becomes his undoing</w:t>
      </w:r>
      <w:r w:rsidR="006E0D28">
        <w:rPr>
          <w:rStyle w:val="FootnoteReference"/>
        </w:rPr>
        <w:footnoteReference w:id="79"/>
      </w:r>
      <w:r w:rsidR="006E0D28">
        <w:t>. Ultimately his heroism</w:t>
      </w:r>
      <w:r w:rsidR="001C775E">
        <w:t xml:space="preserve"> of refusing to retreat</w:t>
      </w:r>
      <w:r w:rsidR="001C775E">
        <w:rPr>
          <w:rStyle w:val="FootnoteReference"/>
        </w:rPr>
        <w:footnoteReference w:id="80"/>
      </w:r>
      <w:r w:rsidR="006E0D28">
        <w:t xml:space="preserve"> means that what he fears will happen to his family comes true, something that Euripides focuses on in his works</w:t>
      </w:r>
      <w:r w:rsidR="006E0D28">
        <w:rPr>
          <w:rStyle w:val="FootnoteReference"/>
        </w:rPr>
        <w:footnoteReference w:id="81"/>
      </w:r>
      <w:r w:rsidR="00584AAD">
        <w:t>, symbolised when Andromache throws away the veil given to her by Aphrodite on her wedding day</w:t>
      </w:r>
      <w:r w:rsidR="00584AAD">
        <w:rPr>
          <w:rStyle w:val="FootnoteReference"/>
        </w:rPr>
        <w:footnoteReference w:id="82"/>
      </w:r>
      <w:r w:rsidR="00584AAD">
        <w:t xml:space="preserve"> show</w:t>
      </w:r>
      <w:r w:rsidR="000551F5">
        <w:t>ing</w:t>
      </w:r>
      <w:r w:rsidR="00584AAD">
        <w:t xml:space="preserve"> the destruction of her marriage indicating that the death of Hector equals the death of civil, domestic life</w:t>
      </w:r>
      <w:r w:rsidR="00584AAD">
        <w:rPr>
          <w:rStyle w:val="FootnoteReference"/>
        </w:rPr>
        <w:footnoteReference w:id="83"/>
      </w:r>
      <w:r w:rsidR="006E0D28">
        <w:t xml:space="preserve">. </w:t>
      </w:r>
    </w:p>
    <w:p w14:paraId="7E487C3F" w14:textId="1724F116" w:rsidR="008B4BE8" w:rsidRDefault="00C36624">
      <w:r>
        <w:t xml:space="preserve">Divinity is also diminished and corrupted because of the characters. Schein </w:t>
      </w:r>
      <w:r w:rsidR="003B7250">
        <w:t>is of the opinion that Homer presents Achilles as crossing a boundary that</w:t>
      </w:r>
      <w:r>
        <w:t xml:space="preserve"> </w:t>
      </w:r>
      <w:r w:rsidR="003B7250">
        <w:t>should not be crossed</w:t>
      </w:r>
      <w:r w:rsidR="003B7250">
        <w:rPr>
          <w:rStyle w:val="FootnoteReference"/>
        </w:rPr>
        <w:footnoteReference w:id="84"/>
      </w:r>
      <w:r w:rsidR="003B7250">
        <w:t>, by being both semi-divine due to his mother</w:t>
      </w:r>
      <w:r w:rsidR="003B7250">
        <w:rPr>
          <w:rStyle w:val="FootnoteReference"/>
        </w:rPr>
        <w:footnoteReference w:id="85"/>
      </w:r>
      <w:r w:rsidR="003B7250">
        <w:t xml:space="preserve"> and being subhuman due to his lack of values as discussed making him both divine yet </w:t>
      </w:r>
      <w:r w:rsidR="00FD6062">
        <w:t>corrupted</w:t>
      </w:r>
      <w:r w:rsidR="003B7250">
        <w:t>.</w:t>
      </w:r>
      <w:r w:rsidR="00FD6062">
        <w:t xml:space="preserve"> The gods are diminished in their powers, as Whitman suggests that throughout the poem they are confined to poetic contexts and when they appear to be helping a character that is merely Homer using them as a symbol of that character’s ability</w:t>
      </w:r>
      <w:r w:rsidR="00FD6062">
        <w:rPr>
          <w:rStyle w:val="FootnoteReference"/>
        </w:rPr>
        <w:footnoteReference w:id="86"/>
      </w:r>
      <w:r w:rsidR="00FD6062">
        <w:t xml:space="preserve">. </w:t>
      </w:r>
      <w:r w:rsidR="00E31A2C">
        <w:t xml:space="preserve">By the end of the epic </w:t>
      </w:r>
      <w:r w:rsidR="009B7254">
        <w:t>the gods have no dominion over the characters, the gods suggest only what Priam has already decided for himself</w:t>
      </w:r>
      <w:r w:rsidR="009B7254">
        <w:rPr>
          <w:rStyle w:val="FootnoteReference"/>
        </w:rPr>
        <w:footnoteReference w:id="87"/>
      </w:r>
      <w:r w:rsidR="009B7254">
        <w:t xml:space="preserve"> and Zeus does not allow Hermes to steal Hector’s body from Achilles</w:t>
      </w:r>
      <w:r w:rsidR="009B7254">
        <w:rPr>
          <w:rStyle w:val="FootnoteReference"/>
        </w:rPr>
        <w:footnoteReference w:id="88"/>
      </w:r>
      <w:r w:rsidR="009B7254">
        <w:t xml:space="preserve"> implying that Achilles is his own master</w:t>
      </w:r>
      <w:r w:rsidR="009B7254">
        <w:rPr>
          <w:rStyle w:val="FootnoteReference"/>
        </w:rPr>
        <w:footnoteReference w:id="89"/>
      </w:r>
      <w:r w:rsidR="00D008BA">
        <w:t xml:space="preserve"> instead choosing to </w:t>
      </w:r>
      <w:r w:rsidR="009B7254">
        <w:t>ask Achilles’ mother to persuade him</w:t>
      </w:r>
      <w:r w:rsidR="009B7254">
        <w:rPr>
          <w:rStyle w:val="FootnoteReference"/>
        </w:rPr>
        <w:footnoteReference w:id="90"/>
      </w:r>
      <w:r w:rsidR="009B7254">
        <w:t>.</w:t>
      </w:r>
      <w:r w:rsidR="00622521">
        <w:t xml:space="preserve"> </w:t>
      </w:r>
      <w:r w:rsidR="001B0906">
        <w:t>In addition to this Patroclus</w:t>
      </w:r>
      <w:r w:rsidR="005A2C05">
        <w:t>,</w:t>
      </w:r>
      <w:r w:rsidR="001B0906">
        <w:t xml:space="preserve"> when in Achilles’ armour </w:t>
      </w:r>
      <w:r w:rsidR="001B0906" w:rsidRPr="001B0906">
        <w:t>transcends</w:t>
      </w:r>
      <w:r w:rsidR="001B0906">
        <w:t xml:space="preserve"> and for the only time in the </w:t>
      </w:r>
      <w:proofErr w:type="spellStart"/>
      <w:r w:rsidR="001B0906">
        <w:rPr>
          <w:i/>
        </w:rPr>
        <w:t>The</w:t>
      </w:r>
      <w:proofErr w:type="spellEnd"/>
      <w:r w:rsidR="001B0906">
        <w:rPr>
          <w:i/>
        </w:rPr>
        <w:t xml:space="preserve"> Iliad</w:t>
      </w:r>
      <w:r w:rsidR="001B0906">
        <w:rPr>
          <w:rStyle w:val="FootnoteReference"/>
          <w:i/>
        </w:rPr>
        <w:footnoteReference w:id="91"/>
      </w:r>
      <w:r w:rsidR="001B0906">
        <w:rPr>
          <w:i/>
        </w:rPr>
        <w:t xml:space="preserve"> </w:t>
      </w:r>
      <w:r w:rsidR="001B0906">
        <w:t>a god with his own hand has to overcome a character</w:t>
      </w:r>
      <w:r w:rsidR="001B0906">
        <w:rPr>
          <w:rStyle w:val="FootnoteReference"/>
        </w:rPr>
        <w:footnoteReference w:id="92"/>
      </w:r>
      <w:r w:rsidR="001B0906">
        <w:t>, this suggests that the only way to be close to the gods now is by masking as someone who is already semi-divine.</w:t>
      </w:r>
      <w:r w:rsidR="00AB265E">
        <w:t xml:space="preserve"> This diminishing of the gods’ prowess continues throughout the epic genre, Odysseus thinks for himself with little of his actions dictated by gods</w:t>
      </w:r>
      <w:r w:rsidR="00AB265E">
        <w:rPr>
          <w:rStyle w:val="FootnoteReference"/>
        </w:rPr>
        <w:footnoteReference w:id="93"/>
      </w:r>
      <w:r w:rsidR="00CB6F8B">
        <w:t xml:space="preserve"> and eventually in </w:t>
      </w:r>
      <w:r w:rsidR="00AB265E">
        <w:t xml:space="preserve">Lucan’s </w:t>
      </w:r>
      <w:r w:rsidR="00AB265E" w:rsidRPr="00AB265E">
        <w:rPr>
          <w:i/>
        </w:rPr>
        <w:t>The Civil War</w:t>
      </w:r>
      <w:r w:rsidR="00AB265E">
        <w:t xml:space="preserve"> the gods are barely mentioned.</w:t>
      </w:r>
    </w:p>
    <w:p w14:paraId="7406D5EF" w14:textId="12A3335F" w:rsidR="00DA6391" w:rsidRDefault="009550CA">
      <w:r>
        <w:t xml:space="preserve">When you place the epic as part of the Heroic age in Hesiod’s Ages of Man the lack of values and characters who should not be admired makes sense, as </w:t>
      </w:r>
      <w:r w:rsidR="00265F0C">
        <w:t xml:space="preserve">humanity </w:t>
      </w:r>
      <w:r>
        <w:t>has already gone through three ages of deterioration and sets up the final age wh</w:t>
      </w:r>
      <w:r w:rsidR="00265F0C">
        <w:t>ere humans</w:t>
      </w:r>
      <w:r>
        <w:t xml:space="preserve"> will destroy each other</w:t>
      </w:r>
      <w:r>
        <w:rPr>
          <w:rStyle w:val="FootnoteReference"/>
        </w:rPr>
        <w:footnoteReference w:id="94"/>
      </w:r>
      <w:r w:rsidR="00265F0C">
        <w:t>. Homer seems to refer to this deterioration of humanity</w:t>
      </w:r>
      <w:r w:rsidR="001C4DE0">
        <w:t xml:space="preserve"> on Achilles’ shield given to him by Hephaestus</w:t>
      </w:r>
      <w:r w:rsidR="00094A3C">
        <w:t>, as the decoration on it is not showing scenes from the Heroic Age</w:t>
      </w:r>
      <w:r w:rsidR="00094A3C">
        <w:rPr>
          <w:rStyle w:val="FootnoteReference"/>
        </w:rPr>
        <w:footnoteReference w:id="95"/>
      </w:r>
      <w:r w:rsidR="00094A3C">
        <w:t xml:space="preserve">. </w:t>
      </w:r>
      <w:r w:rsidR="00265F0C">
        <w:t xml:space="preserve">The evidence for this is that the shield shows </w:t>
      </w:r>
      <w:r w:rsidR="00A11F1A">
        <w:t>peace and agriculture</w:t>
      </w:r>
      <w:r w:rsidR="00A11F1A">
        <w:rPr>
          <w:rStyle w:val="FootnoteReference"/>
        </w:rPr>
        <w:footnoteReference w:id="96"/>
      </w:r>
      <w:r w:rsidR="00A11F1A">
        <w:t xml:space="preserve"> contrasted with war and death</w:t>
      </w:r>
      <w:r w:rsidR="00A11F1A">
        <w:rPr>
          <w:rStyle w:val="FootnoteReference"/>
        </w:rPr>
        <w:footnoteReference w:id="97"/>
      </w:r>
      <w:r w:rsidR="00A11F1A">
        <w:t>, which could be seen as Homer contrasting the Heroic Age with the previous ages which offered peace and prosperity. However, Hesiod’s opinion is that the Heroic Age was better than the previous Bronze Age saying specifically those who went to Troy were just and godly</w:t>
      </w:r>
      <w:r w:rsidR="00A11F1A">
        <w:rPr>
          <w:rStyle w:val="FootnoteReference"/>
        </w:rPr>
        <w:footnoteReference w:id="98"/>
      </w:r>
      <w:r w:rsidR="00A11F1A">
        <w:t xml:space="preserve">. As argued throughout the paper it seems </w:t>
      </w:r>
      <w:r w:rsidR="00A11F1A">
        <w:lastRenderedPageBreak/>
        <w:t>that Homer has a different opinion, one that is shared by others</w:t>
      </w:r>
      <w:r w:rsidR="00B9515A">
        <w:t xml:space="preserve"> such</w:t>
      </w:r>
      <w:r w:rsidR="00A11F1A">
        <w:t xml:space="preserve"> as Ovid</w:t>
      </w:r>
      <w:r w:rsidR="00B9515A">
        <w:t xml:space="preserve"> who</w:t>
      </w:r>
      <w:r w:rsidR="00A11F1A">
        <w:t xml:space="preserve"> pokes fu</w:t>
      </w:r>
      <w:r w:rsidR="00321273">
        <w:t xml:space="preserve">n of </w:t>
      </w:r>
      <w:r w:rsidR="00A11F1A">
        <w:t>heroes</w:t>
      </w:r>
      <w:r w:rsidR="00A11F1A">
        <w:rPr>
          <w:rStyle w:val="FootnoteReference"/>
        </w:rPr>
        <w:footnoteReference w:id="99"/>
      </w:r>
      <w:r w:rsidR="00A11F1A">
        <w:t xml:space="preserve"> and Catullus </w:t>
      </w:r>
      <w:r w:rsidR="00B9515A">
        <w:t xml:space="preserve">who additionally specifically attacks Achilles in his </w:t>
      </w:r>
      <w:r w:rsidR="00B9515A" w:rsidRPr="00B9515A">
        <w:t>epyllion</w:t>
      </w:r>
      <w:r w:rsidR="00B9515A">
        <w:rPr>
          <w:rStyle w:val="FootnoteReference"/>
        </w:rPr>
        <w:footnoteReference w:id="100"/>
      </w:r>
      <w:r w:rsidR="00B9515A">
        <w:t>.</w:t>
      </w:r>
    </w:p>
    <w:p w14:paraId="5A70A1D4" w14:textId="38C449D1" w:rsidR="00BF666D" w:rsidRPr="0022699E" w:rsidRDefault="00BF666D">
      <w:r>
        <w:t>This ideology of the Ages of Man and that the time of heroes will pass is a recurring theme, as the heroes are ultimately, we have heard, willing to be killed for glory. We are reminded that heroes are temporary</w:t>
      </w:r>
      <w:r w:rsidR="00FE3A97">
        <w:t>, particularly shown with the recurring agricultural similes and motifs</w:t>
      </w:r>
      <w:r w:rsidR="00FE3A97">
        <w:rPr>
          <w:rStyle w:val="FootnoteReference"/>
        </w:rPr>
        <w:footnoteReference w:id="101"/>
      </w:r>
      <w:r w:rsidR="00CB0115">
        <w:t xml:space="preserve">. But this seasonal theme is even ingrained in the word </w:t>
      </w:r>
      <w:r w:rsidR="00CB0115" w:rsidRPr="00CB0115">
        <w:rPr>
          <w:i/>
        </w:rPr>
        <w:t>hērōs</w:t>
      </w:r>
      <w:r w:rsidR="00CB0115">
        <w:rPr>
          <w:i/>
        </w:rPr>
        <w:t xml:space="preserve"> </w:t>
      </w:r>
      <w:r w:rsidR="00CB0115">
        <w:t xml:space="preserve">itself, as Schein explains it is related to the word for seasonal which is </w:t>
      </w:r>
      <w:r w:rsidR="00CB0115" w:rsidRPr="00CB0115">
        <w:rPr>
          <w:i/>
        </w:rPr>
        <w:t>hōrē</w:t>
      </w:r>
      <w:r w:rsidR="00CB0115">
        <w:rPr>
          <w:rStyle w:val="FootnoteReference"/>
          <w:i/>
        </w:rPr>
        <w:footnoteReference w:id="102"/>
      </w:r>
      <w:r w:rsidR="00CB0115">
        <w:t xml:space="preserve">. Homer therefore </w:t>
      </w:r>
      <w:r w:rsidR="0022699E">
        <w:t xml:space="preserve">is multi-layering and ingraining the fact that when you behave like the characters described in </w:t>
      </w:r>
      <w:r w:rsidR="0022699E">
        <w:rPr>
          <w:i/>
        </w:rPr>
        <w:t>The Iliad</w:t>
      </w:r>
      <w:r w:rsidR="0022699E">
        <w:t>, you are set up to have a short life and helps to further the question that is living life this way worth it.</w:t>
      </w:r>
    </w:p>
    <w:p w14:paraId="5FCF03E0" w14:textId="368CA5A7" w:rsidR="00BF666D" w:rsidRDefault="005948C2" w:rsidP="00AB40EE">
      <w:pPr>
        <w:tabs>
          <w:tab w:val="left" w:pos="1620"/>
        </w:tabs>
      </w:pPr>
      <w:r>
        <w:t>Perhaps</w:t>
      </w:r>
      <w:r w:rsidR="00BF666D">
        <w:t xml:space="preserve"> then</w:t>
      </w:r>
      <w:r>
        <w:t xml:space="preserve"> </w:t>
      </w:r>
      <w:r w:rsidR="00BF666D">
        <w:t>this is the reason for</w:t>
      </w:r>
      <w:r w:rsidR="00AB40EE">
        <w:t xml:space="preserve"> why heroes after </w:t>
      </w:r>
      <w:r w:rsidR="00AB40EE">
        <w:rPr>
          <w:i/>
        </w:rPr>
        <w:t xml:space="preserve">The Iliad </w:t>
      </w:r>
      <w:r w:rsidR="00AB40EE">
        <w:t xml:space="preserve">are very different, with Nagy describing Achilles and Odysseus, in </w:t>
      </w:r>
      <w:r w:rsidR="00AB40EE">
        <w:rPr>
          <w:i/>
        </w:rPr>
        <w:t>The Odyssey,</w:t>
      </w:r>
      <w:r w:rsidR="00AB40EE">
        <w:t xml:space="preserve"> as being worlds apart</w:t>
      </w:r>
      <w:r w:rsidR="00AB40EE">
        <w:rPr>
          <w:rStyle w:val="FootnoteReference"/>
        </w:rPr>
        <w:footnoteReference w:id="103"/>
      </w:r>
      <w:r w:rsidR="00AB40EE">
        <w:t xml:space="preserve"> despite them apparently sharing a creator. </w:t>
      </w:r>
      <w:r w:rsidR="00F929C2">
        <w:t xml:space="preserve">Rutherford has labelled </w:t>
      </w:r>
      <w:r w:rsidR="00F929C2">
        <w:rPr>
          <w:i/>
        </w:rPr>
        <w:t xml:space="preserve">The Odyssey </w:t>
      </w:r>
      <w:r w:rsidR="00F929C2">
        <w:t xml:space="preserve">as being the critique of </w:t>
      </w:r>
      <w:r w:rsidR="00F929C2">
        <w:rPr>
          <w:i/>
        </w:rPr>
        <w:t>The Iliad</w:t>
      </w:r>
      <w:r w:rsidR="00F929C2">
        <w:rPr>
          <w:rStyle w:val="FootnoteReference"/>
          <w:i/>
        </w:rPr>
        <w:footnoteReference w:id="104"/>
      </w:r>
      <w:r w:rsidR="00F929C2">
        <w:rPr>
          <w:i/>
        </w:rPr>
        <w:t xml:space="preserve">, </w:t>
      </w:r>
      <w:r w:rsidR="00C549E7">
        <w:t>while Achilles is incapable of change and learning</w:t>
      </w:r>
      <w:r w:rsidR="00C549E7">
        <w:rPr>
          <w:rStyle w:val="FootnoteReference"/>
        </w:rPr>
        <w:footnoteReference w:id="105"/>
      </w:r>
      <w:r w:rsidR="00C549E7">
        <w:t xml:space="preserve"> Odysseus is shown to learn from his mistakes</w:t>
      </w:r>
      <w:r w:rsidR="00F41FD5">
        <w:rPr>
          <w:rStyle w:val="FootnoteReference"/>
        </w:rPr>
        <w:footnoteReference w:id="106"/>
      </w:r>
      <w:r w:rsidR="00F41FD5">
        <w:t xml:space="preserve"> and </w:t>
      </w:r>
      <w:r w:rsidR="00121343">
        <w:t>relies on his mind not only his skills in fighting</w:t>
      </w:r>
      <w:r w:rsidR="00121343">
        <w:rPr>
          <w:rStyle w:val="FootnoteReference"/>
        </w:rPr>
        <w:footnoteReference w:id="107"/>
      </w:r>
      <w:r w:rsidR="00121343">
        <w:t>.</w:t>
      </w:r>
      <w:r w:rsidR="009F5310">
        <w:t xml:space="preserve"> Odysseus is also shown to have many sides to his character unlike Achilles</w:t>
      </w:r>
      <w:r w:rsidR="009F5310">
        <w:rPr>
          <w:rStyle w:val="FootnoteReference"/>
        </w:rPr>
        <w:footnoteReference w:id="108"/>
      </w:r>
      <w:r w:rsidR="009F5310">
        <w:t xml:space="preserve">, a trend that continues as the Hellenistic epic </w:t>
      </w:r>
      <w:r w:rsidR="009F5310">
        <w:rPr>
          <w:i/>
        </w:rPr>
        <w:t xml:space="preserve">Argonautica </w:t>
      </w:r>
      <w:r w:rsidR="009F5310">
        <w:t xml:space="preserve">introduces the ‘love hero’ </w:t>
      </w:r>
      <w:r w:rsidR="006132C9">
        <w:t xml:space="preserve">trait </w:t>
      </w:r>
      <w:r w:rsidR="009F5310">
        <w:t>with Jason</w:t>
      </w:r>
      <w:r w:rsidR="009F5310">
        <w:rPr>
          <w:rStyle w:val="FootnoteReference"/>
        </w:rPr>
        <w:footnoteReference w:id="109"/>
      </w:r>
      <w:r w:rsidR="006132C9">
        <w:t xml:space="preserve"> and Virgil’s Aeneas incorporates all these attributes</w:t>
      </w:r>
      <w:r w:rsidR="006132C9">
        <w:rPr>
          <w:rStyle w:val="FootnoteReference"/>
        </w:rPr>
        <w:footnoteReference w:id="110"/>
      </w:r>
      <w:r w:rsidR="006132C9">
        <w:t xml:space="preserve"> as well as being a ‘founder hero’</w:t>
      </w:r>
      <w:r w:rsidR="006132C9">
        <w:rPr>
          <w:rStyle w:val="FootnoteReference"/>
        </w:rPr>
        <w:footnoteReference w:id="111"/>
      </w:r>
      <w:r w:rsidR="00BF666D">
        <w:t xml:space="preserve">. </w:t>
      </w:r>
      <w:r w:rsidR="00BF666D">
        <w:rPr>
          <w:i/>
        </w:rPr>
        <w:t xml:space="preserve">The Odyssey </w:t>
      </w:r>
      <w:r w:rsidR="00BF666D">
        <w:t xml:space="preserve">importantly proves the ideology of </w:t>
      </w:r>
      <w:r w:rsidR="00BF666D">
        <w:rPr>
          <w:i/>
        </w:rPr>
        <w:t xml:space="preserve">The Iliad </w:t>
      </w:r>
      <w:r w:rsidR="00BF666D">
        <w:t xml:space="preserve">to be wrong, as in </w:t>
      </w:r>
      <w:r w:rsidR="00BF666D">
        <w:rPr>
          <w:i/>
        </w:rPr>
        <w:t>The Iliad</w:t>
      </w:r>
      <w:r w:rsidR="00BF666D">
        <w:t xml:space="preserve"> we are made to believe that glory is more important than returning especially as you can gain glory from dying honourably</w:t>
      </w:r>
      <w:r w:rsidR="00400387">
        <w:rPr>
          <w:rStyle w:val="FootnoteReference"/>
        </w:rPr>
        <w:footnoteReference w:id="112"/>
      </w:r>
      <w:r w:rsidR="0022699E">
        <w:t xml:space="preserve">. But </w:t>
      </w:r>
      <w:r w:rsidR="0022699E">
        <w:rPr>
          <w:i/>
        </w:rPr>
        <w:t xml:space="preserve">The Odyssey </w:t>
      </w:r>
      <w:r w:rsidR="0022699E">
        <w:t xml:space="preserve">challenges this by saying without the return your glory </w:t>
      </w:r>
      <w:r w:rsidR="003002FD">
        <w:t>does</w:t>
      </w:r>
      <w:r w:rsidR="0022699E">
        <w:t xml:space="preserve"> not matter</w:t>
      </w:r>
      <w:r w:rsidR="003002FD">
        <w:t xml:space="preserve">, with even Achilles going back on his beliefs </w:t>
      </w:r>
      <w:r w:rsidR="00BE2DA5">
        <w:t>proclaiming that he would rather be alive as a serf than to be in the underworld even if by dying he gained great glory</w:t>
      </w:r>
      <w:r w:rsidR="00BE2DA5">
        <w:rPr>
          <w:rStyle w:val="FootnoteReference"/>
        </w:rPr>
        <w:footnoteReference w:id="113"/>
      </w:r>
      <w:r w:rsidR="00BE2DA5">
        <w:t>.</w:t>
      </w:r>
    </w:p>
    <w:p w14:paraId="5D2B2001" w14:textId="4B22A939" w:rsidR="00E85DD0" w:rsidRDefault="00E85DD0" w:rsidP="00AB40EE">
      <w:pPr>
        <w:tabs>
          <w:tab w:val="left" w:pos="1620"/>
        </w:tabs>
      </w:pPr>
      <w:r>
        <w:t>Van Wees makes note of the fact that the characters in the epic go against the normal emotional displays</w:t>
      </w:r>
      <w:r w:rsidR="00EC7561">
        <w:t>. W</w:t>
      </w:r>
      <w:r>
        <w:t>hile he appreciates Pope</w:t>
      </w:r>
      <w:r w:rsidR="00EC7561">
        <w:t xml:space="preserve">’s reminder that Homer does not make his characters cry in order to show weakness as crying was not seen to be a weakness, Van Wees however </w:t>
      </w:r>
      <w:r w:rsidR="00DA7ADB">
        <w:t>does</w:t>
      </w:r>
      <w:r w:rsidR="00EC7561">
        <w:t xml:space="preserve"> argue that the excessive degree and frequency would not be considered normal or appropriate by </w:t>
      </w:r>
      <w:r w:rsidR="001B6D46">
        <w:t>Homer’s audience</w:t>
      </w:r>
      <w:r w:rsidR="001B6D46">
        <w:rPr>
          <w:rStyle w:val="FootnoteReference"/>
        </w:rPr>
        <w:footnoteReference w:id="114"/>
      </w:r>
      <w:r w:rsidR="00A70B38">
        <w:t xml:space="preserve">. While in </w:t>
      </w:r>
      <w:r w:rsidR="00A70B38">
        <w:rPr>
          <w:i/>
        </w:rPr>
        <w:t xml:space="preserve">The Odyssey </w:t>
      </w:r>
      <w:r w:rsidR="00A70B38">
        <w:t>Odysseus does cry and grieve to a severe degree even wishing he was dead</w:t>
      </w:r>
      <w:r w:rsidR="00A70B38">
        <w:rPr>
          <w:rStyle w:val="FootnoteReference"/>
        </w:rPr>
        <w:footnoteReference w:id="115"/>
      </w:r>
      <w:r w:rsidR="00A70B38">
        <w:t>, he still understands there is times where crying is not appropriate</w:t>
      </w:r>
      <w:r w:rsidR="00A70B38">
        <w:rPr>
          <w:rStyle w:val="FootnoteReference"/>
        </w:rPr>
        <w:footnoteReference w:id="116"/>
      </w:r>
      <w:r w:rsidR="00956E93">
        <w:t>.</w:t>
      </w:r>
      <w:r w:rsidR="005C6A8D">
        <w:t xml:space="preserve"> Also if women are meant to be considered as more emotional </w:t>
      </w:r>
      <w:r w:rsidR="005C6A8D">
        <w:rPr>
          <w:i/>
        </w:rPr>
        <w:t>The Iliad</w:t>
      </w:r>
      <w:r w:rsidR="005C6A8D">
        <w:t xml:space="preserve"> shows the difference to be very slight, with </w:t>
      </w:r>
      <w:r w:rsidR="005C6A8D">
        <w:lastRenderedPageBreak/>
        <w:t>Priam grieving in extreme lengths</w:t>
      </w:r>
      <w:r w:rsidR="005C6A8D">
        <w:rPr>
          <w:rStyle w:val="FootnoteReference"/>
        </w:rPr>
        <w:footnoteReference w:id="117"/>
      </w:r>
      <w:r w:rsidR="005C6A8D">
        <w:t xml:space="preserve"> as well as the women</w:t>
      </w:r>
      <w:r w:rsidR="005C6A8D">
        <w:rPr>
          <w:rStyle w:val="FootnoteReference"/>
        </w:rPr>
        <w:footnoteReference w:id="118"/>
      </w:r>
      <w:r w:rsidR="005C6A8D">
        <w:t xml:space="preserve">. </w:t>
      </w:r>
      <w:r w:rsidR="006F5B26">
        <w:t>Homer though</w:t>
      </w:r>
      <w:r w:rsidR="005C6A8D">
        <w:t>,</w:t>
      </w:r>
      <w:r w:rsidR="006F5B26">
        <w:t xml:space="preserve"> it could be argued</w:t>
      </w:r>
      <w:r w:rsidR="005C6A8D">
        <w:t>,</w:t>
      </w:r>
      <w:r w:rsidR="006F5B26">
        <w:t xml:space="preserve"> is trying to show the reality of war and what these extreme circumstances</w:t>
      </w:r>
      <w:r w:rsidR="005C6A8D">
        <w:t xml:space="preserve"> will emotionally put you through, as Homer frequently describes men crying in fear</w:t>
      </w:r>
      <w:r w:rsidR="005C6A8D">
        <w:rPr>
          <w:rStyle w:val="FootnoteReference"/>
        </w:rPr>
        <w:footnoteReference w:id="119"/>
      </w:r>
      <w:r w:rsidR="005C6A8D">
        <w:t xml:space="preserve"> and even leaders crying when the situation gets dire</w:t>
      </w:r>
      <w:r w:rsidR="005C6A8D">
        <w:rPr>
          <w:rStyle w:val="FootnoteReference"/>
        </w:rPr>
        <w:footnoteReference w:id="120"/>
      </w:r>
      <w:r w:rsidR="005C6A8D">
        <w:t>.</w:t>
      </w:r>
      <w:r w:rsidR="008B4C64">
        <w:t xml:space="preserve"> However</w:t>
      </w:r>
      <w:r w:rsidR="0039031F">
        <w:t>,</w:t>
      </w:r>
      <w:r w:rsidR="008B4C64">
        <w:t xml:space="preserve"> Van Wees’ assessment that it is embarrassing</w:t>
      </w:r>
      <w:r w:rsidR="00E64D49">
        <w:rPr>
          <w:rStyle w:val="FootnoteReference"/>
        </w:rPr>
        <w:footnoteReference w:id="121"/>
      </w:r>
      <w:r w:rsidR="00E64D49">
        <w:t>,</w:t>
      </w:r>
      <w:r w:rsidR="008B4C64">
        <w:t xml:space="preserve"> </w:t>
      </w:r>
      <w:r w:rsidR="00E64D49">
        <w:t xml:space="preserve">when we are told Achilles </w:t>
      </w:r>
      <w:r w:rsidR="008B4C64">
        <w:t>the greatest warrior is crying on the beach being comforted by his mother</w:t>
      </w:r>
      <w:r w:rsidR="00E64D49">
        <w:rPr>
          <w:rStyle w:val="FootnoteReference"/>
        </w:rPr>
        <w:footnoteReference w:id="122"/>
      </w:r>
      <w:r w:rsidR="008B4C64">
        <w:t xml:space="preserve"> because Agamemnon was mean to him</w:t>
      </w:r>
      <w:r w:rsidR="00E64D49">
        <w:t>, is fair.</w:t>
      </w:r>
      <w:r w:rsidR="007B58D7">
        <w:t xml:space="preserve"> The difference between past and present ideals though is apparent as a modern audience we find Achilles’ grief after the de</w:t>
      </w:r>
      <w:r w:rsidR="00DA6A74">
        <w:t>ath of Patroclus understandable</w:t>
      </w:r>
      <w:r w:rsidR="007B58D7">
        <w:t xml:space="preserve"> however</w:t>
      </w:r>
      <w:r w:rsidR="00DA6A74">
        <w:t>,</w:t>
      </w:r>
      <w:r w:rsidR="007B58D7">
        <w:t xml:space="preserve"> we know from a contemporary of Aristotle, </w:t>
      </w:r>
      <w:proofErr w:type="spellStart"/>
      <w:r w:rsidR="007B58D7">
        <w:t>Zoilos</w:t>
      </w:r>
      <w:proofErr w:type="spellEnd"/>
      <w:r w:rsidR="007B58D7">
        <w:t xml:space="preserve"> of Amphipolis, that there was disdain for this behaviour seeing at so foreign and effeminate that ‘not even a barbarian nurse would behave that way’</w:t>
      </w:r>
      <w:r w:rsidR="007B58D7">
        <w:rPr>
          <w:rStyle w:val="FootnoteReference"/>
        </w:rPr>
        <w:footnoteReference w:id="123"/>
      </w:r>
      <w:r w:rsidR="007B58D7">
        <w:t xml:space="preserve">. </w:t>
      </w:r>
      <w:r w:rsidR="002B2155">
        <w:t xml:space="preserve">Homer then compares Achilles to his son in </w:t>
      </w:r>
      <w:r w:rsidR="002B2155">
        <w:rPr>
          <w:i/>
        </w:rPr>
        <w:t>The Iliad</w:t>
      </w:r>
      <w:r w:rsidR="002B2155">
        <w:t>, telling his audience that becaus</w:t>
      </w:r>
      <w:r w:rsidR="00F70689">
        <w:t xml:space="preserve">e he remained dry-eyed he is </w:t>
      </w:r>
      <w:r w:rsidR="002B2155">
        <w:t>exceptional</w:t>
      </w:r>
      <w:r w:rsidR="002B2155">
        <w:rPr>
          <w:rStyle w:val="FootnoteReference"/>
        </w:rPr>
        <w:footnoteReference w:id="124"/>
      </w:r>
      <w:r w:rsidR="002B2155">
        <w:t xml:space="preserve"> implying he has surpassed his father.</w:t>
      </w:r>
    </w:p>
    <w:p w14:paraId="18F144C2" w14:textId="78B64F3C" w:rsidR="0044204B" w:rsidRDefault="00E41935" w:rsidP="00AB40EE">
      <w:pPr>
        <w:tabs>
          <w:tab w:val="left" w:pos="1620"/>
        </w:tabs>
      </w:pPr>
      <w:r>
        <w:t>Achilles and Agamemnon are often pitted against each other, perhaps to question who the better man is or to further highlight Achilles’ decline. When the epic begins Homer tell us that Agamemnon has brought destruction to his army and Achilles comes in to bring about salvation</w:t>
      </w:r>
      <w:r>
        <w:rPr>
          <w:rStyle w:val="FootnoteReference"/>
        </w:rPr>
        <w:footnoteReference w:id="125"/>
      </w:r>
      <w:r>
        <w:t>, so to begin with at least Achilles has our favour</w:t>
      </w:r>
      <w:r>
        <w:rPr>
          <w:rStyle w:val="FootnoteReference"/>
        </w:rPr>
        <w:footnoteReference w:id="126"/>
      </w:r>
      <w:r>
        <w:t xml:space="preserve">. </w:t>
      </w:r>
      <w:r w:rsidR="00917BC0">
        <w:t>However Achilles then soon abandons the army</w:t>
      </w:r>
      <w:r w:rsidR="00917BC0">
        <w:rPr>
          <w:rStyle w:val="FootnoteReference"/>
        </w:rPr>
        <w:footnoteReference w:id="127"/>
      </w:r>
      <w:r w:rsidR="00917BC0">
        <w:t xml:space="preserve"> setting them up for destruction</w:t>
      </w:r>
      <w:r w:rsidR="00760D30">
        <w:t xml:space="preserve">, therefore is he any better than Agamemnon. </w:t>
      </w:r>
      <w:r w:rsidR="00A77A6C">
        <w:t xml:space="preserve">The moment Achilles gains the most sympathy is when he </w:t>
      </w:r>
      <w:r w:rsidR="004067A5">
        <w:t xml:space="preserve">is </w:t>
      </w:r>
      <w:r w:rsidR="00A77A6C">
        <w:t>grieving for Patroclus, similarl</w:t>
      </w:r>
      <w:bookmarkStart w:id="0" w:name="_GoBack"/>
      <w:bookmarkEnd w:id="0"/>
      <w:r w:rsidR="00A77A6C">
        <w:t xml:space="preserve">y Agamemnon’s </w:t>
      </w:r>
      <w:r w:rsidR="001D6B8A">
        <w:t>moment where the listener witnesses him being selfless</w:t>
      </w:r>
      <w:r w:rsidR="001D6B8A">
        <w:rPr>
          <w:rStyle w:val="FootnoteReference"/>
        </w:rPr>
        <w:footnoteReference w:id="128"/>
      </w:r>
      <w:r w:rsidR="00F43A2B">
        <w:t xml:space="preserve"> is when he believes his brother will die</w:t>
      </w:r>
      <w:r w:rsidR="00F43A2B">
        <w:rPr>
          <w:rStyle w:val="FootnoteReference"/>
        </w:rPr>
        <w:footnoteReference w:id="129"/>
      </w:r>
      <w:r w:rsidR="004067A5">
        <w:t>. The similarities between the t</w:t>
      </w:r>
      <w:r w:rsidR="009B7634">
        <w:t>wo imply that if Achilles hates</w:t>
      </w:r>
      <w:r w:rsidR="00A77A6C">
        <w:t xml:space="preserve"> </w:t>
      </w:r>
      <w:r w:rsidR="009B7634">
        <w:t>Agamemnon for how he acts</w:t>
      </w:r>
      <w:r w:rsidR="0054406E">
        <w:rPr>
          <w:rStyle w:val="FootnoteReference"/>
        </w:rPr>
        <w:footnoteReference w:id="130"/>
      </w:r>
      <w:r w:rsidR="009B7634">
        <w:t>, surely then Achilles’ behaviour and character therefore also requires distain.</w:t>
      </w:r>
    </w:p>
    <w:p w14:paraId="072140CC" w14:textId="2429A760" w:rsidR="004067A5" w:rsidRPr="004067A5" w:rsidRDefault="004067A5" w:rsidP="004067A5">
      <w:pPr>
        <w:tabs>
          <w:tab w:val="left" w:pos="1620"/>
        </w:tabs>
        <w:rPr>
          <w:i/>
        </w:rPr>
      </w:pPr>
      <w:r w:rsidRPr="004067A5">
        <w:t xml:space="preserve">Overall, it may be said that Homer’s characters in </w:t>
      </w:r>
      <w:r w:rsidRPr="004067A5">
        <w:rPr>
          <w:i/>
        </w:rPr>
        <w:t>The Iliad</w:t>
      </w:r>
      <w:r w:rsidRPr="004067A5">
        <w:t xml:space="preserve"> are not meant to be the subject of admiration or praise, neither are they supposed to be used as a benchmark for what a hero should be. If they were then it would be expected that the language used would be more appraising, the characters would experience growth and they would uphold the values that Homer explains heroes should have. Owen has proposed that the way characters act reveal how the poet wishes them to be seen</w:t>
      </w:r>
      <w:r w:rsidRPr="004067A5">
        <w:rPr>
          <w:vertAlign w:val="superscript"/>
        </w:rPr>
        <w:footnoteReference w:id="131"/>
      </w:r>
      <w:r w:rsidRPr="004067A5">
        <w:t xml:space="preserve">, in which case there is strong argument that Homer wishes his characters to not be seen as heroes. This augment is made even stronger when you compare </w:t>
      </w:r>
      <w:r w:rsidRPr="004067A5">
        <w:rPr>
          <w:i/>
        </w:rPr>
        <w:t xml:space="preserve">The Iliad </w:t>
      </w:r>
      <w:r w:rsidR="00E26052">
        <w:t>to</w:t>
      </w:r>
      <w:r w:rsidRPr="004067A5">
        <w:t xml:space="preserve"> </w:t>
      </w:r>
      <w:r w:rsidRPr="004067A5">
        <w:rPr>
          <w:i/>
        </w:rPr>
        <w:t xml:space="preserve">The Odyssey, </w:t>
      </w:r>
      <w:r w:rsidRPr="004067A5">
        <w:t>plus even more so still when tracking the evolution of heroes throughout the epic genre and how the epic hero quickly become</w:t>
      </w:r>
      <w:r w:rsidR="00DA6A74">
        <w:t>s</w:t>
      </w:r>
      <w:r w:rsidRPr="004067A5">
        <w:t xml:space="preserve"> different to the characters seen in </w:t>
      </w:r>
      <w:r w:rsidRPr="004067A5">
        <w:rPr>
          <w:i/>
        </w:rPr>
        <w:t xml:space="preserve">The Iliad. </w:t>
      </w:r>
    </w:p>
    <w:p w14:paraId="020012EB" w14:textId="71B0174F" w:rsidR="00501BA5" w:rsidRDefault="00501BA5" w:rsidP="00AB40EE">
      <w:pPr>
        <w:tabs>
          <w:tab w:val="left" w:pos="1620"/>
        </w:tabs>
      </w:pPr>
    </w:p>
    <w:p w14:paraId="0B7B3487" w14:textId="77777777" w:rsidR="00501BA5" w:rsidRDefault="00501BA5">
      <w:r>
        <w:br w:type="page"/>
      </w:r>
    </w:p>
    <w:p w14:paraId="75DD3997" w14:textId="77BF784B" w:rsidR="00501BA5" w:rsidRPr="00501BA5" w:rsidRDefault="00501BA5" w:rsidP="00501BA5">
      <w:pPr>
        <w:tabs>
          <w:tab w:val="left" w:pos="1620"/>
        </w:tabs>
        <w:rPr>
          <w:u w:val="single"/>
        </w:rPr>
      </w:pPr>
      <w:r w:rsidRPr="00501BA5">
        <w:rPr>
          <w:u w:val="single"/>
        </w:rPr>
        <w:lastRenderedPageBreak/>
        <w:t>Bibliography:-</w:t>
      </w:r>
      <w:r>
        <w:rPr>
          <w:u w:val="single"/>
        </w:rPr>
        <w:br/>
      </w:r>
      <w:r w:rsidRPr="00501BA5">
        <w:rPr>
          <w:u w:val="single"/>
        </w:rPr>
        <w:t>Ancient Sources:</w:t>
      </w:r>
    </w:p>
    <w:p w14:paraId="42F7529C" w14:textId="77777777" w:rsidR="00501BA5" w:rsidRPr="00501BA5" w:rsidRDefault="00501BA5" w:rsidP="00501BA5">
      <w:pPr>
        <w:tabs>
          <w:tab w:val="left" w:pos="1620"/>
        </w:tabs>
      </w:pPr>
      <w:r w:rsidRPr="00501BA5">
        <w:t xml:space="preserve">Apollonius </w:t>
      </w:r>
      <w:proofErr w:type="spellStart"/>
      <w:r w:rsidRPr="00501BA5">
        <w:t>Rhodius</w:t>
      </w:r>
      <w:proofErr w:type="spellEnd"/>
      <w:r w:rsidRPr="00501BA5">
        <w:rPr>
          <w:i/>
        </w:rPr>
        <w:t>, Argonautica</w:t>
      </w:r>
      <w:r w:rsidRPr="00501BA5">
        <w:t>. William H. Race (</w:t>
      </w:r>
      <w:proofErr w:type="gramStart"/>
      <w:r w:rsidRPr="00501BA5">
        <w:t>trans</w:t>
      </w:r>
      <w:proofErr w:type="gramEnd"/>
      <w:r w:rsidRPr="00501BA5">
        <w:t>.). 2009. Loeb</w:t>
      </w:r>
      <w:r w:rsidRPr="00501BA5">
        <w:br/>
        <w:t xml:space="preserve">Catullus, </w:t>
      </w:r>
      <w:proofErr w:type="gramStart"/>
      <w:r w:rsidRPr="00501BA5">
        <w:rPr>
          <w:i/>
        </w:rPr>
        <w:t>The</w:t>
      </w:r>
      <w:proofErr w:type="gramEnd"/>
      <w:r w:rsidRPr="00501BA5">
        <w:rPr>
          <w:i/>
        </w:rPr>
        <w:t xml:space="preserve"> Complete Poems. </w:t>
      </w:r>
      <w:r w:rsidRPr="00501BA5">
        <w:t>Guy Lee (</w:t>
      </w:r>
      <w:proofErr w:type="gramStart"/>
      <w:r w:rsidRPr="00501BA5">
        <w:t>trans</w:t>
      </w:r>
      <w:proofErr w:type="gramEnd"/>
      <w:r w:rsidRPr="00501BA5">
        <w:t>.). 1990. Oxford: Oxford University Press</w:t>
      </w:r>
      <w:r w:rsidRPr="00501BA5">
        <w:br/>
        <w:t xml:space="preserve">Euripides, </w:t>
      </w:r>
      <w:r w:rsidRPr="00501BA5">
        <w:rPr>
          <w:i/>
        </w:rPr>
        <w:t>Medea and Other Plays.</w:t>
      </w:r>
      <w:r w:rsidRPr="00501BA5">
        <w:t xml:space="preserve"> Philip </w:t>
      </w:r>
      <w:proofErr w:type="spellStart"/>
      <w:r w:rsidRPr="00501BA5">
        <w:t>Vellacott</w:t>
      </w:r>
      <w:proofErr w:type="spellEnd"/>
      <w:r w:rsidRPr="00501BA5">
        <w:t xml:space="preserve"> (</w:t>
      </w:r>
      <w:proofErr w:type="gramStart"/>
      <w:r w:rsidRPr="00501BA5">
        <w:t>trans</w:t>
      </w:r>
      <w:proofErr w:type="gramEnd"/>
      <w:r w:rsidRPr="00501BA5">
        <w:t>.). 1963. London: Penguin</w:t>
      </w:r>
      <w:r w:rsidRPr="00501BA5">
        <w:br/>
        <w:t xml:space="preserve">Lucan, </w:t>
      </w:r>
      <w:proofErr w:type="gramStart"/>
      <w:r w:rsidRPr="00501BA5">
        <w:rPr>
          <w:i/>
        </w:rPr>
        <w:t>The</w:t>
      </w:r>
      <w:proofErr w:type="gramEnd"/>
      <w:r w:rsidRPr="00501BA5">
        <w:rPr>
          <w:i/>
        </w:rPr>
        <w:t xml:space="preserve"> Civil War</w:t>
      </w:r>
      <w:r w:rsidRPr="00501BA5">
        <w:t>, J. D. Duff (trans.). 1928. Loeb</w:t>
      </w:r>
      <w:r w:rsidRPr="00501BA5">
        <w:br/>
        <w:t xml:space="preserve">Hesiod, </w:t>
      </w:r>
      <w:r w:rsidRPr="00501BA5">
        <w:rPr>
          <w:bCs/>
          <w:i/>
          <w:lang w:val="en"/>
        </w:rPr>
        <w:t xml:space="preserve">Theogony. Works and Days. </w:t>
      </w:r>
      <w:proofErr w:type="spellStart"/>
      <w:r w:rsidRPr="00501BA5">
        <w:rPr>
          <w:bCs/>
          <w:i/>
          <w:lang w:val="en"/>
        </w:rPr>
        <w:t>Testimonia</w:t>
      </w:r>
      <w:proofErr w:type="spellEnd"/>
      <w:r w:rsidRPr="00501BA5">
        <w:t>. Glenn W. Most (</w:t>
      </w:r>
      <w:proofErr w:type="gramStart"/>
      <w:r w:rsidRPr="00501BA5">
        <w:t>trans</w:t>
      </w:r>
      <w:proofErr w:type="gramEnd"/>
      <w:r w:rsidRPr="00501BA5">
        <w:t>.). 2007. Loeb</w:t>
      </w:r>
      <w:r w:rsidRPr="00501BA5">
        <w:br/>
        <w:t xml:space="preserve">Homer, </w:t>
      </w:r>
      <w:proofErr w:type="gramStart"/>
      <w:r w:rsidRPr="00501BA5">
        <w:rPr>
          <w:i/>
        </w:rPr>
        <w:t>The</w:t>
      </w:r>
      <w:proofErr w:type="gramEnd"/>
      <w:r w:rsidRPr="00501BA5">
        <w:rPr>
          <w:i/>
        </w:rPr>
        <w:t xml:space="preserve"> Iliad. </w:t>
      </w:r>
      <w:r w:rsidRPr="00501BA5">
        <w:t xml:space="preserve">E. V. </w:t>
      </w:r>
      <w:proofErr w:type="spellStart"/>
      <w:r w:rsidRPr="00501BA5">
        <w:t>Rieu</w:t>
      </w:r>
      <w:proofErr w:type="spellEnd"/>
      <w:r w:rsidRPr="00501BA5">
        <w:t xml:space="preserve"> (</w:t>
      </w:r>
      <w:proofErr w:type="gramStart"/>
      <w:r w:rsidRPr="00501BA5">
        <w:t>trans</w:t>
      </w:r>
      <w:proofErr w:type="gramEnd"/>
      <w:r w:rsidRPr="00501BA5">
        <w:t>.). 2003. London: Penguin</w:t>
      </w:r>
      <w:r w:rsidRPr="00501BA5">
        <w:br/>
        <w:t xml:space="preserve">Homer, </w:t>
      </w:r>
      <w:proofErr w:type="gramStart"/>
      <w:r w:rsidRPr="00501BA5">
        <w:rPr>
          <w:i/>
        </w:rPr>
        <w:t>The</w:t>
      </w:r>
      <w:proofErr w:type="gramEnd"/>
      <w:r w:rsidRPr="00501BA5">
        <w:rPr>
          <w:i/>
        </w:rPr>
        <w:t xml:space="preserve"> Odyssey</w:t>
      </w:r>
      <w:r w:rsidRPr="00501BA5">
        <w:t xml:space="preserve">. E. V. </w:t>
      </w:r>
      <w:proofErr w:type="spellStart"/>
      <w:r w:rsidRPr="00501BA5">
        <w:t>Rieu</w:t>
      </w:r>
      <w:proofErr w:type="spellEnd"/>
      <w:r w:rsidRPr="00501BA5">
        <w:t xml:space="preserve"> (</w:t>
      </w:r>
      <w:proofErr w:type="gramStart"/>
      <w:r w:rsidRPr="00501BA5">
        <w:t>trans</w:t>
      </w:r>
      <w:proofErr w:type="gramEnd"/>
      <w:r w:rsidRPr="00501BA5">
        <w:t>.). 2003. London: Penguin</w:t>
      </w:r>
      <w:r w:rsidRPr="00501BA5">
        <w:br/>
        <w:t xml:space="preserve">Ovid, </w:t>
      </w:r>
      <w:r w:rsidRPr="00501BA5">
        <w:rPr>
          <w:i/>
        </w:rPr>
        <w:t>Metamorphoses</w:t>
      </w:r>
      <w:r w:rsidRPr="00501BA5">
        <w:t>. David Raeburn (</w:t>
      </w:r>
      <w:proofErr w:type="gramStart"/>
      <w:r w:rsidRPr="00501BA5">
        <w:t>trans</w:t>
      </w:r>
      <w:proofErr w:type="gramEnd"/>
      <w:r w:rsidRPr="00501BA5">
        <w:t>.). 2004. London: Penguin</w:t>
      </w:r>
      <w:r w:rsidRPr="00501BA5">
        <w:br/>
        <w:t xml:space="preserve">Virgil, </w:t>
      </w:r>
      <w:r w:rsidRPr="00501BA5">
        <w:rPr>
          <w:i/>
        </w:rPr>
        <w:t>Aeneid,</w:t>
      </w:r>
      <w:r w:rsidRPr="00501BA5">
        <w:t xml:space="preserve"> Frederick </w:t>
      </w:r>
      <w:proofErr w:type="spellStart"/>
      <w:r w:rsidRPr="00501BA5">
        <w:t>Ahl</w:t>
      </w:r>
      <w:proofErr w:type="spellEnd"/>
      <w:r w:rsidRPr="00501BA5">
        <w:t xml:space="preserve"> (</w:t>
      </w:r>
      <w:proofErr w:type="gramStart"/>
      <w:r w:rsidRPr="00501BA5">
        <w:t>trans</w:t>
      </w:r>
      <w:proofErr w:type="gramEnd"/>
      <w:r w:rsidRPr="00501BA5">
        <w:t>.). 2007. Oxford: Oxford University Press</w:t>
      </w:r>
    </w:p>
    <w:p w14:paraId="25291526" w14:textId="77777777" w:rsidR="00501BA5" w:rsidRPr="00501BA5" w:rsidRDefault="00501BA5" w:rsidP="00501BA5">
      <w:pPr>
        <w:tabs>
          <w:tab w:val="left" w:pos="1620"/>
        </w:tabs>
        <w:rPr>
          <w:u w:val="single"/>
        </w:rPr>
      </w:pPr>
      <w:r w:rsidRPr="00501BA5">
        <w:rPr>
          <w:u w:val="single"/>
        </w:rPr>
        <w:t>Modern Scholarship:</w:t>
      </w:r>
    </w:p>
    <w:p w14:paraId="341D0A8D" w14:textId="77777777" w:rsidR="00501BA5" w:rsidRPr="00501BA5" w:rsidRDefault="00501BA5" w:rsidP="00501BA5">
      <w:pPr>
        <w:tabs>
          <w:tab w:val="left" w:pos="1620"/>
        </w:tabs>
        <w:rPr>
          <w:u w:val="single"/>
        </w:rPr>
      </w:pPr>
      <w:r w:rsidRPr="00501BA5">
        <w:t xml:space="preserve">Day, M. 2007. </w:t>
      </w:r>
      <w:r w:rsidRPr="00501BA5">
        <w:rPr>
          <w:i/>
        </w:rPr>
        <w:t xml:space="preserve">100 Characters </w:t>
      </w:r>
      <w:proofErr w:type="gramStart"/>
      <w:r w:rsidRPr="00501BA5">
        <w:rPr>
          <w:i/>
        </w:rPr>
        <w:t>From</w:t>
      </w:r>
      <w:proofErr w:type="gramEnd"/>
      <w:r w:rsidRPr="00501BA5">
        <w:rPr>
          <w:i/>
        </w:rPr>
        <w:t xml:space="preserve"> Classical Mythology</w:t>
      </w:r>
      <w:r w:rsidRPr="00501BA5">
        <w:t>. New York: Barron’s</w:t>
      </w:r>
      <w:r w:rsidRPr="00501BA5">
        <w:rPr>
          <w:u w:val="single"/>
        </w:rPr>
        <w:br/>
      </w:r>
      <w:r w:rsidRPr="00501BA5">
        <w:t xml:space="preserve">Harris, W. V. 2001, </w:t>
      </w:r>
      <w:r w:rsidRPr="00501BA5">
        <w:rPr>
          <w:i/>
        </w:rPr>
        <w:t>Restraining Rage,</w:t>
      </w:r>
      <w:r w:rsidRPr="00501BA5">
        <w:t xml:space="preserve"> London: Harvard University Press</w:t>
      </w:r>
      <w:r w:rsidRPr="00501BA5">
        <w:br/>
        <w:t xml:space="preserve">Jaynes, J. 1976, </w:t>
      </w:r>
      <w:proofErr w:type="gramStart"/>
      <w:r w:rsidRPr="00501BA5">
        <w:rPr>
          <w:i/>
        </w:rPr>
        <w:t>The</w:t>
      </w:r>
      <w:proofErr w:type="gramEnd"/>
      <w:r w:rsidRPr="00501BA5">
        <w:rPr>
          <w:i/>
        </w:rPr>
        <w:t xml:space="preserve"> Origin of Consciousness in the Breakdown of the Bicameral Mind, </w:t>
      </w:r>
      <w:r w:rsidRPr="00501BA5">
        <w:t>Boston:</w:t>
      </w:r>
      <w:r w:rsidRPr="00501BA5">
        <w:rPr>
          <w:i/>
        </w:rPr>
        <w:t xml:space="preserve"> </w:t>
      </w:r>
      <w:r w:rsidRPr="00501BA5">
        <w:t>Houghton Mifflin</w:t>
      </w:r>
      <w:r w:rsidRPr="00501BA5">
        <w:br/>
      </w:r>
      <w:proofErr w:type="spellStart"/>
      <w:r w:rsidRPr="00501BA5">
        <w:t>Lenenardon</w:t>
      </w:r>
      <w:proofErr w:type="spellEnd"/>
      <w:r w:rsidRPr="00501BA5">
        <w:t xml:space="preserve">, R.J., </w:t>
      </w:r>
      <w:proofErr w:type="spellStart"/>
      <w:r w:rsidRPr="00501BA5">
        <w:t>Morford</w:t>
      </w:r>
      <w:proofErr w:type="spellEnd"/>
      <w:r w:rsidRPr="00501BA5">
        <w:t xml:space="preserve">, M.P.O. and Sham, M. 2015. </w:t>
      </w:r>
      <w:r w:rsidRPr="00501BA5">
        <w:rPr>
          <w:i/>
        </w:rPr>
        <w:t>Classical Mythology,</w:t>
      </w:r>
      <w:r w:rsidRPr="00501BA5">
        <w:t xml:space="preserve"> Oxford: Oxford University Press</w:t>
      </w:r>
      <w:r w:rsidRPr="00501BA5">
        <w:br/>
        <w:t xml:space="preserve">Nagy, G. 2009. ‘The Epic Hero’, in J. M Foley (ed.), </w:t>
      </w:r>
      <w:r w:rsidRPr="00501BA5">
        <w:rPr>
          <w:i/>
        </w:rPr>
        <w:t xml:space="preserve">A Companion to Ancient Epic, </w:t>
      </w:r>
      <w:r w:rsidRPr="00501BA5">
        <w:t>West Sussex: Wiley-Blackwell, 71-89</w:t>
      </w:r>
      <w:r w:rsidRPr="00501BA5">
        <w:br/>
        <w:t xml:space="preserve">Owen, E.T. 1946, </w:t>
      </w:r>
      <w:r w:rsidRPr="00501BA5">
        <w:rPr>
          <w:i/>
        </w:rPr>
        <w:t>The Story of the Iliad</w:t>
      </w:r>
      <w:r w:rsidRPr="00501BA5">
        <w:t>, London: Clarke, Irwin &amp; Co. Ltd</w:t>
      </w:r>
      <w:r w:rsidRPr="00501BA5">
        <w:br/>
        <w:t xml:space="preserve">Powell, B. B. 2004, </w:t>
      </w:r>
      <w:r w:rsidRPr="00501BA5">
        <w:rPr>
          <w:i/>
        </w:rPr>
        <w:t xml:space="preserve">Homer, </w:t>
      </w:r>
      <w:r w:rsidRPr="00501BA5">
        <w:t>Oxford: Blackwell Publishing</w:t>
      </w:r>
      <w:r w:rsidRPr="00501BA5">
        <w:br/>
        <w:t xml:space="preserve">Rutherford, R. 2005, </w:t>
      </w:r>
      <w:r w:rsidRPr="00501BA5">
        <w:rPr>
          <w:i/>
        </w:rPr>
        <w:t xml:space="preserve">Classical Literature A Concise History, </w:t>
      </w:r>
      <w:r w:rsidRPr="00501BA5">
        <w:t>Oxford: Blackwell Publishing</w:t>
      </w:r>
      <w:r w:rsidRPr="00501BA5">
        <w:br/>
        <w:t xml:space="preserve">Schein, S.L. 1984, </w:t>
      </w:r>
      <w:r w:rsidRPr="00501BA5">
        <w:rPr>
          <w:i/>
        </w:rPr>
        <w:t xml:space="preserve">The Mortal Hero: an Introduction to Homer’s Iliad, </w:t>
      </w:r>
      <w:r w:rsidRPr="00501BA5">
        <w:t>London: University of California Press</w:t>
      </w:r>
      <w:r w:rsidRPr="00501BA5">
        <w:br/>
      </w:r>
      <w:proofErr w:type="spellStart"/>
      <w:r w:rsidRPr="00501BA5">
        <w:t>Slatkin</w:t>
      </w:r>
      <w:proofErr w:type="spellEnd"/>
      <w:r w:rsidRPr="00501BA5">
        <w:t>, L. M. 2009. ‘Homer’s Odyssey’, in J. M Foley (ed.),</w:t>
      </w:r>
      <w:r w:rsidRPr="00501BA5">
        <w:rPr>
          <w:i/>
        </w:rPr>
        <w:t xml:space="preserve"> A Companion to Ancient Epic</w:t>
      </w:r>
      <w:r w:rsidRPr="00501BA5">
        <w:t>, West Sussex: Wiley-Blackwell, 315-327</w:t>
      </w:r>
      <w:r w:rsidRPr="00501BA5">
        <w:br/>
        <w:t xml:space="preserve">Van Wees, H. 1998. ‘A Brief History of Tears: Gender Differentiation in Archaic Greece’, in L. </w:t>
      </w:r>
      <w:proofErr w:type="spellStart"/>
      <w:r w:rsidRPr="00501BA5">
        <w:t>Foxhall</w:t>
      </w:r>
      <w:proofErr w:type="spellEnd"/>
      <w:r w:rsidRPr="00501BA5">
        <w:t xml:space="preserve"> and J. Salmon (ed.), </w:t>
      </w:r>
      <w:r w:rsidRPr="00501BA5">
        <w:rPr>
          <w:i/>
        </w:rPr>
        <w:t xml:space="preserve">When Men Were Men Masculinity, Power and Identity in Classical Antiquity, </w:t>
      </w:r>
      <w:r w:rsidRPr="00501BA5">
        <w:t>Oxon: Routledge, 10-54</w:t>
      </w:r>
      <w:r w:rsidRPr="00501BA5">
        <w:rPr>
          <w:i/>
          <w:u w:val="single"/>
        </w:rPr>
        <w:t xml:space="preserve"> </w:t>
      </w:r>
      <w:r w:rsidRPr="00501BA5">
        <w:rPr>
          <w:i/>
          <w:u w:val="single"/>
        </w:rPr>
        <w:br/>
      </w:r>
      <w:r w:rsidRPr="00501BA5">
        <w:t xml:space="preserve">Whitman, C. H. 1958, </w:t>
      </w:r>
      <w:r w:rsidRPr="00501BA5">
        <w:rPr>
          <w:i/>
        </w:rPr>
        <w:t xml:space="preserve">Homer and the Heroic Tradition, </w:t>
      </w:r>
      <w:r w:rsidRPr="00501BA5">
        <w:t>Cambridge: Harvard University Press</w:t>
      </w:r>
      <w:r w:rsidRPr="00501BA5">
        <w:rPr>
          <w:i/>
          <w:u w:val="single"/>
        </w:rPr>
        <w:br/>
      </w:r>
      <w:proofErr w:type="spellStart"/>
      <w:r w:rsidRPr="00501BA5">
        <w:t>Zanker</w:t>
      </w:r>
      <w:proofErr w:type="spellEnd"/>
      <w:r w:rsidRPr="00501BA5">
        <w:t xml:space="preserve">, G. 1996, </w:t>
      </w:r>
      <w:r w:rsidRPr="00501BA5">
        <w:rPr>
          <w:i/>
        </w:rPr>
        <w:t xml:space="preserve">The Heart of Achilles, </w:t>
      </w:r>
      <w:r w:rsidRPr="00501BA5">
        <w:t>Michigan: University of Michigan Press</w:t>
      </w:r>
    </w:p>
    <w:p w14:paraId="603BD039" w14:textId="77777777" w:rsidR="004067A5" w:rsidRDefault="004067A5" w:rsidP="00AB40EE">
      <w:pPr>
        <w:tabs>
          <w:tab w:val="left" w:pos="1620"/>
        </w:tabs>
      </w:pPr>
    </w:p>
    <w:sectPr w:rsidR="004067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3A042" w14:textId="77777777" w:rsidR="00673888" w:rsidRDefault="00673888" w:rsidP="00E06944">
      <w:pPr>
        <w:spacing w:after="0" w:line="240" w:lineRule="auto"/>
      </w:pPr>
      <w:r>
        <w:separator/>
      </w:r>
    </w:p>
  </w:endnote>
  <w:endnote w:type="continuationSeparator" w:id="0">
    <w:p w14:paraId="7BD9B733" w14:textId="77777777" w:rsidR="00673888" w:rsidRDefault="00673888" w:rsidP="00E06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C96B3" w14:textId="77777777" w:rsidR="00673888" w:rsidRDefault="00673888" w:rsidP="00E06944">
      <w:pPr>
        <w:spacing w:after="0" w:line="240" w:lineRule="auto"/>
      </w:pPr>
      <w:r>
        <w:separator/>
      </w:r>
    </w:p>
  </w:footnote>
  <w:footnote w:type="continuationSeparator" w:id="0">
    <w:p w14:paraId="1E79E973" w14:textId="77777777" w:rsidR="00673888" w:rsidRDefault="00673888" w:rsidP="00E06944">
      <w:pPr>
        <w:spacing w:after="0" w:line="240" w:lineRule="auto"/>
      </w:pPr>
      <w:r>
        <w:continuationSeparator/>
      </w:r>
    </w:p>
  </w:footnote>
  <w:footnote w:id="1">
    <w:p w14:paraId="0F9D1662" w14:textId="77777777" w:rsidR="00EA1099" w:rsidRDefault="00EA1099">
      <w:pPr>
        <w:pStyle w:val="FootnoteText"/>
      </w:pPr>
      <w:r>
        <w:rPr>
          <w:rStyle w:val="FootnoteReference"/>
        </w:rPr>
        <w:footnoteRef/>
      </w:r>
      <w:r>
        <w:t xml:space="preserve"> Powell 2004: 60</w:t>
      </w:r>
    </w:p>
  </w:footnote>
  <w:footnote w:id="2">
    <w:p w14:paraId="4CC5AABB" w14:textId="36AA7907" w:rsidR="00461056" w:rsidRDefault="00461056">
      <w:pPr>
        <w:pStyle w:val="FootnoteText"/>
      </w:pPr>
      <w:r>
        <w:rPr>
          <w:rStyle w:val="FootnoteReference"/>
        </w:rPr>
        <w:footnoteRef/>
      </w:r>
      <w:r>
        <w:t xml:space="preserve"> Nagy 2009: 71</w:t>
      </w:r>
    </w:p>
  </w:footnote>
  <w:footnote w:id="3">
    <w:p w14:paraId="18706906" w14:textId="77777777" w:rsidR="0066370E" w:rsidRDefault="0066370E">
      <w:pPr>
        <w:pStyle w:val="FootnoteText"/>
      </w:pPr>
      <w:r>
        <w:rPr>
          <w:rStyle w:val="FootnoteReference"/>
        </w:rPr>
        <w:footnoteRef/>
      </w:r>
      <w:r>
        <w:t xml:space="preserve"> Day 2007: 130-131</w:t>
      </w:r>
    </w:p>
  </w:footnote>
  <w:footnote w:id="4">
    <w:p w14:paraId="2B79C03B" w14:textId="77777777" w:rsidR="00084203" w:rsidRDefault="00084203">
      <w:pPr>
        <w:pStyle w:val="FootnoteText"/>
      </w:pPr>
      <w:r>
        <w:rPr>
          <w:rStyle w:val="FootnoteReference"/>
        </w:rPr>
        <w:footnoteRef/>
      </w:r>
      <w:r>
        <w:t xml:space="preserve"> Nagy 2009: 85</w:t>
      </w:r>
    </w:p>
  </w:footnote>
  <w:footnote w:id="5">
    <w:p w14:paraId="78D061FC" w14:textId="77777777" w:rsidR="001B4463" w:rsidRDefault="001B4463">
      <w:pPr>
        <w:pStyle w:val="FootnoteText"/>
      </w:pPr>
      <w:r>
        <w:rPr>
          <w:rStyle w:val="FootnoteReference"/>
        </w:rPr>
        <w:footnoteRef/>
      </w:r>
      <w:r>
        <w:t xml:space="preserve"> Owen 1946: 74</w:t>
      </w:r>
    </w:p>
  </w:footnote>
  <w:footnote w:id="6">
    <w:p w14:paraId="6D4BF67B" w14:textId="77777777" w:rsidR="009D1314" w:rsidRDefault="009D1314" w:rsidP="009D1314">
      <w:pPr>
        <w:pStyle w:val="FootnoteText"/>
      </w:pPr>
      <w:r>
        <w:rPr>
          <w:rStyle w:val="FootnoteReference"/>
        </w:rPr>
        <w:footnoteRef/>
      </w:r>
      <w:r>
        <w:t xml:space="preserve"> Whitman 1958: 158</w:t>
      </w:r>
    </w:p>
  </w:footnote>
  <w:footnote w:id="7">
    <w:p w14:paraId="163BC94B" w14:textId="77777777" w:rsidR="009D1314" w:rsidRPr="009D1314" w:rsidRDefault="009D1314">
      <w:pPr>
        <w:pStyle w:val="FootnoteText"/>
      </w:pPr>
      <w:r>
        <w:rPr>
          <w:rStyle w:val="FootnoteReference"/>
        </w:rPr>
        <w:footnoteRef/>
      </w:r>
      <w:r>
        <w:t xml:space="preserve"> </w:t>
      </w:r>
      <w:proofErr w:type="spellStart"/>
      <w:r>
        <w:t>Hom</w:t>
      </w:r>
      <w:proofErr w:type="spellEnd"/>
      <w:r>
        <w:t xml:space="preserve">. </w:t>
      </w:r>
      <w:r>
        <w:rPr>
          <w:i/>
        </w:rPr>
        <w:t>Il</w:t>
      </w:r>
      <w:r>
        <w:t>. 11.67-74</w:t>
      </w:r>
    </w:p>
  </w:footnote>
  <w:footnote w:id="8">
    <w:p w14:paraId="0EA5F86C" w14:textId="77777777" w:rsidR="007B72FD" w:rsidRDefault="007B72FD">
      <w:pPr>
        <w:pStyle w:val="FootnoteText"/>
      </w:pPr>
      <w:r>
        <w:rPr>
          <w:rStyle w:val="FootnoteReference"/>
        </w:rPr>
        <w:footnoteRef/>
      </w:r>
      <w:r>
        <w:t xml:space="preserve"> </w:t>
      </w:r>
      <w:proofErr w:type="spellStart"/>
      <w:r>
        <w:t>Hom</w:t>
      </w:r>
      <w:proofErr w:type="spellEnd"/>
      <w:r>
        <w:t xml:space="preserve">. </w:t>
      </w:r>
      <w:r>
        <w:rPr>
          <w:i/>
        </w:rPr>
        <w:t>Il</w:t>
      </w:r>
      <w:r>
        <w:t>. 16.807-811</w:t>
      </w:r>
    </w:p>
  </w:footnote>
  <w:footnote w:id="9">
    <w:p w14:paraId="1038073A" w14:textId="77777777" w:rsidR="004D4E80" w:rsidRDefault="004D4E80">
      <w:pPr>
        <w:pStyle w:val="FootnoteText"/>
      </w:pPr>
      <w:r>
        <w:rPr>
          <w:rStyle w:val="FootnoteReference"/>
        </w:rPr>
        <w:footnoteRef/>
      </w:r>
      <w:r>
        <w:t xml:space="preserve"> </w:t>
      </w:r>
      <w:proofErr w:type="spellStart"/>
      <w:r>
        <w:t>Hom</w:t>
      </w:r>
      <w:proofErr w:type="spellEnd"/>
      <w:r>
        <w:t xml:space="preserve">. </w:t>
      </w:r>
      <w:r>
        <w:rPr>
          <w:i/>
        </w:rPr>
        <w:t>Il</w:t>
      </w:r>
      <w:r>
        <w:t>.</w:t>
      </w:r>
      <w:r w:rsidR="00DD0DD1">
        <w:t xml:space="preserve"> 17.</w:t>
      </w:r>
      <w:r>
        <w:t>43-60</w:t>
      </w:r>
    </w:p>
  </w:footnote>
  <w:footnote w:id="10">
    <w:p w14:paraId="19BB5C1E" w14:textId="3C3722F4" w:rsidR="00CF7436" w:rsidRPr="00CF7436" w:rsidRDefault="00CF7436">
      <w:pPr>
        <w:pStyle w:val="FootnoteText"/>
      </w:pPr>
      <w:r>
        <w:rPr>
          <w:rStyle w:val="FootnoteReference"/>
        </w:rPr>
        <w:footnoteRef/>
      </w:r>
      <w:r>
        <w:t xml:space="preserve"> </w:t>
      </w:r>
      <w:proofErr w:type="spellStart"/>
      <w:r>
        <w:t>Hom</w:t>
      </w:r>
      <w:proofErr w:type="spellEnd"/>
      <w:r>
        <w:t xml:space="preserve">. </w:t>
      </w:r>
      <w:r>
        <w:rPr>
          <w:i/>
        </w:rPr>
        <w:t>Il</w:t>
      </w:r>
      <w:r>
        <w:t>. 9.</w:t>
      </w:r>
      <w:r w:rsidR="00965DF1">
        <w:t>410-415</w:t>
      </w:r>
    </w:p>
  </w:footnote>
  <w:footnote w:id="11">
    <w:p w14:paraId="5079F431" w14:textId="77777777" w:rsidR="0062167E" w:rsidRDefault="0062167E">
      <w:pPr>
        <w:pStyle w:val="FootnoteText"/>
      </w:pPr>
      <w:r>
        <w:rPr>
          <w:rStyle w:val="FootnoteReference"/>
        </w:rPr>
        <w:footnoteRef/>
      </w:r>
      <w:r>
        <w:t xml:space="preserve"> Powell 2004: 156</w:t>
      </w:r>
    </w:p>
  </w:footnote>
  <w:footnote w:id="12">
    <w:p w14:paraId="7199D783" w14:textId="77777777" w:rsidR="00EC65A2" w:rsidRDefault="00EC65A2">
      <w:pPr>
        <w:pStyle w:val="FootnoteText"/>
      </w:pPr>
      <w:r>
        <w:rPr>
          <w:rStyle w:val="FootnoteReference"/>
        </w:rPr>
        <w:footnoteRef/>
      </w:r>
      <w:r>
        <w:t xml:space="preserve"> </w:t>
      </w:r>
      <w:proofErr w:type="spellStart"/>
      <w:r>
        <w:t>Hom</w:t>
      </w:r>
      <w:proofErr w:type="spellEnd"/>
      <w:r>
        <w:t xml:space="preserve">. </w:t>
      </w:r>
      <w:r>
        <w:rPr>
          <w:i/>
        </w:rPr>
        <w:t>Il</w:t>
      </w:r>
      <w:r>
        <w:t>.</w:t>
      </w:r>
      <w:r w:rsidR="006E170A">
        <w:t xml:space="preserve"> 5.70-77</w:t>
      </w:r>
    </w:p>
  </w:footnote>
  <w:footnote w:id="13">
    <w:p w14:paraId="35EDA305" w14:textId="77777777" w:rsidR="00EC65A2" w:rsidRDefault="00EC65A2">
      <w:pPr>
        <w:pStyle w:val="FootnoteText"/>
      </w:pPr>
      <w:r>
        <w:rPr>
          <w:rStyle w:val="FootnoteReference"/>
        </w:rPr>
        <w:footnoteRef/>
      </w:r>
      <w:r>
        <w:t xml:space="preserve"> Powell 2004: 75</w:t>
      </w:r>
    </w:p>
  </w:footnote>
  <w:footnote w:id="14">
    <w:p w14:paraId="7893B5FA" w14:textId="77777777" w:rsidR="0062167E" w:rsidRDefault="0062167E">
      <w:pPr>
        <w:pStyle w:val="FootnoteText"/>
      </w:pPr>
      <w:r>
        <w:rPr>
          <w:rStyle w:val="FootnoteReference"/>
        </w:rPr>
        <w:footnoteRef/>
      </w:r>
      <w:r>
        <w:t xml:space="preserve"> </w:t>
      </w:r>
      <w:proofErr w:type="spellStart"/>
      <w:r>
        <w:t>Zanker</w:t>
      </w:r>
      <w:proofErr w:type="spellEnd"/>
      <w:r>
        <w:t xml:space="preserve"> 1996: 1</w:t>
      </w:r>
    </w:p>
  </w:footnote>
  <w:footnote w:id="15">
    <w:p w14:paraId="55B93CBE" w14:textId="77777777" w:rsidR="00911F6B" w:rsidRDefault="00911F6B">
      <w:pPr>
        <w:pStyle w:val="FootnoteText"/>
      </w:pPr>
      <w:r>
        <w:rPr>
          <w:rStyle w:val="FootnoteReference"/>
        </w:rPr>
        <w:footnoteRef/>
      </w:r>
      <w:r>
        <w:t xml:space="preserve"> </w:t>
      </w:r>
      <w:proofErr w:type="spellStart"/>
      <w:r>
        <w:t>Hom</w:t>
      </w:r>
      <w:proofErr w:type="spellEnd"/>
      <w:r>
        <w:t xml:space="preserve">. </w:t>
      </w:r>
      <w:r>
        <w:rPr>
          <w:i/>
        </w:rPr>
        <w:t>Il</w:t>
      </w:r>
      <w:r>
        <w:t>.</w:t>
      </w:r>
      <w:r w:rsidR="00DD0DD1">
        <w:t xml:space="preserve"> 22.</w:t>
      </w:r>
      <w:r>
        <w:t>478-</w:t>
      </w:r>
      <w:r w:rsidR="00DD0DD1">
        <w:t>515</w:t>
      </w:r>
    </w:p>
  </w:footnote>
  <w:footnote w:id="16">
    <w:p w14:paraId="3E5C27DB" w14:textId="77777777" w:rsidR="001B6A31" w:rsidRDefault="001B6A31">
      <w:pPr>
        <w:pStyle w:val="FootnoteText"/>
      </w:pPr>
      <w:r>
        <w:rPr>
          <w:rStyle w:val="FootnoteReference"/>
        </w:rPr>
        <w:footnoteRef/>
      </w:r>
      <w:r>
        <w:t xml:space="preserve"> </w:t>
      </w:r>
      <w:proofErr w:type="spellStart"/>
      <w:r w:rsidR="00CC61C9">
        <w:t>Hom</w:t>
      </w:r>
      <w:proofErr w:type="spellEnd"/>
      <w:r w:rsidR="00CC61C9">
        <w:t xml:space="preserve">. </w:t>
      </w:r>
      <w:r w:rsidR="00CC61C9">
        <w:rPr>
          <w:i/>
        </w:rPr>
        <w:t>Il</w:t>
      </w:r>
      <w:r w:rsidR="00CC61C9">
        <w:t>. 6.237-529</w:t>
      </w:r>
    </w:p>
  </w:footnote>
  <w:footnote w:id="17">
    <w:p w14:paraId="7071C66F" w14:textId="77777777" w:rsidR="001B6A31" w:rsidRDefault="001B6A31">
      <w:pPr>
        <w:pStyle w:val="FootnoteText"/>
      </w:pPr>
      <w:r>
        <w:rPr>
          <w:rStyle w:val="FootnoteReference"/>
        </w:rPr>
        <w:footnoteRef/>
      </w:r>
      <w:r>
        <w:t xml:space="preserve"> </w:t>
      </w:r>
      <w:r w:rsidR="00E76F5B">
        <w:t>Owen 1946: 27</w:t>
      </w:r>
    </w:p>
  </w:footnote>
  <w:footnote w:id="18">
    <w:p w14:paraId="2D3FC907" w14:textId="2F8F99BD" w:rsidR="00BA7B9D" w:rsidRDefault="00BA7B9D">
      <w:pPr>
        <w:pStyle w:val="FootnoteText"/>
      </w:pPr>
      <w:r>
        <w:rPr>
          <w:rStyle w:val="FootnoteReference"/>
        </w:rPr>
        <w:footnoteRef/>
      </w:r>
      <w:r>
        <w:t xml:space="preserve"> </w:t>
      </w:r>
      <w:proofErr w:type="spellStart"/>
      <w:r>
        <w:t>Hom</w:t>
      </w:r>
      <w:proofErr w:type="spellEnd"/>
      <w:r>
        <w:t xml:space="preserve">. </w:t>
      </w:r>
      <w:r>
        <w:rPr>
          <w:i/>
        </w:rPr>
        <w:t>Il</w:t>
      </w:r>
      <w:r>
        <w:t>. 6.237-250</w:t>
      </w:r>
    </w:p>
  </w:footnote>
  <w:footnote w:id="19">
    <w:p w14:paraId="67C35BCC" w14:textId="09B2AC0E" w:rsidR="004A147D" w:rsidRDefault="004A147D">
      <w:pPr>
        <w:pStyle w:val="FootnoteText"/>
      </w:pPr>
      <w:r>
        <w:rPr>
          <w:rStyle w:val="FootnoteReference"/>
        </w:rPr>
        <w:footnoteRef/>
      </w:r>
      <w:r>
        <w:t xml:space="preserve"> Schein 1984: 169-170</w:t>
      </w:r>
    </w:p>
  </w:footnote>
  <w:footnote w:id="20">
    <w:p w14:paraId="57D69446" w14:textId="77777777" w:rsidR="001B6A31" w:rsidRDefault="001B6A31">
      <w:pPr>
        <w:pStyle w:val="FootnoteText"/>
      </w:pPr>
      <w:r>
        <w:rPr>
          <w:rStyle w:val="FootnoteReference"/>
        </w:rPr>
        <w:footnoteRef/>
      </w:r>
      <w:r>
        <w:t xml:space="preserve"> </w:t>
      </w:r>
      <w:r w:rsidR="00D221B8">
        <w:t>Owen 1946: 71</w:t>
      </w:r>
    </w:p>
  </w:footnote>
  <w:footnote w:id="21">
    <w:p w14:paraId="7C7C7A32" w14:textId="1D7D4474" w:rsidR="005D1776" w:rsidRDefault="005D1776">
      <w:pPr>
        <w:pStyle w:val="FootnoteText"/>
      </w:pPr>
      <w:r>
        <w:rPr>
          <w:rStyle w:val="FootnoteReference"/>
        </w:rPr>
        <w:footnoteRef/>
      </w:r>
      <w:r>
        <w:t xml:space="preserve"> Owen 1946: 29</w:t>
      </w:r>
    </w:p>
  </w:footnote>
  <w:footnote w:id="22">
    <w:p w14:paraId="3CAD809B" w14:textId="1DED7D43" w:rsidR="00CC69D8" w:rsidRDefault="00CC69D8">
      <w:pPr>
        <w:pStyle w:val="FootnoteText"/>
      </w:pPr>
      <w:r>
        <w:rPr>
          <w:rStyle w:val="FootnoteReference"/>
        </w:rPr>
        <w:footnoteRef/>
      </w:r>
      <w:r>
        <w:t xml:space="preserve"> </w:t>
      </w:r>
      <w:proofErr w:type="spellStart"/>
      <w:r w:rsidR="00352160">
        <w:t>Hom</w:t>
      </w:r>
      <w:proofErr w:type="spellEnd"/>
      <w:r w:rsidR="00352160">
        <w:t xml:space="preserve">. </w:t>
      </w:r>
      <w:r w:rsidR="00352160">
        <w:rPr>
          <w:i/>
        </w:rPr>
        <w:t>Il</w:t>
      </w:r>
      <w:r w:rsidR="00352160">
        <w:t>. 3.46-58</w:t>
      </w:r>
    </w:p>
  </w:footnote>
  <w:footnote w:id="23">
    <w:p w14:paraId="4EC24B13" w14:textId="1C7C65BA" w:rsidR="00CC69D8" w:rsidRDefault="00CC69D8">
      <w:pPr>
        <w:pStyle w:val="FootnoteText"/>
      </w:pPr>
      <w:r>
        <w:rPr>
          <w:rStyle w:val="FootnoteReference"/>
        </w:rPr>
        <w:footnoteRef/>
      </w:r>
      <w:r>
        <w:t xml:space="preserve"> Owen 1946: 30</w:t>
      </w:r>
    </w:p>
  </w:footnote>
  <w:footnote w:id="24">
    <w:p w14:paraId="137B2938" w14:textId="3E299820" w:rsidR="005024C1" w:rsidRDefault="005024C1">
      <w:pPr>
        <w:pStyle w:val="FootnoteText"/>
      </w:pPr>
      <w:r>
        <w:rPr>
          <w:rStyle w:val="FootnoteReference"/>
        </w:rPr>
        <w:footnoteRef/>
      </w:r>
      <w:r>
        <w:t xml:space="preserve"> Schein 1984: 71</w:t>
      </w:r>
    </w:p>
  </w:footnote>
  <w:footnote w:id="25">
    <w:p w14:paraId="590D7C83" w14:textId="5D10E2F2" w:rsidR="005024C1" w:rsidRDefault="005024C1">
      <w:pPr>
        <w:pStyle w:val="FootnoteText"/>
      </w:pPr>
      <w:r>
        <w:rPr>
          <w:rStyle w:val="FootnoteReference"/>
        </w:rPr>
        <w:footnoteRef/>
      </w:r>
      <w:r w:rsidR="00A85ACD">
        <w:t>Whitman 1958</w:t>
      </w:r>
      <w:r>
        <w:t>: 227</w:t>
      </w:r>
    </w:p>
  </w:footnote>
  <w:footnote w:id="26">
    <w:p w14:paraId="599B24C4" w14:textId="56AEC0A9" w:rsidR="00C543B3" w:rsidRPr="00C543B3" w:rsidRDefault="00C543B3">
      <w:pPr>
        <w:pStyle w:val="FootnoteText"/>
      </w:pPr>
      <w:r>
        <w:rPr>
          <w:rStyle w:val="FootnoteReference"/>
        </w:rPr>
        <w:footnoteRef/>
      </w:r>
      <w:r>
        <w:t xml:space="preserve"> </w:t>
      </w:r>
      <w:proofErr w:type="spellStart"/>
      <w:r>
        <w:t>Hom</w:t>
      </w:r>
      <w:proofErr w:type="spellEnd"/>
      <w:r>
        <w:t xml:space="preserve">. </w:t>
      </w:r>
      <w:r>
        <w:rPr>
          <w:i/>
        </w:rPr>
        <w:t>Il.</w:t>
      </w:r>
      <w:r>
        <w:t xml:space="preserve"> </w:t>
      </w:r>
      <w:r w:rsidR="00EF3E2B">
        <w:t>2.115</w:t>
      </w:r>
    </w:p>
  </w:footnote>
  <w:footnote w:id="27">
    <w:p w14:paraId="1B4391C3" w14:textId="4DA1F368" w:rsidR="00A33C56" w:rsidRDefault="00A33C56">
      <w:pPr>
        <w:pStyle w:val="FootnoteText"/>
      </w:pPr>
      <w:r>
        <w:rPr>
          <w:rStyle w:val="FootnoteReference"/>
        </w:rPr>
        <w:footnoteRef/>
      </w:r>
      <w:r>
        <w:t xml:space="preserve"> Whitman</w:t>
      </w:r>
      <w:r w:rsidRPr="00A33C56">
        <w:t xml:space="preserve"> 1958</w:t>
      </w:r>
      <w:r>
        <w:t>: 185</w:t>
      </w:r>
    </w:p>
  </w:footnote>
  <w:footnote w:id="28">
    <w:p w14:paraId="7E190BD9" w14:textId="25DC0E03" w:rsidR="00A33C56" w:rsidRPr="00982480" w:rsidRDefault="00A33C56">
      <w:pPr>
        <w:pStyle w:val="FootnoteText"/>
      </w:pPr>
      <w:r>
        <w:rPr>
          <w:rStyle w:val="FootnoteReference"/>
        </w:rPr>
        <w:footnoteRef/>
      </w:r>
      <w:r>
        <w:t xml:space="preserve"> </w:t>
      </w:r>
      <w:proofErr w:type="spellStart"/>
      <w:r w:rsidR="00982480">
        <w:t>Hom</w:t>
      </w:r>
      <w:proofErr w:type="spellEnd"/>
      <w:r w:rsidR="00982480">
        <w:t xml:space="preserve">. </w:t>
      </w:r>
      <w:r w:rsidR="00982480">
        <w:rPr>
          <w:i/>
        </w:rPr>
        <w:t>Il.</w:t>
      </w:r>
      <w:r w:rsidR="008E5AC4">
        <w:t xml:space="preserve"> 1.279-281</w:t>
      </w:r>
    </w:p>
  </w:footnote>
  <w:footnote w:id="29">
    <w:p w14:paraId="11027E97" w14:textId="1836253E" w:rsidR="00A70A7D" w:rsidRDefault="00A70A7D">
      <w:pPr>
        <w:pStyle w:val="FootnoteText"/>
      </w:pPr>
      <w:r>
        <w:rPr>
          <w:rStyle w:val="FootnoteReference"/>
        </w:rPr>
        <w:footnoteRef/>
      </w:r>
      <w:r>
        <w:t xml:space="preserve"> Owen 1946: 163</w:t>
      </w:r>
    </w:p>
  </w:footnote>
  <w:footnote w:id="30">
    <w:p w14:paraId="296C88EF" w14:textId="7AAF6AB1" w:rsidR="00A70A7D" w:rsidRPr="00A8296D" w:rsidRDefault="00A70A7D">
      <w:pPr>
        <w:pStyle w:val="FootnoteText"/>
      </w:pPr>
      <w:r>
        <w:rPr>
          <w:rStyle w:val="FootnoteReference"/>
        </w:rPr>
        <w:footnoteRef/>
      </w:r>
      <w:r>
        <w:t xml:space="preserve"> </w:t>
      </w:r>
      <w:proofErr w:type="spellStart"/>
      <w:r w:rsidR="00A8296D" w:rsidRPr="00A8296D">
        <w:t>Hom</w:t>
      </w:r>
      <w:proofErr w:type="spellEnd"/>
      <w:r w:rsidR="00A8296D" w:rsidRPr="00A8296D">
        <w:t xml:space="preserve">. </w:t>
      </w:r>
      <w:r w:rsidR="00A8296D" w:rsidRPr="00A8296D">
        <w:rPr>
          <w:i/>
        </w:rPr>
        <w:t>Il.</w:t>
      </w:r>
      <w:r w:rsidR="00B27ECD">
        <w:rPr>
          <w:i/>
        </w:rPr>
        <w:t xml:space="preserve"> </w:t>
      </w:r>
      <w:r w:rsidR="00B27ECD">
        <w:t>22.</w:t>
      </w:r>
      <w:r w:rsidR="00A8296D">
        <w:t>845-855</w:t>
      </w:r>
    </w:p>
  </w:footnote>
  <w:footnote w:id="31">
    <w:p w14:paraId="2D212DBC" w14:textId="4222659D" w:rsidR="00B27ECD" w:rsidRPr="00B27ECD" w:rsidRDefault="00B27ECD">
      <w:pPr>
        <w:pStyle w:val="FootnoteText"/>
      </w:pPr>
      <w:r>
        <w:rPr>
          <w:rStyle w:val="FootnoteReference"/>
        </w:rPr>
        <w:footnoteRef/>
      </w:r>
      <w:r>
        <w:t xml:space="preserve"> </w:t>
      </w:r>
      <w:proofErr w:type="spellStart"/>
      <w:r w:rsidRPr="00B27ECD">
        <w:t>Hom</w:t>
      </w:r>
      <w:proofErr w:type="spellEnd"/>
      <w:r w:rsidRPr="00B27ECD">
        <w:t xml:space="preserve">. </w:t>
      </w:r>
      <w:r w:rsidRPr="00B27ECD">
        <w:rPr>
          <w:i/>
        </w:rPr>
        <w:t>Il.</w:t>
      </w:r>
      <w:r>
        <w:rPr>
          <w:i/>
        </w:rPr>
        <w:t xml:space="preserve"> </w:t>
      </w:r>
      <w:r>
        <w:t>9.413</w:t>
      </w:r>
    </w:p>
  </w:footnote>
  <w:footnote w:id="32">
    <w:p w14:paraId="03DF5792" w14:textId="77198EB4" w:rsidR="00B27ECD" w:rsidRPr="00BC521E" w:rsidRDefault="00B27ECD">
      <w:pPr>
        <w:pStyle w:val="FootnoteText"/>
      </w:pPr>
      <w:r>
        <w:rPr>
          <w:rStyle w:val="FootnoteReference"/>
        </w:rPr>
        <w:footnoteRef/>
      </w:r>
      <w:r>
        <w:t xml:space="preserve"> </w:t>
      </w:r>
      <w:proofErr w:type="spellStart"/>
      <w:r w:rsidR="00BC521E" w:rsidRPr="00BC521E">
        <w:t>Hom</w:t>
      </w:r>
      <w:proofErr w:type="spellEnd"/>
      <w:r w:rsidR="00BC521E" w:rsidRPr="00BC521E">
        <w:t xml:space="preserve">. </w:t>
      </w:r>
      <w:r w:rsidR="00BC521E" w:rsidRPr="00BC521E">
        <w:rPr>
          <w:i/>
        </w:rPr>
        <w:t>Il.</w:t>
      </w:r>
      <w:r w:rsidR="00BC521E">
        <w:rPr>
          <w:i/>
        </w:rPr>
        <w:t xml:space="preserve"> </w:t>
      </w:r>
      <w:r w:rsidR="00BC521E">
        <w:t>7.460-463</w:t>
      </w:r>
    </w:p>
  </w:footnote>
  <w:footnote w:id="33">
    <w:p w14:paraId="14D68202" w14:textId="0F39A21A" w:rsidR="00B27ECD" w:rsidRDefault="00B27ECD">
      <w:pPr>
        <w:pStyle w:val="FootnoteText"/>
      </w:pPr>
      <w:r>
        <w:rPr>
          <w:rStyle w:val="FootnoteReference"/>
        </w:rPr>
        <w:footnoteRef/>
      </w:r>
      <w:r>
        <w:t xml:space="preserve"> Powell 2004: 81</w:t>
      </w:r>
    </w:p>
  </w:footnote>
  <w:footnote w:id="34">
    <w:p w14:paraId="59FF763C" w14:textId="17E9B137" w:rsidR="001D2AAF" w:rsidRDefault="001D2AAF">
      <w:pPr>
        <w:pStyle w:val="FootnoteText"/>
      </w:pPr>
      <w:r>
        <w:rPr>
          <w:rStyle w:val="FootnoteReference"/>
        </w:rPr>
        <w:footnoteRef/>
      </w:r>
      <w:r>
        <w:t xml:space="preserve"> </w:t>
      </w:r>
      <w:r w:rsidRPr="001D2AAF">
        <w:t>Owen 1946:</w:t>
      </w:r>
      <w:r>
        <w:t xml:space="preserve"> 125</w:t>
      </w:r>
    </w:p>
  </w:footnote>
  <w:footnote w:id="35">
    <w:p w14:paraId="6EF5CEA4" w14:textId="5C7917B2" w:rsidR="001D2AAF" w:rsidRPr="001D2AAF" w:rsidRDefault="001D2AAF">
      <w:pPr>
        <w:pStyle w:val="FootnoteText"/>
      </w:pPr>
      <w:r>
        <w:rPr>
          <w:rStyle w:val="FootnoteReference"/>
        </w:rPr>
        <w:footnoteRef/>
      </w:r>
      <w:r>
        <w:t xml:space="preserve"> </w:t>
      </w:r>
      <w:proofErr w:type="spellStart"/>
      <w:r>
        <w:t>Hom</w:t>
      </w:r>
      <w:proofErr w:type="spellEnd"/>
      <w:r>
        <w:t xml:space="preserve">. </w:t>
      </w:r>
      <w:r>
        <w:rPr>
          <w:i/>
        </w:rPr>
        <w:t>Il</w:t>
      </w:r>
      <w:r>
        <w:t>. 12.310-328</w:t>
      </w:r>
    </w:p>
  </w:footnote>
  <w:footnote w:id="36">
    <w:p w14:paraId="776D008F" w14:textId="45978037" w:rsidR="00CA33BA" w:rsidRPr="00CA33BA" w:rsidRDefault="00CA33BA">
      <w:pPr>
        <w:pStyle w:val="FootnoteText"/>
      </w:pPr>
      <w:r>
        <w:rPr>
          <w:rStyle w:val="FootnoteReference"/>
        </w:rPr>
        <w:footnoteRef/>
      </w:r>
      <w:r>
        <w:t xml:space="preserve"> </w:t>
      </w:r>
      <w:proofErr w:type="spellStart"/>
      <w:r w:rsidRPr="00CA33BA">
        <w:t>Hom</w:t>
      </w:r>
      <w:proofErr w:type="spellEnd"/>
      <w:r w:rsidRPr="00CA33BA">
        <w:t xml:space="preserve">. </w:t>
      </w:r>
      <w:r w:rsidRPr="00CA33BA">
        <w:rPr>
          <w:i/>
        </w:rPr>
        <w:t>Il.</w:t>
      </w:r>
      <w:r>
        <w:rPr>
          <w:i/>
        </w:rPr>
        <w:t xml:space="preserve"> </w:t>
      </w:r>
      <w:r>
        <w:t>22.387-395</w:t>
      </w:r>
    </w:p>
  </w:footnote>
  <w:footnote w:id="37">
    <w:p w14:paraId="64AB0F36" w14:textId="595C9AB7" w:rsidR="00CA33BA" w:rsidRDefault="00CA33BA" w:rsidP="00CA33BA">
      <w:pPr>
        <w:pStyle w:val="FootnoteText"/>
      </w:pPr>
      <w:r>
        <w:rPr>
          <w:rStyle w:val="FootnoteReference"/>
        </w:rPr>
        <w:footnoteRef/>
      </w:r>
      <w:r>
        <w:t xml:space="preserve"> Owen 1946: 230</w:t>
      </w:r>
    </w:p>
  </w:footnote>
  <w:footnote w:id="38">
    <w:p w14:paraId="791479D4" w14:textId="5A32B3EA" w:rsidR="00CA33BA" w:rsidRPr="00CA33BA" w:rsidRDefault="00CA33BA">
      <w:pPr>
        <w:pStyle w:val="FootnoteText"/>
      </w:pPr>
      <w:r>
        <w:rPr>
          <w:rStyle w:val="FootnoteReference"/>
        </w:rPr>
        <w:footnoteRef/>
      </w:r>
      <w:r>
        <w:t xml:space="preserve"> </w:t>
      </w:r>
      <w:proofErr w:type="spellStart"/>
      <w:r w:rsidRPr="00A8296D">
        <w:t>Hom</w:t>
      </w:r>
      <w:proofErr w:type="spellEnd"/>
      <w:r w:rsidRPr="00A8296D">
        <w:t xml:space="preserve">. </w:t>
      </w:r>
      <w:r w:rsidRPr="00A8296D">
        <w:rPr>
          <w:i/>
        </w:rPr>
        <w:t>Il.</w:t>
      </w:r>
      <w:r>
        <w:rPr>
          <w:i/>
        </w:rPr>
        <w:t xml:space="preserve"> </w:t>
      </w:r>
      <w:r>
        <w:t>22.396</w:t>
      </w:r>
    </w:p>
  </w:footnote>
  <w:footnote w:id="39">
    <w:p w14:paraId="1A6989C6" w14:textId="02037877" w:rsidR="00536A33" w:rsidRPr="00536A33" w:rsidRDefault="00536A33">
      <w:pPr>
        <w:pStyle w:val="FootnoteText"/>
      </w:pPr>
      <w:r>
        <w:rPr>
          <w:rStyle w:val="FootnoteReference"/>
        </w:rPr>
        <w:footnoteRef/>
      </w:r>
      <w:r>
        <w:t xml:space="preserve"> </w:t>
      </w:r>
      <w:proofErr w:type="spellStart"/>
      <w:r>
        <w:t>Hom</w:t>
      </w:r>
      <w:proofErr w:type="spellEnd"/>
      <w:r>
        <w:t xml:space="preserve">. </w:t>
      </w:r>
      <w:r>
        <w:rPr>
          <w:i/>
        </w:rPr>
        <w:t>Il</w:t>
      </w:r>
      <w:r>
        <w:t>. 5.1-909</w:t>
      </w:r>
    </w:p>
  </w:footnote>
  <w:footnote w:id="40">
    <w:p w14:paraId="705C2692" w14:textId="37762683" w:rsidR="00D64598" w:rsidRDefault="00D64598">
      <w:pPr>
        <w:pStyle w:val="FootnoteText"/>
      </w:pPr>
      <w:r>
        <w:rPr>
          <w:rStyle w:val="FootnoteReference"/>
        </w:rPr>
        <w:footnoteRef/>
      </w:r>
      <w:r>
        <w:t xml:space="preserve"> Owen 1946: 45</w:t>
      </w:r>
    </w:p>
  </w:footnote>
  <w:footnote w:id="41">
    <w:p w14:paraId="276B1D31" w14:textId="064D25E6" w:rsidR="00C83898" w:rsidRDefault="00C83898">
      <w:pPr>
        <w:pStyle w:val="FootnoteText"/>
      </w:pPr>
      <w:r>
        <w:rPr>
          <w:rStyle w:val="FootnoteReference"/>
        </w:rPr>
        <w:footnoteRef/>
      </w:r>
      <w:r>
        <w:t xml:space="preserve"> Harris 2001: 3</w:t>
      </w:r>
    </w:p>
  </w:footnote>
  <w:footnote w:id="42">
    <w:p w14:paraId="33F2AF9F" w14:textId="600B1C0E" w:rsidR="00C83898" w:rsidRDefault="00C83898">
      <w:pPr>
        <w:pStyle w:val="FootnoteText"/>
      </w:pPr>
      <w:r>
        <w:rPr>
          <w:rStyle w:val="FootnoteReference"/>
        </w:rPr>
        <w:footnoteRef/>
      </w:r>
      <w:r>
        <w:t xml:space="preserve"> </w:t>
      </w:r>
      <w:proofErr w:type="spellStart"/>
      <w:r w:rsidRPr="00C83898">
        <w:t>Hom</w:t>
      </w:r>
      <w:proofErr w:type="spellEnd"/>
      <w:r w:rsidRPr="00C83898">
        <w:t xml:space="preserve">. </w:t>
      </w:r>
      <w:r w:rsidRPr="00C83898">
        <w:rPr>
          <w:i/>
        </w:rPr>
        <w:t>Il</w:t>
      </w:r>
      <w:r w:rsidRPr="00C83898">
        <w:t>.</w:t>
      </w:r>
      <w:r>
        <w:t xml:space="preserve"> 1.1</w:t>
      </w:r>
    </w:p>
  </w:footnote>
  <w:footnote w:id="43">
    <w:p w14:paraId="2992E8E4" w14:textId="1D5A2DDA" w:rsidR="00C83898" w:rsidRDefault="00C83898">
      <w:pPr>
        <w:pStyle w:val="FootnoteText"/>
      </w:pPr>
      <w:r>
        <w:rPr>
          <w:rStyle w:val="FootnoteReference"/>
        </w:rPr>
        <w:footnoteRef/>
      </w:r>
      <w:r>
        <w:t xml:space="preserve"> Schein 1984: 91</w:t>
      </w:r>
    </w:p>
  </w:footnote>
  <w:footnote w:id="44">
    <w:p w14:paraId="345C2850" w14:textId="04FFB869" w:rsidR="00C83898" w:rsidRDefault="00C83898">
      <w:pPr>
        <w:pStyle w:val="FootnoteText"/>
      </w:pPr>
      <w:r>
        <w:rPr>
          <w:rStyle w:val="FootnoteReference"/>
        </w:rPr>
        <w:footnoteRef/>
      </w:r>
      <w:r>
        <w:t xml:space="preserve"> Owen 1946: 8</w:t>
      </w:r>
    </w:p>
  </w:footnote>
  <w:footnote w:id="45">
    <w:p w14:paraId="1B700458" w14:textId="78891BC0" w:rsidR="0073522B" w:rsidRDefault="0073522B">
      <w:pPr>
        <w:pStyle w:val="FootnoteText"/>
      </w:pPr>
      <w:r>
        <w:rPr>
          <w:rStyle w:val="FootnoteReference"/>
        </w:rPr>
        <w:footnoteRef/>
      </w:r>
      <w:r>
        <w:t xml:space="preserve"> </w:t>
      </w:r>
      <w:proofErr w:type="spellStart"/>
      <w:r w:rsidRPr="0073522B">
        <w:t>Hom</w:t>
      </w:r>
      <w:proofErr w:type="spellEnd"/>
      <w:r w:rsidRPr="0073522B">
        <w:t xml:space="preserve">. </w:t>
      </w:r>
      <w:r w:rsidRPr="0073522B">
        <w:rPr>
          <w:i/>
        </w:rPr>
        <w:t>Il</w:t>
      </w:r>
      <w:r w:rsidRPr="0073522B">
        <w:t>. 1</w:t>
      </w:r>
      <w:r w:rsidR="00412C05">
        <w:t>.189-199</w:t>
      </w:r>
    </w:p>
  </w:footnote>
  <w:footnote w:id="46">
    <w:p w14:paraId="0816A6EB" w14:textId="5F8F8C0D" w:rsidR="0013241C" w:rsidRPr="0013241C" w:rsidRDefault="0013241C">
      <w:pPr>
        <w:pStyle w:val="FootnoteText"/>
      </w:pPr>
      <w:r>
        <w:rPr>
          <w:rStyle w:val="FootnoteReference"/>
        </w:rPr>
        <w:footnoteRef/>
      </w:r>
      <w:r>
        <w:t xml:space="preserve"> </w:t>
      </w:r>
      <w:proofErr w:type="spellStart"/>
      <w:r>
        <w:t>Hom</w:t>
      </w:r>
      <w:proofErr w:type="spellEnd"/>
      <w:r>
        <w:t xml:space="preserve">. </w:t>
      </w:r>
      <w:r>
        <w:rPr>
          <w:i/>
        </w:rPr>
        <w:t>Il</w:t>
      </w:r>
      <w:r>
        <w:t>. 20.464-478</w:t>
      </w:r>
    </w:p>
  </w:footnote>
  <w:footnote w:id="47">
    <w:p w14:paraId="5E9E82B8" w14:textId="099C2DC6" w:rsidR="009060AB" w:rsidRDefault="009060AB">
      <w:pPr>
        <w:pStyle w:val="FootnoteText"/>
      </w:pPr>
      <w:r>
        <w:rPr>
          <w:rStyle w:val="FootnoteReference"/>
        </w:rPr>
        <w:footnoteRef/>
      </w:r>
      <w:r>
        <w:t xml:space="preserve"> </w:t>
      </w:r>
      <w:proofErr w:type="spellStart"/>
      <w:r w:rsidRPr="009060AB">
        <w:t>Hom</w:t>
      </w:r>
      <w:proofErr w:type="spellEnd"/>
      <w:r w:rsidRPr="009060AB">
        <w:t xml:space="preserve">. </w:t>
      </w:r>
      <w:r w:rsidRPr="009060AB">
        <w:rPr>
          <w:i/>
        </w:rPr>
        <w:t>Il</w:t>
      </w:r>
      <w:r w:rsidRPr="009060AB">
        <w:t>.</w:t>
      </w:r>
      <w:r>
        <w:t xml:space="preserve"> 6.59-60</w:t>
      </w:r>
    </w:p>
  </w:footnote>
  <w:footnote w:id="48">
    <w:p w14:paraId="4FFAD23E" w14:textId="209A8EA0" w:rsidR="009060AB" w:rsidRDefault="009060AB">
      <w:pPr>
        <w:pStyle w:val="FootnoteText"/>
      </w:pPr>
      <w:r>
        <w:rPr>
          <w:rStyle w:val="FootnoteReference"/>
        </w:rPr>
        <w:footnoteRef/>
      </w:r>
      <w:r>
        <w:t xml:space="preserve"> Schein 1984: 186</w:t>
      </w:r>
    </w:p>
  </w:footnote>
  <w:footnote w:id="49">
    <w:p w14:paraId="62C03155" w14:textId="78B66F12" w:rsidR="009060AB" w:rsidRDefault="009060AB">
      <w:pPr>
        <w:pStyle w:val="FootnoteText"/>
      </w:pPr>
      <w:r>
        <w:rPr>
          <w:rStyle w:val="FootnoteReference"/>
        </w:rPr>
        <w:footnoteRef/>
      </w:r>
      <w:r>
        <w:t xml:space="preserve"> Harris 2001: 9</w:t>
      </w:r>
    </w:p>
  </w:footnote>
  <w:footnote w:id="50">
    <w:p w14:paraId="068CE086" w14:textId="2C2402A9" w:rsidR="00770F41" w:rsidRDefault="00770F41">
      <w:pPr>
        <w:pStyle w:val="FootnoteText"/>
      </w:pPr>
      <w:r>
        <w:rPr>
          <w:rStyle w:val="FootnoteReference"/>
        </w:rPr>
        <w:footnoteRef/>
      </w:r>
      <w:r>
        <w:t xml:space="preserve"> Powell 2004: 101</w:t>
      </w:r>
    </w:p>
  </w:footnote>
  <w:footnote w:id="51">
    <w:p w14:paraId="1C141CEA" w14:textId="0D66ADA1" w:rsidR="009060AB" w:rsidRDefault="009060AB">
      <w:pPr>
        <w:pStyle w:val="FootnoteText"/>
      </w:pPr>
      <w:r>
        <w:rPr>
          <w:rStyle w:val="FootnoteReference"/>
        </w:rPr>
        <w:footnoteRef/>
      </w:r>
      <w:r>
        <w:t xml:space="preserve"> Whitman 1958: 183</w:t>
      </w:r>
    </w:p>
  </w:footnote>
  <w:footnote w:id="52">
    <w:p w14:paraId="41C4026A" w14:textId="3A4E1A03" w:rsidR="009C79A5" w:rsidRDefault="009C79A5">
      <w:pPr>
        <w:pStyle w:val="FootnoteText"/>
      </w:pPr>
      <w:r>
        <w:rPr>
          <w:rStyle w:val="FootnoteReference"/>
        </w:rPr>
        <w:footnoteRef/>
      </w:r>
      <w:r>
        <w:t xml:space="preserve"> Harris 2001: 74</w:t>
      </w:r>
    </w:p>
  </w:footnote>
  <w:footnote w:id="53">
    <w:p w14:paraId="38EB0F3B" w14:textId="05BFAF7E" w:rsidR="004255EC" w:rsidRPr="004255EC" w:rsidRDefault="004255EC">
      <w:pPr>
        <w:pStyle w:val="FootnoteText"/>
      </w:pPr>
      <w:r>
        <w:rPr>
          <w:rStyle w:val="FootnoteReference"/>
        </w:rPr>
        <w:footnoteRef/>
      </w:r>
      <w:r>
        <w:t xml:space="preserve"> </w:t>
      </w:r>
      <w:proofErr w:type="spellStart"/>
      <w:r>
        <w:t>Hom</w:t>
      </w:r>
      <w:proofErr w:type="spellEnd"/>
      <w:r>
        <w:t xml:space="preserve">. </w:t>
      </w:r>
      <w:r>
        <w:rPr>
          <w:i/>
        </w:rPr>
        <w:t xml:space="preserve">Il. </w:t>
      </w:r>
      <w:r>
        <w:t>6.415-429</w:t>
      </w:r>
    </w:p>
  </w:footnote>
  <w:footnote w:id="54">
    <w:p w14:paraId="35BFE880" w14:textId="407391B0" w:rsidR="004255EC" w:rsidRDefault="004255EC">
      <w:pPr>
        <w:pStyle w:val="FootnoteText"/>
      </w:pPr>
      <w:r>
        <w:rPr>
          <w:rStyle w:val="FootnoteReference"/>
        </w:rPr>
        <w:footnoteRef/>
      </w:r>
      <w:r>
        <w:t xml:space="preserve"> </w:t>
      </w:r>
      <w:proofErr w:type="spellStart"/>
      <w:r>
        <w:t>Zanker</w:t>
      </w:r>
      <w:proofErr w:type="spellEnd"/>
      <w:r>
        <w:t xml:space="preserve"> 1996: 8-9</w:t>
      </w:r>
    </w:p>
  </w:footnote>
  <w:footnote w:id="55">
    <w:p w14:paraId="54C1DAD4" w14:textId="1368435F" w:rsidR="004F7403" w:rsidRDefault="004F7403">
      <w:pPr>
        <w:pStyle w:val="FootnoteText"/>
      </w:pPr>
      <w:r>
        <w:rPr>
          <w:rStyle w:val="FootnoteReference"/>
        </w:rPr>
        <w:footnoteRef/>
      </w:r>
      <w:r>
        <w:t xml:space="preserve"> </w:t>
      </w:r>
      <w:proofErr w:type="spellStart"/>
      <w:r>
        <w:t>Zanker</w:t>
      </w:r>
      <w:proofErr w:type="spellEnd"/>
      <w:r>
        <w:t xml:space="preserve"> 1996: 9</w:t>
      </w:r>
    </w:p>
  </w:footnote>
  <w:footnote w:id="56">
    <w:p w14:paraId="6C9EDBB4" w14:textId="73B999C7" w:rsidR="00E7600C" w:rsidRPr="00E7600C" w:rsidRDefault="00E7600C">
      <w:pPr>
        <w:pStyle w:val="FootnoteText"/>
      </w:pPr>
      <w:r>
        <w:rPr>
          <w:rStyle w:val="FootnoteReference"/>
        </w:rPr>
        <w:footnoteRef/>
      </w:r>
      <w:r>
        <w:t xml:space="preserve"> </w:t>
      </w:r>
      <w:proofErr w:type="spellStart"/>
      <w:r w:rsidRPr="00E7600C">
        <w:t>Hom</w:t>
      </w:r>
      <w:proofErr w:type="spellEnd"/>
      <w:r w:rsidRPr="00E7600C">
        <w:t xml:space="preserve">. </w:t>
      </w:r>
      <w:r w:rsidRPr="00E7600C">
        <w:rPr>
          <w:i/>
        </w:rPr>
        <w:t>Il.</w:t>
      </w:r>
      <w:r>
        <w:rPr>
          <w:i/>
        </w:rPr>
        <w:t xml:space="preserve"> </w:t>
      </w:r>
      <w:r>
        <w:t>22.460-465</w:t>
      </w:r>
    </w:p>
  </w:footnote>
  <w:footnote w:id="57">
    <w:p w14:paraId="326D97A7" w14:textId="69E7B960" w:rsidR="005770FB" w:rsidRDefault="005770FB">
      <w:pPr>
        <w:pStyle w:val="FootnoteText"/>
      </w:pPr>
      <w:r>
        <w:rPr>
          <w:rStyle w:val="FootnoteReference"/>
        </w:rPr>
        <w:footnoteRef/>
      </w:r>
      <w:r>
        <w:t xml:space="preserve"> Owen 1946: 232</w:t>
      </w:r>
    </w:p>
  </w:footnote>
  <w:footnote w:id="58">
    <w:p w14:paraId="63284A7E" w14:textId="10A4C18D" w:rsidR="005770FB" w:rsidRDefault="005770FB">
      <w:pPr>
        <w:pStyle w:val="FootnoteText"/>
      </w:pPr>
      <w:r>
        <w:rPr>
          <w:rStyle w:val="FootnoteReference"/>
        </w:rPr>
        <w:footnoteRef/>
      </w:r>
      <w:r>
        <w:t xml:space="preserve"> </w:t>
      </w:r>
      <w:proofErr w:type="spellStart"/>
      <w:r w:rsidRPr="005770FB">
        <w:t>Lenenardon</w:t>
      </w:r>
      <w:proofErr w:type="spellEnd"/>
      <w:r w:rsidRPr="005770FB">
        <w:t xml:space="preserve">, </w:t>
      </w:r>
      <w:proofErr w:type="spellStart"/>
      <w:r w:rsidRPr="005770FB">
        <w:t>Morford</w:t>
      </w:r>
      <w:proofErr w:type="spellEnd"/>
      <w:r>
        <w:t xml:space="preserve"> </w:t>
      </w:r>
      <w:r w:rsidRPr="005770FB">
        <w:t>and Sham 2015</w:t>
      </w:r>
      <w:r>
        <w:t>: 505</w:t>
      </w:r>
    </w:p>
  </w:footnote>
  <w:footnote w:id="59">
    <w:p w14:paraId="56B685E8" w14:textId="198949E5" w:rsidR="005770FB" w:rsidRDefault="005770FB">
      <w:pPr>
        <w:pStyle w:val="FootnoteText"/>
      </w:pPr>
      <w:r>
        <w:rPr>
          <w:rStyle w:val="FootnoteReference"/>
        </w:rPr>
        <w:footnoteRef/>
      </w:r>
      <w:r>
        <w:t xml:space="preserve"> </w:t>
      </w:r>
      <w:proofErr w:type="spellStart"/>
      <w:r w:rsidR="00C92ACF" w:rsidRPr="00C92ACF">
        <w:t>Hom</w:t>
      </w:r>
      <w:proofErr w:type="spellEnd"/>
      <w:r w:rsidR="00C92ACF" w:rsidRPr="00C92ACF">
        <w:t>. Il. 24.</w:t>
      </w:r>
      <w:r w:rsidR="00C92ACF">
        <w:t>227-235</w:t>
      </w:r>
    </w:p>
  </w:footnote>
  <w:footnote w:id="60">
    <w:p w14:paraId="491752F2" w14:textId="00C42A58" w:rsidR="005770FB" w:rsidRDefault="005770FB">
      <w:pPr>
        <w:pStyle w:val="FootnoteText"/>
      </w:pPr>
      <w:r>
        <w:rPr>
          <w:rStyle w:val="FootnoteReference"/>
        </w:rPr>
        <w:footnoteRef/>
      </w:r>
      <w:r>
        <w:t xml:space="preserve"> </w:t>
      </w:r>
      <w:proofErr w:type="spellStart"/>
      <w:r>
        <w:t>Zanker</w:t>
      </w:r>
      <w:proofErr w:type="spellEnd"/>
      <w:r>
        <w:t xml:space="preserve"> 1996: 4</w:t>
      </w:r>
    </w:p>
  </w:footnote>
  <w:footnote w:id="61">
    <w:p w14:paraId="42285646" w14:textId="1467A3CA" w:rsidR="007D6498" w:rsidRDefault="007D6498">
      <w:pPr>
        <w:pStyle w:val="FootnoteText"/>
      </w:pPr>
      <w:r>
        <w:rPr>
          <w:rStyle w:val="FootnoteReference"/>
        </w:rPr>
        <w:footnoteRef/>
      </w:r>
      <w:r>
        <w:t xml:space="preserve"> </w:t>
      </w:r>
      <w:proofErr w:type="spellStart"/>
      <w:r w:rsidR="005566AD">
        <w:t>Zanker</w:t>
      </w:r>
      <w:proofErr w:type="spellEnd"/>
      <w:r w:rsidR="005566AD">
        <w:t xml:space="preserve"> 1996: 120</w:t>
      </w:r>
    </w:p>
  </w:footnote>
  <w:footnote w:id="62">
    <w:p w14:paraId="75514941" w14:textId="464E5A35" w:rsidR="007D6498" w:rsidRPr="00E54DA1" w:rsidRDefault="007D6498">
      <w:pPr>
        <w:pStyle w:val="FootnoteText"/>
      </w:pPr>
      <w:r>
        <w:rPr>
          <w:rStyle w:val="FootnoteReference"/>
        </w:rPr>
        <w:footnoteRef/>
      </w:r>
      <w:r>
        <w:t xml:space="preserve"> </w:t>
      </w:r>
      <w:proofErr w:type="spellStart"/>
      <w:r w:rsidR="00E54DA1" w:rsidRPr="00E7600C">
        <w:t>Hom</w:t>
      </w:r>
      <w:proofErr w:type="spellEnd"/>
      <w:r w:rsidR="00E54DA1" w:rsidRPr="00E7600C">
        <w:t xml:space="preserve">. </w:t>
      </w:r>
      <w:r w:rsidR="00E54DA1" w:rsidRPr="00E7600C">
        <w:rPr>
          <w:i/>
        </w:rPr>
        <w:t>Il.</w:t>
      </w:r>
      <w:r w:rsidR="00E54DA1">
        <w:rPr>
          <w:i/>
        </w:rPr>
        <w:t xml:space="preserve"> </w:t>
      </w:r>
      <w:r w:rsidR="00E54DA1">
        <w:t>24.40-45</w:t>
      </w:r>
    </w:p>
  </w:footnote>
  <w:footnote w:id="63">
    <w:p w14:paraId="03BD8274" w14:textId="62AA2901" w:rsidR="007915E1" w:rsidRPr="007915E1" w:rsidRDefault="007915E1">
      <w:pPr>
        <w:pStyle w:val="FootnoteText"/>
      </w:pPr>
      <w:r>
        <w:rPr>
          <w:rStyle w:val="FootnoteReference"/>
        </w:rPr>
        <w:footnoteRef/>
      </w:r>
      <w:r>
        <w:t xml:space="preserve"> </w:t>
      </w:r>
      <w:proofErr w:type="spellStart"/>
      <w:r w:rsidRPr="007915E1">
        <w:t>Hom</w:t>
      </w:r>
      <w:proofErr w:type="spellEnd"/>
      <w:r w:rsidRPr="007915E1">
        <w:t xml:space="preserve">. </w:t>
      </w:r>
      <w:r w:rsidRPr="007915E1">
        <w:rPr>
          <w:i/>
        </w:rPr>
        <w:t>Il.</w:t>
      </w:r>
      <w:r>
        <w:rPr>
          <w:i/>
        </w:rPr>
        <w:t xml:space="preserve"> </w:t>
      </w:r>
      <w:r>
        <w:t>11.657-765</w:t>
      </w:r>
    </w:p>
  </w:footnote>
  <w:footnote w:id="64">
    <w:p w14:paraId="5BE6D299" w14:textId="68743B94" w:rsidR="007043B1" w:rsidRDefault="007043B1">
      <w:pPr>
        <w:pStyle w:val="FootnoteText"/>
      </w:pPr>
      <w:r>
        <w:rPr>
          <w:rStyle w:val="FootnoteReference"/>
        </w:rPr>
        <w:footnoteRef/>
      </w:r>
      <w:r>
        <w:t xml:space="preserve"> </w:t>
      </w:r>
      <w:proofErr w:type="spellStart"/>
      <w:r w:rsidR="00BA2FA5" w:rsidRPr="00BA2FA5">
        <w:t>Hom</w:t>
      </w:r>
      <w:proofErr w:type="spellEnd"/>
      <w:r w:rsidR="00BA2FA5" w:rsidRPr="00BA2FA5">
        <w:t xml:space="preserve">. </w:t>
      </w:r>
      <w:r w:rsidR="00BA2FA5" w:rsidRPr="00BA2FA5">
        <w:rPr>
          <w:i/>
        </w:rPr>
        <w:t>Il.</w:t>
      </w:r>
      <w:r w:rsidR="00BA2FA5">
        <w:t xml:space="preserve"> 3.245-381</w:t>
      </w:r>
    </w:p>
  </w:footnote>
  <w:footnote w:id="65">
    <w:p w14:paraId="7CD272F7" w14:textId="1CFDC928" w:rsidR="005873FB" w:rsidRPr="005873FB" w:rsidRDefault="005873FB">
      <w:pPr>
        <w:pStyle w:val="FootnoteText"/>
      </w:pPr>
      <w:r>
        <w:rPr>
          <w:rStyle w:val="FootnoteReference"/>
        </w:rPr>
        <w:footnoteRef/>
      </w:r>
      <w:r>
        <w:t xml:space="preserve"> </w:t>
      </w:r>
      <w:proofErr w:type="spellStart"/>
      <w:r w:rsidRPr="005873FB">
        <w:t>Hom</w:t>
      </w:r>
      <w:proofErr w:type="spellEnd"/>
      <w:r w:rsidRPr="005873FB">
        <w:t xml:space="preserve">. </w:t>
      </w:r>
      <w:r w:rsidRPr="005873FB">
        <w:rPr>
          <w:i/>
        </w:rPr>
        <w:t>Il.</w:t>
      </w:r>
      <w:r>
        <w:t xml:space="preserve"> 3.43-58</w:t>
      </w:r>
    </w:p>
  </w:footnote>
  <w:footnote w:id="66">
    <w:p w14:paraId="65714973" w14:textId="112406F8" w:rsidR="000F518E" w:rsidRDefault="000F518E">
      <w:pPr>
        <w:pStyle w:val="FootnoteText"/>
      </w:pPr>
      <w:r>
        <w:rPr>
          <w:rStyle w:val="FootnoteReference"/>
        </w:rPr>
        <w:footnoteRef/>
      </w:r>
      <w:r>
        <w:t xml:space="preserve"> </w:t>
      </w:r>
      <w:proofErr w:type="spellStart"/>
      <w:r w:rsidRPr="000F518E">
        <w:t>Hom</w:t>
      </w:r>
      <w:proofErr w:type="spellEnd"/>
      <w:r w:rsidRPr="000F518E">
        <w:t xml:space="preserve">. </w:t>
      </w:r>
      <w:r w:rsidRPr="000F518E">
        <w:rPr>
          <w:i/>
        </w:rPr>
        <w:t>Il.</w:t>
      </w:r>
      <w:r>
        <w:rPr>
          <w:i/>
        </w:rPr>
        <w:t xml:space="preserve"> </w:t>
      </w:r>
      <w:r>
        <w:t>1.58-63</w:t>
      </w:r>
      <w:r>
        <w:rPr>
          <w:i/>
        </w:rPr>
        <w:t xml:space="preserve"> </w:t>
      </w:r>
    </w:p>
  </w:footnote>
  <w:footnote w:id="67">
    <w:p w14:paraId="2A812EB6" w14:textId="378D1BE4" w:rsidR="003C0873" w:rsidRDefault="003C0873">
      <w:pPr>
        <w:pStyle w:val="FootnoteText"/>
      </w:pPr>
      <w:r>
        <w:rPr>
          <w:rStyle w:val="FootnoteReference"/>
        </w:rPr>
        <w:footnoteRef/>
      </w:r>
      <w:r>
        <w:t xml:space="preserve"> </w:t>
      </w:r>
      <w:proofErr w:type="spellStart"/>
      <w:r w:rsidR="00825C5B" w:rsidRPr="00825C5B">
        <w:t>Hom</w:t>
      </w:r>
      <w:proofErr w:type="spellEnd"/>
      <w:r w:rsidR="00825C5B" w:rsidRPr="00825C5B">
        <w:t xml:space="preserve">. </w:t>
      </w:r>
      <w:r w:rsidR="00825C5B" w:rsidRPr="00825C5B">
        <w:rPr>
          <w:i/>
        </w:rPr>
        <w:t xml:space="preserve">Il. </w:t>
      </w:r>
      <w:r w:rsidR="00825C5B" w:rsidRPr="00825C5B">
        <w:t>1.</w:t>
      </w:r>
      <w:r w:rsidR="00825C5B">
        <w:t>54</w:t>
      </w:r>
    </w:p>
  </w:footnote>
  <w:footnote w:id="68">
    <w:p w14:paraId="397E08DD" w14:textId="539E7F9B" w:rsidR="00C13498" w:rsidRDefault="00C13498">
      <w:pPr>
        <w:pStyle w:val="FootnoteText"/>
      </w:pPr>
      <w:r>
        <w:rPr>
          <w:rStyle w:val="FootnoteReference"/>
        </w:rPr>
        <w:footnoteRef/>
      </w:r>
      <w:r>
        <w:t xml:space="preserve"> </w:t>
      </w:r>
      <w:proofErr w:type="spellStart"/>
      <w:r>
        <w:t>Zanker</w:t>
      </w:r>
      <w:proofErr w:type="spellEnd"/>
      <w:r>
        <w:t xml:space="preserve"> 1996: 2</w:t>
      </w:r>
    </w:p>
  </w:footnote>
  <w:footnote w:id="69">
    <w:p w14:paraId="706BCFBE" w14:textId="03C80737" w:rsidR="00C13498" w:rsidRDefault="00C13498">
      <w:pPr>
        <w:pStyle w:val="FootnoteText"/>
      </w:pPr>
      <w:r>
        <w:rPr>
          <w:rStyle w:val="FootnoteReference"/>
        </w:rPr>
        <w:footnoteRef/>
      </w:r>
      <w:r>
        <w:t xml:space="preserve"> </w:t>
      </w:r>
      <w:proofErr w:type="spellStart"/>
      <w:r w:rsidR="00E5409D">
        <w:t>Hom</w:t>
      </w:r>
      <w:proofErr w:type="spellEnd"/>
      <w:r w:rsidR="00E5409D">
        <w:t xml:space="preserve">. </w:t>
      </w:r>
      <w:r w:rsidR="00E5409D" w:rsidRPr="00E5409D">
        <w:rPr>
          <w:i/>
        </w:rPr>
        <w:t>Il.</w:t>
      </w:r>
      <w:r w:rsidR="00E5409D">
        <w:t xml:space="preserve"> 6.224-231</w:t>
      </w:r>
    </w:p>
  </w:footnote>
  <w:footnote w:id="70">
    <w:p w14:paraId="49E252D0" w14:textId="2956AFAA" w:rsidR="004E6D3B" w:rsidRDefault="004E6D3B">
      <w:pPr>
        <w:pStyle w:val="FootnoteText"/>
      </w:pPr>
      <w:r>
        <w:rPr>
          <w:rStyle w:val="FootnoteReference"/>
        </w:rPr>
        <w:footnoteRef/>
      </w:r>
      <w:r>
        <w:t xml:space="preserve"> </w:t>
      </w:r>
      <w:proofErr w:type="spellStart"/>
      <w:r w:rsidRPr="004E6D3B">
        <w:t>Hom</w:t>
      </w:r>
      <w:proofErr w:type="spellEnd"/>
      <w:r w:rsidRPr="004E6D3B">
        <w:t xml:space="preserve">. </w:t>
      </w:r>
      <w:r w:rsidRPr="004E6D3B">
        <w:rPr>
          <w:i/>
        </w:rPr>
        <w:t xml:space="preserve">Il. </w:t>
      </w:r>
      <w:r>
        <w:t>9.629-631</w:t>
      </w:r>
    </w:p>
  </w:footnote>
  <w:footnote w:id="71">
    <w:p w14:paraId="4E510AE9" w14:textId="72E9FD63" w:rsidR="00D867C2" w:rsidRDefault="00D867C2">
      <w:pPr>
        <w:pStyle w:val="FootnoteText"/>
      </w:pPr>
      <w:r>
        <w:rPr>
          <w:rStyle w:val="FootnoteReference"/>
        </w:rPr>
        <w:footnoteRef/>
      </w:r>
      <w:r>
        <w:t xml:space="preserve"> </w:t>
      </w:r>
      <w:r w:rsidR="00D80DED">
        <w:t>Schein 1984: 91</w:t>
      </w:r>
    </w:p>
  </w:footnote>
  <w:footnote w:id="72">
    <w:p w14:paraId="26358221" w14:textId="59E153B9" w:rsidR="00CF6AD0" w:rsidRDefault="00CF6AD0">
      <w:pPr>
        <w:pStyle w:val="FootnoteText"/>
      </w:pPr>
      <w:r>
        <w:rPr>
          <w:rStyle w:val="FootnoteReference"/>
        </w:rPr>
        <w:footnoteRef/>
      </w:r>
      <w:r>
        <w:t xml:space="preserve"> </w:t>
      </w:r>
      <w:proofErr w:type="spellStart"/>
      <w:r w:rsidR="006179D8" w:rsidRPr="006179D8">
        <w:t>Hom</w:t>
      </w:r>
      <w:proofErr w:type="spellEnd"/>
      <w:r w:rsidR="006179D8" w:rsidRPr="006179D8">
        <w:t xml:space="preserve">. </w:t>
      </w:r>
      <w:r w:rsidR="006179D8" w:rsidRPr="006179D8">
        <w:rPr>
          <w:i/>
        </w:rPr>
        <w:t xml:space="preserve">Il. </w:t>
      </w:r>
      <w:r w:rsidR="006179D8" w:rsidRPr="006179D8">
        <w:t>9.</w:t>
      </w:r>
      <w:r w:rsidR="009E777F">
        <w:t>694-695</w:t>
      </w:r>
    </w:p>
  </w:footnote>
  <w:footnote w:id="73">
    <w:p w14:paraId="737E3F2A" w14:textId="1B0F10B5" w:rsidR="00CF6AD0" w:rsidRDefault="00CF6AD0">
      <w:pPr>
        <w:pStyle w:val="FootnoteText"/>
      </w:pPr>
      <w:r>
        <w:rPr>
          <w:rStyle w:val="FootnoteReference"/>
        </w:rPr>
        <w:footnoteRef/>
      </w:r>
      <w:r>
        <w:t xml:space="preserve"> </w:t>
      </w:r>
      <w:proofErr w:type="spellStart"/>
      <w:r w:rsidR="009E777F" w:rsidRPr="009E777F">
        <w:t>Hom</w:t>
      </w:r>
      <w:proofErr w:type="spellEnd"/>
      <w:r w:rsidR="009E777F" w:rsidRPr="009E777F">
        <w:t xml:space="preserve">. </w:t>
      </w:r>
      <w:r w:rsidR="009E777F" w:rsidRPr="009E777F">
        <w:rPr>
          <w:i/>
        </w:rPr>
        <w:t xml:space="preserve">Il. </w:t>
      </w:r>
      <w:r w:rsidR="009E777F" w:rsidRPr="009E777F">
        <w:t>9.</w:t>
      </w:r>
      <w:r w:rsidR="009E777F">
        <w:t>4</w:t>
      </w:r>
      <w:r w:rsidR="009E777F" w:rsidRPr="009E777F">
        <w:t>9</w:t>
      </w:r>
      <w:r w:rsidR="009E777F">
        <w:t>6-495</w:t>
      </w:r>
    </w:p>
  </w:footnote>
  <w:footnote w:id="74">
    <w:p w14:paraId="1D9A2BCA" w14:textId="4B009E09" w:rsidR="00CF6AD0" w:rsidRDefault="00CF6AD0">
      <w:pPr>
        <w:pStyle w:val="FootnoteText"/>
      </w:pPr>
      <w:r>
        <w:rPr>
          <w:rStyle w:val="FootnoteReference"/>
        </w:rPr>
        <w:footnoteRef/>
      </w:r>
      <w:r>
        <w:t xml:space="preserve"> </w:t>
      </w:r>
      <w:proofErr w:type="spellStart"/>
      <w:r w:rsidR="00A1549B" w:rsidRPr="00A1549B">
        <w:t>Hom</w:t>
      </w:r>
      <w:proofErr w:type="spellEnd"/>
      <w:r w:rsidR="00A1549B" w:rsidRPr="00A1549B">
        <w:t xml:space="preserve">. </w:t>
      </w:r>
      <w:r w:rsidR="00A1549B" w:rsidRPr="00A1549B">
        <w:rPr>
          <w:i/>
        </w:rPr>
        <w:t>Il.</w:t>
      </w:r>
      <w:r w:rsidR="00A1549B" w:rsidRPr="00A1549B">
        <w:t xml:space="preserve"> 11.</w:t>
      </w:r>
      <w:r w:rsidR="00A1549B">
        <w:t>602-605</w:t>
      </w:r>
    </w:p>
  </w:footnote>
  <w:footnote w:id="75">
    <w:p w14:paraId="640B2E70" w14:textId="58DEF395" w:rsidR="00CA0A94" w:rsidRDefault="00CA0A94">
      <w:pPr>
        <w:pStyle w:val="FootnoteText"/>
      </w:pPr>
      <w:r>
        <w:rPr>
          <w:rStyle w:val="FootnoteReference"/>
        </w:rPr>
        <w:footnoteRef/>
      </w:r>
      <w:r>
        <w:t xml:space="preserve"> Schein 1984: </w:t>
      </w:r>
      <w:r w:rsidR="000926BA">
        <w:t>176</w:t>
      </w:r>
    </w:p>
  </w:footnote>
  <w:footnote w:id="76">
    <w:p w14:paraId="2ADDD949" w14:textId="0012A04B" w:rsidR="00CA0A94" w:rsidRDefault="00CA0A94">
      <w:pPr>
        <w:pStyle w:val="FootnoteText"/>
      </w:pPr>
      <w:r>
        <w:rPr>
          <w:rStyle w:val="FootnoteReference"/>
        </w:rPr>
        <w:footnoteRef/>
      </w:r>
      <w:r>
        <w:t xml:space="preserve"> </w:t>
      </w:r>
      <w:r w:rsidR="00D4412C">
        <w:t>Owen 1946: 69</w:t>
      </w:r>
    </w:p>
  </w:footnote>
  <w:footnote w:id="77">
    <w:p w14:paraId="4FAAE275" w14:textId="48BFABD8" w:rsidR="00D4412C" w:rsidRDefault="00D4412C">
      <w:pPr>
        <w:pStyle w:val="FootnoteText"/>
      </w:pPr>
      <w:r>
        <w:rPr>
          <w:rStyle w:val="FootnoteReference"/>
        </w:rPr>
        <w:footnoteRef/>
      </w:r>
      <w:r>
        <w:t xml:space="preserve"> </w:t>
      </w:r>
      <w:proofErr w:type="spellStart"/>
      <w:r w:rsidR="006E0D28" w:rsidRPr="006E0D28">
        <w:t>Hom</w:t>
      </w:r>
      <w:proofErr w:type="spellEnd"/>
      <w:r w:rsidR="006E0D28" w:rsidRPr="006E0D28">
        <w:t xml:space="preserve">. </w:t>
      </w:r>
      <w:r w:rsidR="006E0D28" w:rsidRPr="006E0D28">
        <w:rPr>
          <w:i/>
        </w:rPr>
        <w:t>Il.</w:t>
      </w:r>
      <w:r w:rsidR="006E0D28">
        <w:t xml:space="preserve"> 6.441-466</w:t>
      </w:r>
    </w:p>
  </w:footnote>
  <w:footnote w:id="78">
    <w:p w14:paraId="48ED776A" w14:textId="5D3CC956" w:rsidR="006E0D28" w:rsidRDefault="006E0D28">
      <w:pPr>
        <w:pStyle w:val="FootnoteText"/>
      </w:pPr>
      <w:r>
        <w:rPr>
          <w:rStyle w:val="FootnoteReference"/>
        </w:rPr>
        <w:footnoteRef/>
      </w:r>
      <w:r>
        <w:t xml:space="preserve"> Schein 1984: 176</w:t>
      </w:r>
    </w:p>
  </w:footnote>
  <w:footnote w:id="79">
    <w:p w14:paraId="17426A85" w14:textId="58936885" w:rsidR="006E0D28" w:rsidRDefault="006E0D28">
      <w:pPr>
        <w:pStyle w:val="FootnoteText"/>
      </w:pPr>
      <w:r>
        <w:rPr>
          <w:rStyle w:val="FootnoteReference"/>
        </w:rPr>
        <w:footnoteRef/>
      </w:r>
      <w:r>
        <w:t xml:space="preserve"> </w:t>
      </w:r>
      <w:proofErr w:type="spellStart"/>
      <w:r w:rsidRPr="006E0D28">
        <w:t>Hom</w:t>
      </w:r>
      <w:proofErr w:type="spellEnd"/>
      <w:r w:rsidRPr="006E0D28">
        <w:t xml:space="preserve">. </w:t>
      </w:r>
      <w:r w:rsidRPr="006E0D28">
        <w:rPr>
          <w:i/>
        </w:rPr>
        <w:t>Il.</w:t>
      </w:r>
      <w:r w:rsidRPr="006E0D28">
        <w:t xml:space="preserve"> 6.</w:t>
      </w:r>
      <w:r>
        <w:t>407-408</w:t>
      </w:r>
    </w:p>
  </w:footnote>
  <w:footnote w:id="80">
    <w:p w14:paraId="3EBF442B" w14:textId="03F49140" w:rsidR="001C775E" w:rsidRDefault="001C775E">
      <w:pPr>
        <w:pStyle w:val="FootnoteText"/>
      </w:pPr>
      <w:r>
        <w:rPr>
          <w:rStyle w:val="FootnoteReference"/>
        </w:rPr>
        <w:footnoteRef/>
      </w:r>
      <w:r>
        <w:t xml:space="preserve"> </w:t>
      </w:r>
      <w:proofErr w:type="spellStart"/>
      <w:r w:rsidRPr="001C775E">
        <w:t>Hom</w:t>
      </w:r>
      <w:proofErr w:type="spellEnd"/>
      <w:r w:rsidRPr="001C775E">
        <w:t xml:space="preserve">. </w:t>
      </w:r>
      <w:r w:rsidRPr="001C775E">
        <w:rPr>
          <w:i/>
        </w:rPr>
        <w:t>Il.</w:t>
      </w:r>
      <w:r w:rsidRPr="001C775E">
        <w:t xml:space="preserve"> 22.</w:t>
      </w:r>
      <w:r>
        <w:t>90-98</w:t>
      </w:r>
    </w:p>
  </w:footnote>
  <w:footnote w:id="81">
    <w:p w14:paraId="7B019A70" w14:textId="23A16032" w:rsidR="006E0D28" w:rsidRPr="00C00C54" w:rsidRDefault="006E0D28">
      <w:pPr>
        <w:pStyle w:val="FootnoteText"/>
      </w:pPr>
      <w:r>
        <w:rPr>
          <w:rStyle w:val="FootnoteReference"/>
        </w:rPr>
        <w:footnoteRef/>
      </w:r>
      <w:r>
        <w:t xml:space="preserve"> </w:t>
      </w:r>
      <w:r w:rsidR="00C00C54" w:rsidRPr="00C00C54">
        <w:t xml:space="preserve">Eur. </w:t>
      </w:r>
      <w:proofErr w:type="spellStart"/>
      <w:r w:rsidR="00C00C54">
        <w:rPr>
          <w:i/>
        </w:rPr>
        <w:t>Hec</w:t>
      </w:r>
      <w:proofErr w:type="spellEnd"/>
      <w:r w:rsidR="00C00C54">
        <w:rPr>
          <w:i/>
        </w:rPr>
        <w:t xml:space="preserve">. </w:t>
      </w:r>
      <w:r w:rsidR="00C00C54">
        <w:t>1-1295</w:t>
      </w:r>
    </w:p>
  </w:footnote>
  <w:footnote w:id="82">
    <w:p w14:paraId="48474771" w14:textId="23FF25EB" w:rsidR="00584AAD" w:rsidRDefault="00584AAD">
      <w:pPr>
        <w:pStyle w:val="FootnoteText"/>
      </w:pPr>
      <w:r>
        <w:rPr>
          <w:rStyle w:val="FootnoteReference"/>
        </w:rPr>
        <w:footnoteRef/>
      </w:r>
      <w:r>
        <w:t xml:space="preserve"> </w:t>
      </w:r>
      <w:proofErr w:type="spellStart"/>
      <w:r w:rsidR="001C775E" w:rsidRPr="001C775E">
        <w:t>Hom</w:t>
      </w:r>
      <w:proofErr w:type="spellEnd"/>
      <w:r w:rsidR="001C775E" w:rsidRPr="001C775E">
        <w:t xml:space="preserve">. </w:t>
      </w:r>
      <w:r w:rsidR="001C775E" w:rsidRPr="001C775E">
        <w:rPr>
          <w:i/>
        </w:rPr>
        <w:t>Il.</w:t>
      </w:r>
      <w:r w:rsidR="001C775E">
        <w:t xml:space="preserve"> 22.</w:t>
      </w:r>
      <w:r w:rsidR="004627ED">
        <w:t>468-470</w:t>
      </w:r>
    </w:p>
  </w:footnote>
  <w:footnote w:id="83">
    <w:p w14:paraId="7C33624E" w14:textId="6847ED30" w:rsidR="00584AAD" w:rsidRDefault="00584AAD">
      <w:pPr>
        <w:pStyle w:val="FootnoteText"/>
      </w:pPr>
      <w:r>
        <w:rPr>
          <w:rStyle w:val="FootnoteReference"/>
        </w:rPr>
        <w:footnoteRef/>
      </w:r>
      <w:r>
        <w:t xml:space="preserve"> Schein 1984: 9</w:t>
      </w:r>
    </w:p>
  </w:footnote>
  <w:footnote w:id="84">
    <w:p w14:paraId="140A3593" w14:textId="463384E2" w:rsidR="003B7250" w:rsidRDefault="003B7250">
      <w:pPr>
        <w:pStyle w:val="FootnoteText"/>
      </w:pPr>
      <w:r>
        <w:rPr>
          <w:rStyle w:val="FootnoteReference"/>
        </w:rPr>
        <w:footnoteRef/>
      </w:r>
      <w:r>
        <w:t xml:space="preserve"> </w:t>
      </w:r>
      <w:r w:rsidRPr="003B7250">
        <w:t>Schein 1984</w:t>
      </w:r>
      <w:r>
        <w:t>: 79</w:t>
      </w:r>
    </w:p>
  </w:footnote>
  <w:footnote w:id="85">
    <w:p w14:paraId="70C35E95" w14:textId="29BD6814" w:rsidR="003B7250" w:rsidRPr="003B7250" w:rsidRDefault="003B7250">
      <w:pPr>
        <w:pStyle w:val="FootnoteText"/>
      </w:pPr>
      <w:r>
        <w:rPr>
          <w:rStyle w:val="FootnoteReference"/>
        </w:rPr>
        <w:footnoteRef/>
      </w:r>
      <w:r>
        <w:t xml:space="preserve"> </w:t>
      </w:r>
      <w:proofErr w:type="spellStart"/>
      <w:r w:rsidRPr="003B7250">
        <w:t>Hom</w:t>
      </w:r>
      <w:proofErr w:type="spellEnd"/>
      <w:r w:rsidRPr="003B7250">
        <w:t xml:space="preserve">. </w:t>
      </w:r>
      <w:r w:rsidRPr="003B7250">
        <w:rPr>
          <w:i/>
        </w:rPr>
        <w:t>Il.</w:t>
      </w:r>
      <w:r>
        <w:rPr>
          <w:i/>
        </w:rPr>
        <w:t xml:space="preserve"> </w:t>
      </w:r>
      <w:r>
        <w:t>1.280</w:t>
      </w:r>
    </w:p>
  </w:footnote>
  <w:footnote w:id="86">
    <w:p w14:paraId="0A9A8F30" w14:textId="0801A9F2" w:rsidR="00FD6062" w:rsidRDefault="00FD6062">
      <w:pPr>
        <w:pStyle w:val="FootnoteText"/>
      </w:pPr>
      <w:r>
        <w:rPr>
          <w:rStyle w:val="FootnoteReference"/>
        </w:rPr>
        <w:footnoteRef/>
      </w:r>
      <w:r>
        <w:t xml:space="preserve"> </w:t>
      </w:r>
      <w:r w:rsidRPr="00FD6062">
        <w:t>Whitman</w:t>
      </w:r>
      <w:r>
        <w:t xml:space="preserve"> 1958: 221-222</w:t>
      </w:r>
    </w:p>
  </w:footnote>
  <w:footnote w:id="87">
    <w:p w14:paraId="46C2E1D5" w14:textId="152A129E" w:rsidR="009B7254" w:rsidRDefault="009B7254">
      <w:pPr>
        <w:pStyle w:val="FootnoteText"/>
      </w:pPr>
      <w:r>
        <w:rPr>
          <w:rStyle w:val="FootnoteReference"/>
        </w:rPr>
        <w:footnoteRef/>
      </w:r>
      <w:r>
        <w:t xml:space="preserve"> </w:t>
      </w:r>
      <w:proofErr w:type="spellStart"/>
      <w:r w:rsidRPr="009B7254">
        <w:t>Hom</w:t>
      </w:r>
      <w:proofErr w:type="spellEnd"/>
      <w:r w:rsidRPr="009B7254">
        <w:t xml:space="preserve">. </w:t>
      </w:r>
      <w:r w:rsidRPr="009B7254">
        <w:rPr>
          <w:i/>
        </w:rPr>
        <w:t xml:space="preserve">Il. </w:t>
      </w:r>
      <w:r>
        <w:t>24.198</w:t>
      </w:r>
    </w:p>
  </w:footnote>
  <w:footnote w:id="88">
    <w:p w14:paraId="50D08306" w14:textId="607299D3" w:rsidR="009B7254" w:rsidRDefault="009B7254">
      <w:pPr>
        <w:pStyle w:val="FootnoteText"/>
      </w:pPr>
      <w:r>
        <w:rPr>
          <w:rStyle w:val="FootnoteReference"/>
        </w:rPr>
        <w:footnoteRef/>
      </w:r>
      <w:r>
        <w:t xml:space="preserve"> </w:t>
      </w:r>
      <w:proofErr w:type="spellStart"/>
      <w:r w:rsidRPr="009B7254">
        <w:t>Hom</w:t>
      </w:r>
      <w:proofErr w:type="spellEnd"/>
      <w:r w:rsidRPr="009B7254">
        <w:t xml:space="preserve">. </w:t>
      </w:r>
      <w:r w:rsidRPr="009B7254">
        <w:rPr>
          <w:i/>
        </w:rPr>
        <w:t xml:space="preserve">Il. </w:t>
      </w:r>
      <w:r>
        <w:t>24.118-119</w:t>
      </w:r>
    </w:p>
  </w:footnote>
  <w:footnote w:id="89">
    <w:p w14:paraId="7914FF0E" w14:textId="2A2E99FC" w:rsidR="009B7254" w:rsidRDefault="009B7254">
      <w:pPr>
        <w:pStyle w:val="FootnoteText"/>
      </w:pPr>
      <w:r>
        <w:rPr>
          <w:rStyle w:val="FootnoteReference"/>
        </w:rPr>
        <w:footnoteRef/>
      </w:r>
      <w:r>
        <w:t xml:space="preserve"> Whitman 1958: 216</w:t>
      </w:r>
    </w:p>
  </w:footnote>
  <w:footnote w:id="90">
    <w:p w14:paraId="144D77F3" w14:textId="74E1E4E3" w:rsidR="009B7254" w:rsidRDefault="009B7254">
      <w:pPr>
        <w:pStyle w:val="FootnoteText"/>
      </w:pPr>
      <w:r>
        <w:rPr>
          <w:rStyle w:val="FootnoteReference"/>
        </w:rPr>
        <w:footnoteRef/>
      </w:r>
      <w:r>
        <w:t xml:space="preserve"> </w:t>
      </w:r>
      <w:proofErr w:type="spellStart"/>
      <w:r w:rsidR="00812ED4" w:rsidRPr="00812ED4">
        <w:t>Hom</w:t>
      </w:r>
      <w:proofErr w:type="spellEnd"/>
      <w:r w:rsidR="00812ED4" w:rsidRPr="00812ED4">
        <w:t xml:space="preserve">. </w:t>
      </w:r>
      <w:r w:rsidR="00812ED4" w:rsidRPr="00812ED4">
        <w:rPr>
          <w:i/>
        </w:rPr>
        <w:t>Il</w:t>
      </w:r>
      <w:r w:rsidR="00812ED4">
        <w:t>. 24.86-87</w:t>
      </w:r>
    </w:p>
  </w:footnote>
  <w:footnote w:id="91">
    <w:p w14:paraId="1F03044E" w14:textId="446F2D2D" w:rsidR="001B0906" w:rsidRDefault="001B0906">
      <w:pPr>
        <w:pStyle w:val="FootnoteText"/>
      </w:pPr>
      <w:r>
        <w:rPr>
          <w:rStyle w:val="FootnoteReference"/>
        </w:rPr>
        <w:footnoteRef/>
      </w:r>
      <w:r>
        <w:t xml:space="preserve"> </w:t>
      </w:r>
      <w:r w:rsidRPr="001B0906">
        <w:t>Whitman 1958:</w:t>
      </w:r>
      <w:r>
        <w:t xml:space="preserve"> 200-202</w:t>
      </w:r>
    </w:p>
  </w:footnote>
  <w:footnote w:id="92">
    <w:p w14:paraId="246B6A2E" w14:textId="27C11CF2" w:rsidR="001B0906" w:rsidRDefault="001B0906">
      <w:pPr>
        <w:pStyle w:val="FootnoteText"/>
      </w:pPr>
      <w:r>
        <w:rPr>
          <w:rStyle w:val="FootnoteReference"/>
        </w:rPr>
        <w:footnoteRef/>
      </w:r>
      <w:r>
        <w:t xml:space="preserve"> </w:t>
      </w:r>
      <w:proofErr w:type="spellStart"/>
      <w:r w:rsidRPr="001B0906">
        <w:t>Hom</w:t>
      </w:r>
      <w:proofErr w:type="spellEnd"/>
      <w:r w:rsidRPr="001B0906">
        <w:t xml:space="preserve">. </w:t>
      </w:r>
      <w:r w:rsidRPr="001B0906">
        <w:rPr>
          <w:i/>
        </w:rPr>
        <w:t>Il</w:t>
      </w:r>
      <w:r w:rsidRPr="001B0906">
        <w:t>.</w:t>
      </w:r>
      <w:r>
        <w:t xml:space="preserve"> 703-6</w:t>
      </w:r>
    </w:p>
  </w:footnote>
  <w:footnote w:id="93">
    <w:p w14:paraId="0C715D18" w14:textId="72367884" w:rsidR="00AB265E" w:rsidRDefault="00AB265E">
      <w:pPr>
        <w:pStyle w:val="FootnoteText"/>
      </w:pPr>
      <w:r>
        <w:rPr>
          <w:rStyle w:val="FootnoteReference"/>
        </w:rPr>
        <w:footnoteRef/>
      </w:r>
      <w:r>
        <w:t xml:space="preserve"> </w:t>
      </w:r>
      <w:r w:rsidR="00D31226">
        <w:t>Jaynes 1976: 273</w:t>
      </w:r>
    </w:p>
  </w:footnote>
  <w:footnote w:id="94">
    <w:p w14:paraId="7697B7AF" w14:textId="4170D8BA" w:rsidR="009550CA" w:rsidRDefault="009550CA">
      <w:pPr>
        <w:pStyle w:val="FootnoteText"/>
      </w:pPr>
      <w:r>
        <w:rPr>
          <w:rStyle w:val="FootnoteReference"/>
        </w:rPr>
        <w:footnoteRef/>
      </w:r>
      <w:r>
        <w:t xml:space="preserve"> </w:t>
      </w:r>
      <w:proofErr w:type="spellStart"/>
      <w:r w:rsidRPr="009550CA">
        <w:t>Hes</w:t>
      </w:r>
      <w:proofErr w:type="spellEnd"/>
      <w:r w:rsidRPr="009550CA">
        <w:t xml:space="preserve">. </w:t>
      </w:r>
      <w:r w:rsidRPr="009550CA">
        <w:rPr>
          <w:i/>
        </w:rPr>
        <w:t>WD</w:t>
      </w:r>
      <w:r w:rsidRPr="009550CA">
        <w:t>.</w:t>
      </w:r>
      <w:r>
        <w:t xml:space="preserve"> 176-201</w:t>
      </w:r>
    </w:p>
  </w:footnote>
  <w:footnote w:id="95">
    <w:p w14:paraId="2039497D" w14:textId="2640EC5B" w:rsidR="00094A3C" w:rsidRDefault="00094A3C">
      <w:pPr>
        <w:pStyle w:val="FootnoteText"/>
      </w:pPr>
      <w:r>
        <w:rPr>
          <w:rStyle w:val="FootnoteReference"/>
        </w:rPr>
        <w:footnoteRef/>
      </w:r>
      <w:r>
        <w:t xml:space="preserve"> Powell</w:t>
      </w:r>
      <w:r w:rsidRPr="00094A3C">
        <w:t xml:space="preserve"> 2004</w:t>
      </w:r>
      <w:r>
        <w:t>: 42</w:t>
      </w:r>
    </w:p>
  </w:footnote>
  <w:footnote w:id="96">
    <w:p w14:paraId="3E147C21" w14:textId="1BEC87A3" w:rsidR="00A11F1A" w:rsidRDefault="00A11F1A">
      <w:pPr>
        <w:pStyle w:val="FootnoteText"/>
      </w:pPr>
      <w:r>
        <w:rPr>
          <w:rStyle w:val="FootnoteReference"/>
        </w:rPr>
        <w:footnoteRef/>
      </w:r>
      <w:r>
        <w:t xml:space="preserve"> </w:t>
      </w:r>
      <w:proofErr w:type="spellStart"/>
      <w:r w:rsidRPr="00A11F1A">
        <w:t>Hom</w:t>
      </w:r>
      <w:proofErr w:type="spellEnd"/>
      <w:r w:rsidRPr="00A11F1A">
        <w:rPr>
          <w:i/>
        </w:rPr>
        <w:t>. Il.</w:t>
      </w:r>
      <w:r w:rsidRPr="00A11F1A">
        <w:t xml:space="preserve"> 1</w:t>
      </w:r>
      <w:r>
        <w:t>8</w:t>
      </w:r>
      <w:r w:rsidRPr="00A11F1A">
        <w:t>.</w:t>
      </w:r>
      <w:r>
        <w:t>541-572</w:t>
      </w:r>
    </w:p>
  </w:footnote>
  <w:footnote w:id="97">
    <w:p w14:paraId="2F77629A" w14:textId="296218EC" w:rsidR="00A11F1A" w:rsidRDefault="00A11F1A">
      <w:pPr>
        <w:pStyle w:val="FootnoteText"/>
      </w:pPr>
      <w:r>
        <w:rPr>
          <w:rStyle w:val="FootnoteReference"/>
        </w:rPr>
        <w:footnoteRef/>
      </w:r>
      <w:r>
        <w:t xml:space="preserve"> </w:t>
      </w:r>
      <w:proofErr w:type="spellStart"/>
      <w:r w:rsidRPr="00A11F1A">
        <w:t>Hom</w:t>
      </w:r>
      <w:proofErr w:type="spellEnd"/>
      <w:r w:rsidRPr="00A11F1A">
        <w:rPr>
          <w:i/>
        </w:rPr>
        <w:t>. Il.</w:t>
      </w:r>
      <w:r w:rsidRPr="00A11F1A">
        <w:t xml:space="preserve"> 18.</w:t>
      </w:r>
      <w:r>
        <w:t>509-541</w:t>
      </w:r>
    </w:p>
  </w:footnote>
  <w:footnote w:id="98">
    <w:p w14:paraId="2B5E07AA" w14:textId="6964F635" w:rsidR="00A11F1A" w:rsidRDefault="00A11F1A">
      <w:pPr>
        <w:pStyle w:val="FootnoteText"/>
      </w:pPr>
      <w:r>
        <w:rPr>
          <w:rStyle w:val="FootnoteReference"/>
        </w:rPr>
        <w:footnoteRef/>
      </w:r>
      <w:r>
        <w:t xml:space="preserve"> </w:t>
      </w:r>
      <w:proofErr w:type="spellStart"/>
      <w:r w:rsidR="00B9515A" w:rsidRPr="00B9515A">
        <w:t>Hes</w:t>
      </w:r>
      <w:proofErr w:type="spellEnd"/>
      <w:r w:rsidR="00B9515A" w:rsidRPr="00B9515A">
        <w:t xml:space="preserve">. </w:t>
      </w:r>
      <w:r w:rsidR="00B9515A" w:rsidRPr="00B9515A">
        <w:rPr>
          <w:i/>
        </w:rPr>
        <w:t>WD</w:t>
      </w:r>
      <w:r w:rsidR="00B9515A" w:rsidRPr="00B9515A">
        <w:t>.</w:t>
      </w:r>
      <w:r w:rsidR="00B9515A">
        <w:t xml:space="preserve"> 156-174</w:t>
      </w:r>
    </w:p>
  </w:footnote>
  <w:footnote w:id="99">
    <w:p w14:paraId="5AAC89E5" w14:textId="785712B0" w:rsidR="00A11F1A" w:rsidRPr="00FA7E7E" w:rsidRDefault="00A11F1A">
      <w:pPr>
        <w:pStyle w:val="FootnoteText"/>
      </w:pPr>
      <w:r>
        <w:rPr>
          <w:rStyle w:val="FootnoteReference"/>
        </w:rPr>
        <w:footnoteRef/>
      </w:r>
      <w:r>
        <w:t xml:space="preserve"> </w:t>
      </w:r>
      <w:proofErr w:type="spellStart"/>
      <w:r w:rsidR="00FA7E7E" w:rsidRPr="00FA7E7E">
        <w:t>Ov.</w:t>
      </w:r>
      <w:r w:rsidR="00FA7E7E" w:rsidRPr="00FA7E7E">
        <w:rPr>
          <w:i/>
        </w:rPr>
        <w:t>Met</w:t>
      </w:r>
      <w:proofErr w:type="spellEnd"/>
      <w:r w:rsidR="00FA7E7E">
        <w:rPr>
          <w:i/>
        </w:rPr>
        <w:t xml:space="preserve">. </w:t>
      </w:r>
      <w:r w:rsidR="00FA7E7E">
        <w:t>8.260-</w:t>
      </w:r>
      <w:r w:rsidR="00006CE9">
        <w:t>420</w:t>
      </w:r>
    </w:p>
  </w:footnote>
  <w:footnote w:id="100">
    <w:p w14:paraId="4C6A9A5A" w14:textId="7C495F0B" w:rsidR="00B9515A" w:rsidRDefault="00B9515A">
      <w:pPr>
        <w:pStyle w:val="FootnoteText"/>
      </w:pPr>
      <w:r>
        <w:rPr>
          <w:rStyle w:val="FootnoteReference"/>
        </w:rPr>
        <w:footnoteRef/>
      </w:r>
      <w:r>
        <w:t xml:space="preserve"> </w:t>
      </w:r>
      <w:r w:rsidR="00FA7E7E">
        <w:t>Catul.64.338-370</w:t>
      </w:r>
    </w:p>
  </w:footnote>
  <w:footnote w:id="101">
    <w:p w14:paraId="5ED92D90" w14:textId="406767A2" w:rsidR="00FE3A97" w:rsidRDefault="00FE3A97">
      <w:pPr>
        <w:pStyle w:val="FootnoteText"/>
      </w:pPr>
      <w:r>
        <w:rPr>
          <w:rStyle w:val="FootnoteReference"/>
        </w:rPr>
        <w:footnoteRef/>
      </w:r>
      <w:r>
        <w:t xml:space="preserve"> </w:t>
      </w:r>
      <w:proofErr w:type="spellStart"/>
      <w:r w:rsidRPr="00FE3A97">
        <w:t>Hom</w:t>
      </w:r>
      <w:proofErr w:type="spellEnd"/>
      <w:r w:rsidRPr="00FE3A97">
        <w:t>.</w:t>
      </w:r>
      <w:r w:rsidRPr="00400387">
        <w:rPr>
          <w:i/>
        </w:rPr>
        <w:t xml:space="preserve"> Il</w:t>
      </w:r>
      <w:r w:rsidRPr="00FE3A97">
        <w:t>.</w:t>
      </w:r>
      <w:r w:rsidR="00400387">
        <w:t xml:space="preserve"> </w:t>
      </w:r>
      <w:r w:rsidRPr="00FE3A97">
        <w:t>11.67-71</w:t>
      </w:r>
      <w:r>
        <w:t xml:space="preserve"> and </w:t>
      </w:r>
      <w:r w:rsidRPr="00FE3A97">
        <w:t>20.495-503</w:t>
      </w:r>
    </w:p>
  </w:footnote>
  <w:footnote w:id="102">
    <w:p w14:paraId="02A090E1" w14:textId="634D157D" w:rsidR="00CB0115" w:rsidRDefault="00CB0115">
      <w:pPr>
        <w:pStyle w:val="FootnoteText"/>
      </w:pPr>
      <w:r>
        <w:rPr>
          <w:rStyle w:val="FootnoteReference"/>
        </w:rPr>
        <w:footnoteRef/>
      </w:r>
      <w:r>
        <w:t xml:space="preserve"> </w:t>
      </w:r>
      <w:r w:rsidRPr="00CB0115">
        <w:t>Schein 1984</w:t>
      </w:r>
      <w:r>
        <w:t>: 69</w:t>
      </w:r>
    </w:p>
  </w:footnote>
  <w:footnote w:id="103">
    <w:p w14:paraId="780495BE" w14:textId="0E172D59" w:rsidR="00AB40EE" w:rsidRDefault="00AB40EE">
      <w:pPr>
        <w:pStyle w:val="FootnoteText"/>
      </w:pPr>
      <w:r>
        <w:rPr>
          <w:rStyle w:val="FootnoteReference"/>
        </w:rPr>
        <w:footnoteRef/>
      </w:r>
      <w:r>
        <w:t xml:space="preserve"> Nagy 2009: 71</w:t>
      </w:r>
    </w:p>
  </w:footnote>
  <w:footnote w:id="104">
    <w:p w14:paraId="1731E281" w14:textId="07F2BE58" w:rsidR="00F929C2" w:rsidRDefault="00F929C2">
      <w:pPr>
        <w:pStyle w:val="FootnoteText"/>
      </w:pPr>
      <w:r>
        <w:rPr>
          <w:rStyle w:val="FootnoteReference"/>
        </w:rPr>
        <w:footnoteRef/>
      </w:r>
      <w:r>
        <w:t xml:space="preserve"> Rutherford 2005: 20</w:t>
      </w:r>
    </w:p>
  </w:footnote>
  <w:footnote w:id="105">
    <w:p w14:paraId="70908F45" w14:textId="354FC1ED" w:rsidR="00C549E7" w:rsidRDefault="00C549E7">
      <w:pPr>
        <w:pStyle w:val="FootnoteText"/>
      </w:pPr>
      <w:r>
        <w:rPr>
          <w:rStyle w:val="FootnoteReference"/>
        </w:rPr>
        <w:footnoteRef/>
      </w:r>
      <w:r>
        <w:t xml:space="preserve"> Nagy 2009: 78</w:t>
      </w:r>
    </w:p>
  </w:footnote>
  <w:footnote w:id="106">
    <w:p w14:paraId="4B706158" w14:textId="6EFAFABD" w:rsidR="00F41FD5" w:rsidRDefault="00F41FD5">
      <w:pPr>
        <w:pStyle w:val="FootnoteText"/>
      </w:pPr>
      <w:r>
        <w:rPr>
          <w:rStyle w:val="FootnoteReference"/>
        </w:rPr>
        <w:footnoteRef/>
      </w:r>
      <w:r>
        <w:t xml:space="preserve"> </w:t>
      </w:r>
      <w:proofErr w:type="spellStart"/>
      <w:r>
        <w:t>Slatkin</w:t>
      </w:r>
      <w:proofErr w:type="spellEnd"/>
      <w:r>
        <w:t xml:space="preserve"> 2009: 326</w:t>
      </w:r>
    </w:p>
  </w:footnote>
  <w:footnote w:id="107">
    <w:p w14:paraId="4E056846" w14:textId="3BA5704F" w:rsidR="00121343" w:rsidRPr="00121343" w:rsidRDefault="00121343">
      <w:pPr>
        <w:pStyle w:val="FootnoteText"/>
      </w:pPr>
      <w:r>
        <w:rPr>
          <w:rStyle w:val="FootnoteReference"/>
        </w:rPr>
        <w:footnoteRef/>
      </w:r>
      <w:r>
        <w:t xml:space="preserve"> </w:t>
      </w:r>
      <w:proofErr w:type="spellStart"/>
      <w:r>
        <w:t>Hom</w:t>
      </w:r>
      <w:proofErr w:type="spellEnd"/>
      <w:r>
        <w:t xml:space="preserve">. </w:t>
      </w:r>
      <w:proofErr w:type="gramStart"/>
      <w:r>
        <w:rPr>
          <w:i/>
        </w:rPr>
        <w:t>Od</w:t>
      </w:r>
      <w:proofErr w:type="gramEnd"/>
      <w:r>
        <w:rPr>
          <w:i/>
        </w:rPr>
        <w:t>.</w:t>
      </w:r>
      <w:r>
        <w:t xml:space="preserve"> 1.1</w:t>
      </w:r>
    </w:p>
  </w:footnote>
  <w:footnote w:id="108">
    <w:p w14:paraId="0532F51F" w14:textId="75CF5931" w:rsidR="009F5310" w:rsidRDefault="009F5310">
      <w:pPr>
        <w:pStyle w:val="FootnoteText"/>
      </w:pPr>
      <w:r>
        <w:rPr>
          <w:rStyle w:val="FootnoteReference"/>
        </w:rPr>
        <w:footnoteRef/>
      </w:r>
      <w:r>
        <w:t xml:space="preserve"> Nagy 2009: 78</w:t>
      </w:r>
    </w:p>
  </w:footnote>
  <w:footnote w:id="109">
    <w:p w14:paraId="06DDFA42" w14:textId="27016695" w:rsidR="009F5310" w:rsidRDefault="009F5310">
      <w:pPr>
        <w:pStyle w:val="FootnoteText"/>
      </w:pPr>
      <w:r>
        <w:rPr>
          <w:rStyle w:val="FootnoteReference"/>
        </w:rPr>
        <w:footnoteRef/>
      </w:r>
      <w:r>
        <w:t xml:space="preserve"> </w:t>
      </w:r>
      <w:proofErr w:type="spellStart"/>
      <w:r w:rsidRPr="009F5310">
        <w:t>Apollon</w:t>
      </w:r>
      <w:proofErr w:type="spellEnd"/>
      <w:r w:rsidRPr="009F5310">
        <w:t>.</w:t>
      </w:r>
      <w:r>
        <w:t xml:space="preserve"> 4.1130-1155</w:t>
      </w:r>
    </w:p>
  </w:footnote>
  <w:footnote w:id="110">
    <w:p w14:paraId="3B4FF62A" w14:textId="1AEF8A2E" w:rsidR="006132C9" w:rsidRDefault="006132C9">
      <w:pPr>
        <w:pStyle w:val="FootnoteText"/>
      </w:pPr>
      <w:r>
        <w:rPr>
          <w:rStyle w:val="FootnoteReference"/>
        </w:rPr>
        <w:footnoteRef/>
      </w:r>
      <w:r>
        <w:t xml:space="preserve"> Nagy 2009: 80</w:t>
      </w:r>
    </w:p>
  </w:footnote>
  <w:footnote w:id="111">
    <w:p w14:paraId="15CE68C6" w14:textId="0BAAD6E1" w:rsidR="006132C9" w:rsidRPr="009C7A6B" w:rsidRDefault="006132C9">
      <w:pPr>
        <w:pStyle w:val="FootnoteText"/>
      </w:pPr>
      <w:r>
        <w:rPr>
          <w:rStyle w:val="FootnoteReference"/>
        </w:rPr>
        <w:footnoteRef/>
      </w:r>
      <w:r>
        <w:t xml:space="preserve"> </w:t>
      </w:r>
      <w:proofErr w:type="spellStart"/>
      <w:r w:rsidR="009C7A6B" w:rsidRPr="009C7A6B">
        <w:t>Verg</w:t>
      </w:r>
      <w:proofErr w:type="spellEnd"/>
      <w:r w:rsidR="009C7A6B" w:rsidRPr="009C7A6B">
        <w:t xml:space="preserve">. </w:t>
      </w:r>
      <w:r w:rsidR="009C7A6B" w:rsidRPr="009C7A6B">
        <w:rPr>
          <w:i/>
        </w:rPr>
        <w:t>A.</w:t>
      </w:r>
      <w:r w:rsidR="009C7A6B">
        <w:t>6.56-</w:t>
      </w:r>
      <w:r w:rsidR="00D558BD">
        <w:t>67</w:t>
      </w:r>
    </w:p>
  </w:footnote>
  <w:footnote w:id="112">
    <w:p w14:paraId="78F17C9F" w14:textId="72E7C46C" w:rsidR="00400387" w:rsidRDefault="00400387">
      <w:pPr>
        <w:pStyle w:val="FootnoteText"/>
      </w:pPr>
      <w:r>
        <w:rPr>
          <w:rStyle w:val="FootnoteReference"/>
        </w:rPr>
        <w:footnoteRef/>
      </w:r>
      <w:r>
        <w:t xml:space="preserve"> </w:t>
      </w:r>
      <w:proofErr w:type="spellStart"/>
      <w:r w:rsidRPr="00400387">
        <w:t>Hom</w:t>
      </w:r>
      <w:proofErr w:type="spellEnd"/>
      <w:r w:rsidRPr="00400387">
        <w:t>.</w:t>
      </w:r>
      <w:r w:rsidRPr="00400387">
        <w:rPr>
          <w:i/>
        </w:rPr>
        <w:t xml:space="preserve"> Il</w:t>
      </w:r>
      <w:r w:rsidRPr="00400387">
        <w:t>.</w:t>
      </w:r>
      <w:r>
        <w:t xml:space="preserve"> </w:t>
      </w:r>
      <w:r w:rsidRPr="00400387">
        <w:t>22.304-5</w:t>
      </w:r>
    </w:p>
  </w:footnote>
  <w:footnote w:id="113">
    <w:p w14:paraId="71A4CA01" w14:textId="6620DEF6" w:rsidR="00BE2DA5" w:rsidRDefault="00BE2DA5">
      <w:pPr>
        <w:pStyle w:val="FootnoteText"/>
      </w:pPr>
      <w:r>
        <w:rPr>
          <w:rStyle w:val="FootnoteReference"/>
        </w:rPr>
        <w:footnoteRef/>
      </w:r>
      <w:r>
        <w:t xml:space="preserve"> </w:t>
      </w:r>
      <w:proofErr w:type="spellStart"/>
      <w:r w:rsidRPr="00BE2DA5">
        <w:t>Hom</w:t>
      </w:r>
      <w:proofErr w:type="spellEnd"/>
      <w:r w:rsidRPr="00BE2DA5">
        <w:t xml:space="preserve">. </w:t>
      </w:r>
      <w:proofErr w:type="gramStart"/>
      <w:r w:rsidRPr="00BE2DA5">
        <w:rPr>
          <w:i/>
        </w:rPr>
        <w:t>Od</w:t>
      </w:r>
      <w:proofErr w:type="gramEnd"/>
      <w:r w:rsidRPr="00BE2DA5">
        <w:rPr>
          <w:i/>
        </w:rPr>
        <w:t>.</w:t>
      </w:r>
      <w:r w:rsidRPr="00BE2DA5">
        <w:t xml:space="preserve"> 1</w:t>
      </w:r>
      <w:r>
        <w:t>1.488-491</w:t>
      </w:r>
    </w:p>
  </w:footnote>
  <w:footnote w:id="114">
    <w:p w14:paraId="1142B58C" w14:textId="7F177FD3" w:rsidR="001B6D46" w:rsidRDefault="001B6D46">
      <w:pPr>
        <w:pStyle w:val="FootnoteText"/>
      </w:pPr>
      <w:r>
        <w:rPr>
          <w:rStyle w:val="FootnoteReference"/>
        </w:rPr>
        <w:footnoteRef/>
      </w:r>
      <w:r>
        <w:t xml:space="preserve"> Van Wees 1998: 11</w:t>
      </w:r>
    </w:p>
  </w:footnote>
  <w:footnote w:id="115">
    <w:p w14:paraId="02D334CD" w14:textId="484D85EF" w:rsidR="00A70B38" w:rsidRPr="00A70B38" w:rsidRDefault="00A70B38">
      <w:pPr>
        <w:pStyle w:val="FootnoteText"/>
      </w:pPr>
      <w:r>
        <w:rPr>
          <w:rStyle w:val="FootnoteReference"/>
        </w:rPr>
        <w:footnoteRef/>
      </w:r>
      <w:r>
        <w:t xml:space="preserve"> </w:t>
      </w:r>
      <w:proofErr w:type="spellStart"/>
      <w:r w:rsidRPr="00A70B38">
        <w:t>Hom</w:t>
      </w:r>
      <w:proofErr w:type="spellEnd"/>
      <w:r w:rsidRPr="00A70B38">
        <w:t xml:space="preserve">. </w:t>
      </w:r>
      <w:proofErr w:type="gramStart"/>
      <w:r w:rsidRPr="00A70B38">
        <w:rPr>
          <w:i/>
        </w:rPr>
        <w:t>Od</w:t>
      </w:r>
      <w:proofErr w:type="gramEnd"/>
      <w:r w:rsidRPr="00A70B38">
        <w:rPr>
          <w:i/>
        </w:rPr>
        <w:t>.</w:t>
      </w:r>
      <w:r>
        <w:rPr>
          <w:i/>
        </w:rPr>
        <w:t xml:space="preserve"> </w:t>
      </w:r>
      <w:r w:rsidR="00F74F9F">
        <w:t>5.299-311</w:t>
      </w:r>
    </w:p>
  </w:footnote>
  <w:footnote w:id="116">
    <w:p w14:paraId="432FBF39" w14:textId="6F0B6348" w:rsidR="00A70B38" w:rsidRPr="00775711" w:rsidRDefault="00A70B38">
      <w:pPr>
        <w:pStyle w:val="FootnoteText"/>
      </w:pPr>
      <w:r>
        <w:rPr>
          <w:rStyle w:val="FootnoteReference"/>
        </w:rPr>
        <w:footnoteRef/>
      </w:r>
      <w:r>
        <w:t xml:space="preserve"> </w:t>
      </w:r>
      <w:proofErr w:type="spellStart"/>
      <w:r w:rsidRPr="00A70B38">
        <w:t>Hom</w:t>
      </w:r>
      <w:proofErr w:type="spellEnd"/>
      <w:r w:rsidRPr="00A70B38">
        <w:t xml:space="preserve">. </w:t>
      </w:r>
      <w:proofErr w:type="gramStart"/>
      <w:r w:rsidRPr="00A70B38">
        <w:rPr>
          <w:i/>
        </w:rPr>
        <w:t>Od</w:t>
      </w:r>
      <w:proofErr w:type="gramEnd"/>
      <w:r w:rsidRPr="00A70B38">
        <w:rPr>
          <w:i/>
        </w:rPr>
        <w:t>.</w:t>
      </w:r>
      <w:r w:rsidR="00775711">
        <w:rPr>
          <w:i/>
        </w:rPr>
        <w:t xml:space="preserve"> </w:t>
      </w:r>
      <w:r w:rsidR="00775711">
        <w:t>19.</w:t>
      </w:r>
      <w:r w:rsidR="00956E93">
        <w:t>119-222</w:t>
      </w:r>
    </w:p>
  </w:footnote>
  <w:footnote w:id="117">
    <w:p w14:paraId="358BF54C" w14:textId="3522EA39" w:rsidR="005C6A8D" w:rsidRDefault="005C6A8D">
      <w:pPr>
        <w:pStyle w:val="FootnoteText"/>
      </w:pPr>
      <w:r>
        <w:rPr>
          <w:rStyle w:val="FootnoteReference"/>
        </w:rPr>
        <w:footnoteRef/>
      </w:r>
      <w:r>
        <w:t xml:space="preserve"> </w:t>
      </w:r>
      <w:proofErr w:type="spellStart"/>
      <w:r w:rsidRPr="005C6A8D">
        <w:t>Hom</w:t>
      </w:r>
      <w:proofErr w:type="spellEnd"/>
      <w:r w:rsidRPr="005C6A8D">
        <w:t>.</w:t>
      </w:r>
      <w:r w:rsidRPr="005C6A8D">
        <w:rPr>
          <w:i/>
        </w:rPr>
        <w:t xml:space="preserve"> Il</w:t>
      </w:r>
      <w:r w:rsidRPr="005C6A8D">
        <w:t xml:space="preserve">. </w:t>
      </w:r>
      <w:r>
        <w:t>24.160-166</w:t>
      </w:r>
    </w:p>
  </w:footnote>
  <w:footnote w:id="118">
    <w:p w14:paraId="7E630D9D" w14:textId="13BD8AF8" w:rsidR="005C6A8D" w:rsidRDefault="005C6A8D">
      <w:pPr>
        <w:pStyle w:val="FootnoteText"/>
      </w:pPr>
      <w:r>
        <w:rPr>
          <w:rStyle w:val="FootnoteReference"/>
        </w:rPr>
        <w:footnoteRef/>
      </w:r>
      <w:r>
        <w:t xml:space="preserve"> </w:t>
      </w:r>
      <w:proofErr w:type="spellStart"/>
      <w:r w:rsidRPr="005C6A8D">
        <w:t>Hom</w:t>
      </w:r>
      <w:proofErr w:type="spellEnd"/>
      <w:r w:rsidRPr="005C6A8D">
        <w:t>.</w:t>
      </w:r>
      <w:r w:rsidRPr="005C6A8D">
        <w:rPr>
          <w:i/>
        </w:rPr>
        <w:t xml:space="preserve"> Il</w:t>
      </w:r>
      <w:r w:rsidRPr="005C6A8D">
        <w:t xml:space="preserve">. </w:t>
      </w:r>
      <w:r w:rsidR="005C4256">
        <w:t>11.393</w:t>
      </w:r>
    </w:p>
  </w:footnote>
  <w:footnote w:id="119">
    <w:p w14:paraId="5D73A909" w14:textId="2237CF86" w:rsidR="005C6A8D" w:rsidRDefault="005C6A8D">
      <w:pPr>
        <w:pStyle w:val="FootnoteText"/>
      </w:pPr>
      <w:r>
        <w:rPr>
          <w:rStyle w:val="FootnoteReference"/>
        </w:rPr>
        <w:footnoteRef/>
      </w:r>
      <w:r>
        <w:t xml:space="preserve"> </w:t>
      </w:r>
      <w:proofErr w:type="spellStart"/>
      <w:r w:rsidRPr="00FE3A97">
        <w:t>Hom</w:t>
      </w:r>
      <w:proofErr w:type="spellEnd"/>
      <w:r w:rsidRPr="00FE3A97">
        <w:t>.</w:t>
      </w:r>
      <w:r w:rsidRPr="00400387">
        <w:rPr>
          <w:i/>
        </w:rPr>
        <w:t xml:space="preserve"> Il</w:t>
      </w:r>
      <w:r w:rsidRPr="00FE3A97">
        <w:t>.</w:t>
      </w:r>
      <w:r>
        <w:t xml:space="preserve"> </w:t>
      </w:r>
      <w:r w:rsidR="00F373D7">
        <w:t>13.</w:t>
      </w:r>
      <w:r w:rsidR="00F373D7" w:rsidRPr="00F373D7">
        <w:t>88-9</w:t>
      </w:r>
    </w:p>
  </w:footnote>
  <w:footnote w:id="120">
    <w:p w14:paraId="58D76EB4" w14:textId="5542EA3E" w:rsidR="005C6A8D" w:rsidRDefault="005C6A8D">
      <w:pPr>
        <w:pStyle w:val="FootnoteText"/>
      </w:pPr>
      <w:r>
        <w:rPr>
          <w:rStyle w:val="FootnoteReference"/>
        </w:rPr>
        <w:footnoteRef/>
      </w:r>
      <w:r>
        <w:t xml:space="preserve"> </w:t>
      </w:r>
      <w:proofErr w:type="spellStart"/>
      <w:r w:rsidRPr="005C6A8D">
        <w:t>Hom</w:t>
      </w:r>
      <w:proofErr w:type="spellEnd"/>
      <w:r w:rsidRPr="005C6A8D">
        <w:t>.</w:t>
      </w:r>
      <w:r w:rsidRPr="005C6A8D">
        <w:rPr>
          <w:i/>
        </w:rPr>
        <w:t xml:space="preserve"> Il</w:t>
      </w:r>
      <w:r w:rsidRPr="005C6A8D">
        <w:t xml:space="preserve">. </w:t>
      </w:r>
      <w:r w:rsidR="00843629">
        <w:t>5.242-245</w:t>
      </w:r>
    </w:p>
  </w:footnote>
  <w:footnote w:id="121">
    <w:p w14:paraId="5D43A8A4" w14:textId="69130E6A" w:rsidR="00E64D49" w:rsidRDefault="00E64D49">
      <w:pPr>
        <w:pStyle w:val="FootnoteText"/>
      </w:pPr>
      <w:r>
        <w:rPr>
          <w:rStyle w:val="FootnoteReference"/>
        </w:rPr>
        <w:footnoteRef/>
      </w:r>
      <w:r>
        <w:t xml:space="preserve"> Van Wees 1998: 11</w:t>
      </w:r>
    </w:p>
  </w:footnote>
  <w:footnote w:id="122">
    <w:p w14:paraId="6C4BE3DF" w14:textId="722AEBFC" w:rsidR="00E64D49" w:rsidRDefault="00E64D49">
      <w:pPr>
        <w:pStyle w:val="FootnoteText"/>
      </w:pPr>
      <w:r>
        <w:rPr>
          <w:rStyle w:val="FootnoteReference"/>
        </w:rPr>
        <w:footnoteRef/>
      </w:r>
      <w:r>
        <w:t xml:space="preserve"> </w:t>
      </w:r>
      <w:proofErr w:type="spellStart"/>
      <w:r w:rsidRPr="00E64D49">
        <w:t>Hom</w:t>
      </w:r>
      <w:proofErr w:type="spellEnd"/>
      <w:r w:rsidRPr="00E64D49">
        <w:t>.</w:t>
      </w:r>
      <w:r w:rsidRPr="00E64D49">
        <w:rPr>
          <w:i/>
        </w:rPr>
        <w:t xml:space="preserve"> Il</w:t>
      </w:r>
      <w:r w:rsidRPr="00E64D49">
        <w:t xml:space="preserve">. </w:t>
      </w:r>
      <w:r>
        <w:t>1.351-361</w:t>
      </w:r>
    </w:p>
  </w:footnote>
  <w:footnote w:id="123">
    <w:p w14:paraId="6C58506A" w14:textId="7B8CF65A" w:rsidR="007B58D7" w:rsidRDefault="007B58D7">
      <w:pPr>
        <w:pStyle w:val="FootnoteText"/>
      </w:pPr>
      <w:r>
        <w:rPr>
          <w:rStyle w:val="FootnoteReference"/>
        </w:rPr>
        <w:footnoteRef/>
      </w:r>
      <w:r>
        <w:t xml:space="preserve"> </w:t>
      </w:r>
      <w:r w:rsidR="002B2155">
        <w:t>Van Wees 1998: 46</w:t>
      </w:r>
    </w:p>
  </w:footnote>
  <w:footnote w:id="124">
    <w:p w14:paraId="690E249A" w14:textId="2FCBFD18" w:rsidR="002B2155" w:rsidRDefault="002B2155">
      <w:pPr>
        <w:pStyle w:val="FootnoteText"/>
      </w:pPr>
      <w:r>
        <w:rPr>
          <w:rStyle w:val="FootnoteReference"/>
        </w:rPr>
        <w:footnoteRef/>
      </w:r>
      <w:r>
        <w:t xml:space="preserve"> </w:t>
      </w:r>
      <w:proofErr w:type="spellStart"/>
      <w:r w:rsidR="00F70689" w:rsidRPr="00F70689">
        <w:t>Hom</w:t>
      </w:r>
      <w:proofErr w:type="spellEnd"/>
      <w:r w:rsidR="00F70689" w:rsidRPr="00F70689">
        <w:t xml:space="preserve">. </w:t>
      </w:r>
      <w:proofErr w:type="gramStart"/>
      <w:r w:rsidR="00F70689" w:rsidRPr="00F70689">
        <w:rPr>
          <w:i/>
        </w:rPr>
        <w:t>Od</w:t>
      </w:r>
      <w:proofErr w:type="gramEnd"/>
      <w:r w:rsidR="00F70689" w:rsidRPr="00F70689">
        <w:rPr>
          <w:i/>
        </w:rPr>
        <w:t xml:space="preserve">. </w:t>
      </w:r>
      <w:r w:rsidR="00F70689">
        <w:t>11.528-529</w:t>
      </w:r>
    </w:p>
  </w:footnote>
  <w:footnote w:id="125">
    <w:p w14:paraId="2FDC7EAB" w14:textId="520A47F8" w:rsidR="00E41935" w:rsidRDefault="00E41935">
      <w:pPr>
        <w:pStyle w:val="FootnoteText"/>
      </w:pPr>
      <w:r>
        <w:rPr>
          <w:rStyle w:val="FootnoteReference"/>
        </w:rPr>
        <w:footnoteRef/>
      </w:r>
      <w:r>
        <w:t xml:space="preserve"> </w:t>
      </w:r>
      <w:proofErr w:type="spellStart"/>
      <w:r w:rsidRPr="00E41935">
        <w:t>Hom</w:t>
      </w:r>
      <w:proofErr w:type="spellEnd"/>
      <w:r w:rsidRPr="00E41935">
        <w:t>.</w:t>
      </w:r>
      <w:r w:rsidRPr="00E41935">
        <w:rPr>
          <w:i/>
        </w:rPr>
        <w:t xml:space="preserve"> Il</w:t>
      </w:r>
      <w:r w:rsidRPr="00E41935">
        <w:t>. 1</w:t>
      </w:r>
      <w:r>
        <w:t>.</w:t>
      </w:r>
      <w:r w:rsidR="00231E91">
        <w:t>7-121</w:t>
      </w:r>
    </w:p>
  </w:footnote>
  <w:footnote w:id="126">
    <w:p w14:paraId="3DCB92C2" w14:textId="6A5849D2" w:rsidR="00E41935" w:rsidRDefault="00E41935">
      <w:pPr>
        <w:pStyle w:val="FootnoteText"/>
      </w:pPr>
      <w:r>
        <w:rPr>
          <w:rStyle w:val="FootnoteReference"/>
        </w:rPr>
        <w:footnoteRef/>
      </w:r>
      <w:r>
        <w:t xml:space="preserve"> Owen 1946: 5</w:t>
      </w:r>
    </w:p>
  </w:footnote>
  <w:footnote w:id="127">
    <w:p w14:paraId="6B799C04" w14:textId="0E9F4190" w:rsidR="00917BC0" w:rsidRDefault="00917BC0">
      <w:pPr>
        <w:pStyle w:val="FootnoteText"/>
      </w:pPr>
      <w:r>
        <w:rPr>
          <w:rStyle w:val="FootnoteReference"/>
        </w:rPr>
        <w:footnoteRef/>
      </w:r>
      <w:r>
        <w:t xml:space="preserve"> </w:t>
      </w:r>
      <w:proofErr w:type="spellStart"/>
      <w:r w:rsidRPr="00E41935">
        <w:t>Hom</w:t>
      </w:r>
      <w:proofErr w:type="spellEnd"/>
      <w:r w:rsidRPr="00E41935">
        <w:t>.</w:t>
      </w:r>
      <w:r w:rsidRPr="00E41935">
        <w:rPr>
          <w:i/>
        </w:rPr>
        <w:t xml:space="preserve"> Il</w:t>
      </w:r>
      <w:r w:rsidRPr="00E41935">
        <w:t>.</w:t>
      </w:r>
      <w:r>
        <w:t xml:space="preserve"> 1.316-318</w:t>
      </w:r>
    </w:p>
  </w:footnote>
  <w:footnote w:id="128">
    <w:p w14:paraId="4ADB3B7A" w14:textId="1D7310EF" w:rsidR="001D6B8A" w:rsidRDefault="001D6B8A">
      <w:pPr>
        <w:pStyle w:val="FootnoteText"/>
      </w:pPr>
      <w:r>
        <w:rPr>
          <w:rStyle w:val="FootnoteReference"/>
        </w:rPr>
        <w:footnoteRef/>
      </w:r>
      <w:r>
        <w:t xml:space="preserve"> </w:t>
      </w:r>
      <w:proofErr w:type="spellStart"/>
      <w:r>
        <w:t>Zanker</w:t>
      </w:r>
      <w:proofErr w:type="spellEnd"/>
      <w:r>
        <w:t xml:space="preserve"> 1996: 6</w:t>
      </w:r>
    </w:p>
  </w:footnote>
  <w:footnote w:id="129">
    <w:p w14:paraId="7E065942" w14:textId="133E05C8" w:rsidR="00F43A2B" w:rsidRDefault="00F43A2B">
      <w:pPr>
        <w:pStyle w:val="FootnoteText"/>
      </w:pPr>
      <w:r>
        <w:rPr>
          <w:rStyle w:val="FootnoteReference"/>
        </w:rPr>
        <w:footnoteRef/>
      </w:r>
      <w:r>
        <w:t xml:space="preserve"> </w:t>
      </w:r>
      <w:proofErr w:type="spellStart"/>
      <w:r w:rsidRPr="00F43A2B">
        <w:t>Hom</w:t>
      </w:r>
      <w:proofErr w:type="spellEnd"/>
      <w:r w:rsidRPr="00F43A2B">
        <w:t>.</w:t>
      </w:r>
      <w:r w:rsidRPr="00F43A2B">
        <w:rPr>
          <w:i/>
        </w:rPr>
        <w:t xml:space="preserve"> Il</w:t>
      </w:r>
      <w:r w:rsidRPr="00F43A2B">
        <w:t>.</w:t>
      </w:r>
      <w:r>
        <w:t xml:space="preserve"> 4. 149-182</w:t>
      </w:r>
    </w:p>
  </w:footnote>
  <w:footnote w:id="130">
    <w:p w14:paraId="050AB92C" w14:textId="46F55381" w:rsidR="0054406E" w:rsidRDefault="0054406E">
      <w:pPr>
        <w:pStyle w:val="FootnoteText"/>
      </w:pPr>
      <w:r>
        <w:rPr>
          <w:rStyle w:val="FootnoteReference"/>
        </w:rPr>
        <w:footnoteRef/>
      </w:r>
      <w:r>
        <w:t xml:space="preserve"> </w:t>
      </w:r>
      <w:proofErr w:type="spellStart"/>
      <w:r w:rsidRPr="0054406E">
        <w:t>Hom</w:t>
      </w:r>
      <w:proofErr w:type="spellEnd"/>
      <w:r w:rsidRPr="0054406E">
        <w:t>.</w:t>
      </w:r>
      <w:r w:rsidRPr="0054406E">
        <w:rPr>
          <w:i/>
        </w:rPr>
        <w:t xml:space="preserve"> Il</w:t>
      </w:r>
      <w:r w:rsidRPr="0054406E">
        <w:t>.</w:t>
      </w:r>
      <w:r>
        <w:t xml:space="preserve"> 300</w:t>
      </w:r>
    </w:p>
  </w:footnote>
  <w:footnote w:id="131">
    <w:p w14:paraId="21BF8896" w14:textId="77777777" w:rsidR="004067A5" w:rsidRDefault="004067A5" w:rsidP="004067A5">
      <w:pPr>
        <w:pStyle w:val="FootnoteText"/>
      </w:pPr>
      <w:r>
        <w:rPr>
          <w:rStyle w:val="FootnoteReference"/>
        </w:rPr>
        <w:footnoteRef/>
      </w:r>
      <w:r>
        <w:t xml:space="preserve"> Owen 1946: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944"/>
    <w:rsid w:val="000048F6"/>
    <w:rsid w:val="00005D8A"/>
    <w:rsid w:val="00006CE9"/>
    <w:rsid w:val="00010436"/>
    <w:rsid w:val="00020789"/>
    <w:rsid w:val="00024411"/>
    <w:rsid w:val="0002536D"/>
    <w:rsid w:val="000348FC"/>
    <w:rsid w:val="000468D5"/>
    <w:rsid w:val="000551F5"/>
    <w:rsid w:val="00084203"/>
    <w:rsid w:val="000926BA"/>
    <w:rsid w:val="00094A3C"/>
    <w:rsid w:val="000A2CB7"/>
    <w:rsid w:val="000B26B7"/>
    <w:rsid w:val="000C59F9"/>
    <w:rsid w:val="000E5AF4"/>
    <w:rsid w:val="000F518E"/>
    <w:rsid w:val="00105DC3"/>
    <w:rsid w:val="00121343"/>
    <w:rsid w:val="001259C4"/>
    <w:rsid w:val="0013241C"/>
    <w:rsid w:val="0014273C"/>
    <w:rsid w:val="0016790B"/>
    <w:rsid w:val="001A37B0"/>
    <w:rsid w:val="001B0906"/>
    <w:rsid w:val="001B4463"/>
    <w:rsid w:val="001B6A31"/>
    <w:rsid w:val="001B6D46"/>
    <w:rsid w:val="001C3CCC"/>
    <w:rsid w:val="001C4DE0"/>
    <w:rsid w:val="001C5376"/>
    <w:rsid w:val="001C775E"/>
    <w:rsid w:val="001C7C80"/>
    <w:rsid w:val="001D2AAF"/>
    <w:rsid w:val="001D6B8A"/>
    <w:rsid w:val="001F500E"/>
    <w:rsid w:val="00212400"/>
    <w:rsid w:val="00216359"/>
    <w:rsid w:val="0022699E"/>
    <w:rsid w:val="00231E91"/>
    <w:rsid w:val="00255039"/>
    <w:rsid w:val="00265F0C"/>
    <w:rsid w:val="002741A7"/>
    <w:rsid w:val="002818B8"/>
    <w:rsid w:val="002B2155"/>
    <w:rsid w:val="002D5544"/>
    <w:rsid w:val="002F0F5D"/>
    <w:rsid w:val="003002FD"/>
    <w:rsid w:val="00321273"/>
    <w:rsid w:val="00352160"/>
    <w:rsid w:val="00356996"/>
    <w:rsid w:val="0039031F"/>
    <w:rsid w:val="003A0F53"/>
    <w:rsid w:val="003B3E35"/>
    <w:rsid w:val="003B7250"/>
    <w:rsid w:val="003C0873"/>
    <w:rsid w:val="003D573A"/>
    <w:rsid w:val="003D6C32"/>
    <w:rsid w:val="00400387"/>
    <w:rsid w:val="004067A5"/>
    <w:rsid w:val="00412C05"/>
    <w:rsid w:val="004255EC"/>
    <w:rsid w:val="00426227"/>
    <w:rsid w:val="004401EB"/>
    <w:rsid w:val="0044204B"/>
    <w:rsid w:val="00461056"/>
    <w:rsid w:val="004627ED"/>
    <w:rsid w:val="00480BA7"/>
    <w:rsid w:val="00492DA9"/>
    <w:rsid w:val="004A147D"/>
    <w:rsid w:val="004B24D3"/>
    <w:rsid w:val="004D4E80"/>
    <w:rsid w:val="004E52F2"/>
    <w:rsid w:val="004E6D3B"/>
    <w:rsid w:val="004F7403"/>
    <w:rsid w:val="00501BA5"/>
    <w:rsid w:val="005024C1"/>
    <w:rsid w:val="00536A33"/>
    <w:rsid w:val="0054406E"/>
    <w:rsid w:val="00550C95"/>
    <w:rsid w:val="00554914"/>
    <w:rsid w:val="005566AD"/>
    <w:rsid w:val="00560F6D"/>
    <w:rsid w:val="005770FB"/>
    <w:rsid w:val="0058029D"/>
    <w:rsid w:val="00584AAD"/>
    <w:rsid w:val="005873FB"/>
    <w:rsid w:val="005948C2"/>
    <w:rsid w:val="005A2C05"/>
    <w:rsid w:val="005C21D4"/>
    <w:rsid w:val="005C2DD0"/>
    <w:rsid w:val="005C4256"/>
    <w:rsid w:val="005C6A8D"/>
    <w:rsid w:val="005D1776"/>
    <w:rsid w:val="005D3418"/>
    <w:rsid w:val="006132C9"/>
    <w:rsid w:val="006179D8"/>
    <w:rsid w:val="0062167E"/>
    <w:rsid w:val="00622521"/>
    <w:rsid w:val="006246B3"/>
    <w:rsid w:val="00650ABE"/>
    <w:rsid w:val="00657BBE"/>
    <w:rsid w:val="0066370E"/>
    <w:rsid w:val="00673888"/>
    <w:rsid w:val="006857BA"/>
    <w:rsid w:val="00696CF8"/>
    <w:rsid w:val="00697E68"/>
    <w:rsid w:val="006B59E2"/>
    <w:rsid w:val="006D5F41"/>
    <w:rsid w:val="006E0D28"/>
    <w:rsid w:val="006E170A"/>
    <w:rsid w:val="006F5B26"/>
    <w:rsid w:val="006F64D3"/>
    <w:rsid w:val="007043B1"/>
    <w:rsid w:val="0070554C"/>
    <w:rsid w:val="0070732D"/>
    <w:rsid w:val="00711FD1"/>
    <w:rsid w:val="00724965"/>
    <w:rsid w:val="00727D0D"/>
    <w:rsid w:val="0073522B"/>
    <w:rsid w:val="00746D91"/>
    <w:rsid w:val="00760D30"/>
    <w:rsid w:val="00770F41"/>
    <w:rsid w:val="007743BA"/>
    <w:rsid w:val="00775711"/>
    <w:rsid w:val="00781544"/>
    <w:rsid w:val="0078359D"/>
    <w:rsid w:val="007915E1"/>
    <w:rsid w:val="007A2935"/>
    <w:rsid w:val="007A63E4"/>
    <w:rsid w:val="007B58D7"/>
    <w:rsid w:val="007B72FD"/>
    <w:rsid w:val="007D6498"/>
    <w:rsid w:val="007E6E20"/>
    <w:rsid w:val="007F34C2"/>
    <w:rsid w:val="00800D17"/>
    <w:rsid w:val="00812ED4"/>
    <w:rsid w:val="00825C5B"/>
    <w:rsid w:val="0083421F"/>
    <w:rsid w:val="00834877"/>
    <w:rsid w:val="00843629"/>
    <w:rsid w:val="008510D9"/>
    <w:rsid w:val="008511C3"/>
    <w:rsid w:val="00881880"/>
    <w:rsid w:val="008846E3"/>
    <w:rsid w:val="008B4BE8"/>
    <w:rsid w:val="008B4C64"/>
    <w:rsid w:val="008C5435"/>
    <w:rsid w:val="008C5AD1"/>
    <w:rsid w:val="008E05D9"/>
    <w:rsid w:val="008E5AC4"/>
    <w:rsid w:val="008E744C"/>
    <w:rsid w:val="009060AB"/>
    <w:rsid w:val="00911F6B"/>
    <w:rsid w:val="00917BC0"/>
    <w:rsid w:val="00946073"/>
    <w:rsid w:val="009550CA"/>
    <w:rsid w:val="00956E93"/>
    <w:rsid w:val="00965DF1"/>
    <w:rsid w:val="009705F8"/>
    <w:rsid w:val="00982480"/>
    <w:rsid w:val="009975BF"/>
    <w:rsid w:val="009B2DC5"/>
    <w:rsid w:val="009B7254"/>
    <w:rsid w:val="009B7634"/>
    <w:rsid w:val="009C3A37"/>
    <w:rsid w:val="009C4E40"/>
    <w:rsid w:val="009C5A7B"/>
    <w:rsid w:val="009C79A5"/>
    <w:rsid w:val="009C7A6B"/>
    <w:rsid w:val="009D1314"/>
    <w:rsid w:val="009D1DE8"/>
    <w:rsid w:val="009E0EDF"/>
    <w:rsid w:val="009E777F"/>
    <w:rsid w:val="009F5310"/>
    <w:rsid w:val="00A06C40"/>
    <w:rsid w:val="00A11F1A"/>
    <w:rsid w:val="00A1549B"/>
    <w:rsid w:val="00A33C56"/>
    <w:rsid w:val="00A4022A"/>
    <w:rsid w:val="00A44627"/>
    <w:rsid w:val="00A52CB8"/>
    <w:rsid w:val="00A66867"/>
    <w:rsid w:val="00A70A7D"/>
    <w:rsid w:val="00A70B38"/>
    <w:rsid w:val="00A77A6C"/>
    <w:rsid w:val="00A8296D"/>
    <w:rsid w:val="00A85ACD"/>
    <w:rsid w:val="00A92CEF"/>
    <w:rsid w:val="00AA413E"/>
    <w:rsid w:val="00AB265E"/>
    <w:rsid w:val="00AB40EE"/>
    <w:rsid w:val="00AC095B"/>
    <w:rsid w:val="00AC46B2"/>
    <w:rsid w:val="00AD19F1"/>
    <w:rsid w:val="00B122E7"/>
    <w:rsid w:val="00B1545E"/>
    <w:rsid w:val="00B20A94"/>
    <w:rsid w:val="00B27ECD"/>
    <w:rsid w:val="00B302AF"/>
    <w:rsid w:val="00B551EF"/>
    <w:rsid w:val="00B568FB"/>
    <w:rsid w:val="00B92D45"/>
    <w:rsid w:val="00B9515A"/>
    <w:rsid w:val="00BA2FA5"/>
    <w:rsid w:val="00BA7B9D"/>
    <w:rsid w:val="00BB20B5"/>
    <w:rsid w:val="00BC1315"/>
    <w:rsid w:val="00BC521E"/>
    <w:rsid w:val="00BE2DA5"/>
    <w:rsid w:val="00BF666D"/>
    <w:rsid w:val="00C00C54"/>
    <w:rsid w:val="00C13498"/>
    <w:rsid w:val="00C14AA5"/>
    <w:rsid w:val="00C36624"/>
    <w:rsid w:val="00C543B3"/>
    <w:rsid w:val="00C549E7"/>
    <w:rsid w:val="00C64963"/>
    <w:rsid w:val="00C83898"/>
    <w:rsid w:val="00C92ACF"/>
    <w:rsid w:val="00CA0A94"/>
    <w:rsid w:val="00CA192D"/>
    <w:rsid w:val="00CA33BA"/>
    <w:rsid w:val="00CB0115"/>
    <w:rsid w:val="00CB6F8B"/>
    <w:rsid w:val="00CC09D8"/>
    <w:rsid w:val="00CC418A"/>
    <w:rsid w:val="00CC61C9"/>
    <w:rsid w:val="00CC69D8"/>
    <w:rsid w:val="00CE2021"/>
    <w:rsid w:val="00CF6AD0"/>
    <w:rsid w:val="00CF7436"/>
    <w:rsid w:val="00D008BA"/>
    <w:rsid w:val="00D00FFD"/>
    <w:rsid w:val="00D210FF"/>
    <w:rsid w:val="00D221B8"/>
    <w:rsid w:val="00D31107"/>
    <w:rsid w:val="00D31226"/>
    <w:rsid w:val="00D34D42"/>
    <w:rsid w:val="00D400BD"/>
    <w:rsid w:val="00D43806"/>
    <w:rsid w:val="00D4412C"/>
    <w:rsid w:val="00D558BD"/>
    <w:rsid w:val="00D57C6A"/>
    <w:rsid w:val="00D64598"/>
    <w:rsid w:val="00D67D42"/>
    <w:rsid w:val="00D80DED"/>
    <w:rsid w:val="00D867C2"/>
    <w:rsid w:val="00DA6391"/>
    <w:rsid w:val="00DA6A74"/>
    <w:rsid w:val="00DA7ADB"/>
    <w:rsid w:val="00DB4F96"/>
    <w:rsid w:val="00DD0DD1"/>
    <w:rsid w:val="00DD1F0D"/>
    <w:rsid w:val="00E033D4"/>
    <w:rsid w:val="00E068C6"/>
    <w:rsid w:val="00E06944"/>
    <w:rsid w:val="00E1134D"/>
    <w:rsid w:val="00E11BAA"/>
    <w:rsid w:val="00E26052"/>
    <w:rsid w:val="00E31A2C"/>
    <w:rsid w:val="00E41935"/>
    <w:rsid w:val="00E5409D"/>
    <w:rsid w:val="00E54DA1"/>
    <w:rsid w:val="00E64D49"/>
    <w:rsid w:val="00E67398"/>
    <w:rsid w:val="00E7600C"/>
    <w:rsid w:val="00E76F5B"/>
    <w:rsid w:val="00E85DD0"/>
    <w:rsid w:val="00E92369"/>
    <w:rsid w:val="00EA1099"/>
    <w:rsid w:val="00EC65A2"/>
    <w:rsid w:val="00EC6D61"/>
    <w:rsid w:val="00EC7561"/>
    <w:rsid w:val="00EE300E"/>
    <w:rsid w:val="00EF3E2B"/>
    <w:rsid w:val="00F06E3E"/>
    <w:rsid w:val="00F157E3"/>
    <w:rsid w:val="00F373D7"/>
    <w:rsid w:val="00F41FD5"/>
    <w:rsid w:val="00F43A2B"/>
    <w:rsid w:val="00F5591E"/>
    <w:rsid w:val="00F61323"/>
    <w:rsid w:val="00F70689"/>
    <w:rsid w:val="00F74F9F"/>
    <w:rsid w:val="00F80297"/>
    <w:rsid w:val="00F929C2"/>
    <w:rsid w:val="00FA7E7E"/>
    <w:rsid w:val="00FD6062"/>
    <w:rsid w:val="00FE3A97"/>
    <w:rsid w:val="00FE6396"/>
    <w:rsid w:val="00FF2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DC6BC"/>
  <w15:chartTrackingRefBased/>
  <w15:docId w15:val="{3859CA44-B2D3-473E-B09D-47A4D15F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944"/>
  </w:style>
  <w:style w:type="paragraph" w:styleId="Footer">
    <w:name w:val="footer"/>
    <w:basedOn w:val="Normal"/>
    <w:link w:val="FooterChar"/>
    <w:uiPriority w:val="99"/>
    <w:unhideWhenUsed/>
    <w:rsid w:val="00E06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944"/>
  </w:style>
  <w:style w:type="paragraph" w:styleId="FootnoteText">
    <w:name w:val="footnote text"/>
    <w:basedOn w:val="Normal"/>
    <w:link w:val="FootnoteTextChar"/>
    <w:uiPriority w:val="99"/>
    <w:semiHidden/>
    <w:unhideWhenUsed/>
    <w:rsid w:val="00663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70E"/>
    <w:rPr>
      <w:sz w:val="20"/>
      <w:szCs w:val="20"/>
    </w:rPr>
  </w:style>
  <w:style w:type="character" w:styleId="FootnoteReference">
    <w:name w:val="footnote reference"/>
    <w:basedOn w:val="DefaultParagraphFont"/>
    <w:uiPriority w:val="99"/>
    <w:semiHidden/>
    <w:unhideWhenUsed/>
    <w:rsid w:val="0066370E"/>
    <w:rPr>
      <w:vertAlign w:val="superscript"/>
    </w:rPr>
  </w:style>
  <w:style w:type="character" w:styleId="CommentReference">
    <w:name w:val="annotation reference"/>
    <w:basedOn w:val="DefaultParagraphFont"/>
    <w:uiPriority w:val="99"/>
    <w:semiHidden/>
    <w:unhideWhenUsed/>
    <w:rsid w:val="00CA192D"/>
    <w:rPr>
      <w:sz w:val="16"/>
      <w:szCs w:val="16"/>
    </w:rPr>
  </w:style>
  <w:style w:type="paragraph" w:styleId="CommentText">
    <w:name w:val="annotation text"/>
    <w:basedOn w:val="Normal"/>
    <w:link w:val="CommentTextChar"/>
    <w:uiPriority w:val="99"/>
    <w:semiHidden/>
    <w:unhideWhenUsed/>
    <w:rsid w:val="00CA192D"/>
    <w:pPr>
      <w:spacing w:line="240" w:lineRule="auto"/>
    </w:pPr>
    <w:rPr>
      <w:sz w:val="20"/>
      <w:szCs w:val="20"/>
    </w:rPr>
  </w:style>
  <w:style w:type="character" w:customStyle="1" w:styleId="CommentTextChar">
    <w:name w:val="Comment Text Char"/>
    <w:basedOn w:val="DefaultParagraphFont"/>
    <w:link w:val="CommentText"/>
    <w:uiPriority w:val="99"/>
    <w:semiHidden/>
    <w:rsid w:val="00CA192D"/>
    <w:rPr>
      <w:sz w:val="20"/>
      <w:szCs w:val="20"/>
    </w:rPr>
  </w:style>
  <w:style w:type="paragraph" w:styleId="CommentSubject">
    <w:name w:val="annotation subject"/>
    <w:basedOn w:val="CommentText"/>
    <w:next w:val="CommentText"/>
    <w:link w:val="CommentSubjectChar"/>
    <w:uiPriority w:val="99"/>
    <w:semiHidden/>
    <w:unhideWhenUsed/>
    <w:rsid w:val="00CA192D"/>
    <w:rPr>
      <w:b/>
      <w:bCs/>
    </w:rPr>
  </w:style>
  <w:style w:type="character" w:customStyle="1" w:styleId="CommentSubjectChar">
    <w:name w:val="Comment Subject Char"/>
    <w:basedOn w:val="CommentTextChar"/>
    <w:link w:val="CommentSubject"/>
    <w:uiPriority w:val="99"/>
    <w:semiHidden/>
    <w:rsid w:val="00CA192D"/>
    <w:rPr>
      <w:b/>
      <w:bCs/>
      <w:sz w:val="20"/>
      <w:szCs w:val="20"/>
    </w:rPr>
  </w:style>
  <w:style w:type="paragraph" w:styleId="BalloonText">
    <w:name w:val="Balloon Text"/>
    <w:basedOn w:val="Normal"/>
    <w:link w:val="BalloonTextChar"/>
    <w:uiPriority w:val="99"/>
    <w:semiHidden/>
    <w:unhideWhenUsed/>
    <w:rsid w:val="00CA19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9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AE507-D5FB-4148-BE28-5C43218D7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8</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Archer</dc:creator>
  <cp:keywords/>
  <dc:description/>
  <cp:lastModifiedBy>Stacy Archer</cp:lastModifiedBy>
  <cp:revision>277</cp:revision>
  <dcterms:created xsi:type="dcterms:W3CDTF">2018-04-29T12:05:00Z</dcterms:created>
  <dcterms:modified xsi:type="dcterms:W3CDTF">2018-05-04T12:32:00Z</dcterms:modified>
</cp:coreProperties>
</file>