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6FB" w:rsidRDefault="001816FB" w:rsidP="001816FB">
      <w:pPr>
        <w:jc w:val="center"/>
        <w:rPr>
          <w:rFonts w:ascii="Arial" w:hAnsi="Arial" w:cs="Arial"/>
          <w:b/>
          <w:bCs/>
          <w:u w:val="single"/>
        </w:rPr>
      </w:pPr>
      <w:r>
        <w:rPr>
          <w:rFonts w:ascii="Arial" w:hAnsi="Arial" w:cs="Arial"/>
          <w:b/>
          <w:bCs/>
          <w:u w:val="single"/>
        </w:rPr>
        <w:t>RECYCLE PLC</w:t>
      </w:r>
    </w:p>
    <w:p w:rsidR="001816FB" w:rsidRDefault="001816FB" w:rsidP="001816FB">
      <w:pPr>
        <w:jc w:val="center"/>
        <w:rPr>
          <w:rFonts w:ascii="Arial" w:hAnsi="Arial" w:cs="Arial"/>
          <w:b/>
          <w:bCs/>
          <w:u w:val="single"/>
        </w:rPr>
      </w:pPr>
    </w:p>
    <w:p w:rsidR="001816FB" w:rsidRPr="00802A58" w:rsidRDefault="001816FB" w:rsidP="001816FB">
      <w:pPr>
        <w:jc w:val="center"/>
        <w:rPr>
          <w:rFonts w:ascii="Arial" w:hAnsi="Arial" w:cs="Arial"/>
          <w:b/>
          <w:bCs/>
          <w:u w:val="single"/>
        </w:rPr>
      </w:pPr>
      <w:r w:rsidRPr="00802A58">
        <w:rPr>
          <w:rFonts w:ascii="Arial" w:hAnsi="Arial" w:cs="Arial"/>
          <w:b/>
          <w:bCs/>
          <w:u w:val="single"/>
        </w:rPr>
        <w:t>MEMORANDUM</w:t>
      </w:r>
    </w:p>
    <w:p w:rsidR="001816FB" w:rsidRDefault="001816FB" w:rsidP="001816FB">
      <w:pPr>
        <w:rPr>
          <w:rFonts w:ascii="Arial" w:hAnsi="Arial" w:cs="Arial"/>
        </w:rPr>
      </w:pPr>
    </w:p>
    <w:p w:rsidR="001816FB" w:rsidRDefault="001816FB" w:rsidP="001816FB">
      <w:pPr>
        <w:rPr>
          <w:rFonts w:ascii="Arial" w:hAnsi="Arial" w:cs="Arial"/>
        </w:rPr>
      </w:pPr>
      <w:r w:rsidRPr="00802A58">
        <w:rPr>
          <w:rFonts w:ascii="Arial" w:hAnsi="Arial" w:cs="Arial"/>
          <w:b/>
          <w:u w:val="single"/>
        </w:rPr>
        <w:t>TO</w:t>
      </w:r>
      <w:r>
        <w:rPr>
          <w:rFonts w:ascii="Arial" w:hAnsi="Arial" w:cs="Arial"/>
        </w:rPr>
        <w:t>:</w:t>
      </w:r>
      <w:r>
        <w:rPr>
          <w:rFonts w:ascii="Arial" w:hAnsi="Arial" w:cs="Arial"/>
        </w:rPr>
        <w:tab/>
        <w:t xml:space="preserve">            </w:t>
      </w:r>
      <w:r w:rsidRPr="00802A58">
        <w:rPr>
          <w:rFonts w:ascii="Arial" w:hAnsi="Arial" w:cs="Arial"/>
          <w:b/>
        </w:rPr>
        <w:t>A</w:t>
      </w:r>
    </w:p>
    <w:p w:rsidR="001816FB" w:rsidRDefault="001816FB" w:rsidP="001816FB">
      <w:pPr>
        <w:rPr>
          <w:rFonts w:ascii="Arial" w:hAnsi="Arial" w:cs="Arial"/>
        </w:rPr>
      </w:pPr>
    </w:p>
    <w:p w:rsidR="001816FB" w:rsidRDefault="001816FB" w:rsidP="001816FB">
      <w:pPr>
        <w:rPr>
          <w:rFonts w:ascii="Arial" w:hAnsi="Arial" w:cs="Arial"/>
        </w:rPr>
      </w:pPr>
      <w:r w:rsidRPr="00802A58">
        <w:rPr>
          <w:rFonts w:ascii="Arial" w:hAnsi="Arial" w:cs="Arial"/>
          <w:b/>
          <w:u w:val="single"/>
        </w:rPr>
        <w:t>FROM</w:t>
      </w:r>
      <w:r>
        <w:rPr>
          <w:rFonts w:ascii="Arial" w:hAnsi="Arial" w:cs="Arial"/>
        </w:rPr>
        <w:t>:</w:t>
      </w:r>
      <w:r>
        <w:rPr>
          <w:rFonts w:ascii="Arial" w:hAnsi="Arial" w:cs="Arial"/>
        </w:rPr>
        <w:tab/>
      </w:r>
      <w:proofErr w:type="gramStart"/>
      <w:r w:rsidRPr="00802A58">
        <w:rPr>
          <w:rFonts w:ascii="Arial" w:hAnsi="Arial" w:cs="Arial"/>
          <w:b/>
        </w:rPr>
        <w:t>An  MBA</w:t>
      </w:r>
      <w:proofErr w:type="gramEnd"/>
    </w:p>
    <w:p w:rsidR="001816FB" w:rsidRDefault="001816FB" w:rsidP="001816FB">
      <w:pPr>
        <w:rPr>
          <w:rFonts w:ascii="Arial" w:hAnsi="Arial" w:cs="Arial"/>
        </w:rPr>
      </w:pPr>
    </w:p>
    <w:p w:rsidR="001816FB" w:rsidRDefault="001816FB" w:rsidP="001816FB">
      <w:pPr>
        <w:rPr>
          <w:rFonts w:ascii="Arial" w:hAnsi="Arial" w:cs="Arial"/>
        </w:rPr>
      </w:pPr>
      <w:r w:rsidRPr="00802A58">
        <w:rPr>
          <w:rFonts w:ascii="Arial" w:hAnsi="Arial" w:cs="Arial"/>
          <w:b/>
          <w:u w:val="single"/>
        </w:rPr>
        <w:t>DATE:</w:t>
      </w:r>
      <w:r w:rsidR="00AB0394">
        <w:rPr>
          <w:rFonts w:ascii="Arial" w:hAnsi="Arial" w:cs="Arial"/>
          <w:b/>
        </w:rPr>
        <w:tab/>
        <w:t>8</w:t>
      </w:r>
      <w:r w:rsidRPr="00802A58">
        <w:rPr>
          <w:rFonts w:ascii="Arial" w:hAnsi="Arial" w:cs="Arial"/>
          <w:b/>
        </w:rPr>
        <w:t xml:space="preserve"> November 20</w:t>
      </w:r>
      <w:r w:rsidR="00F776C1">
        <w:rPr>
          <w:rFonts w:ascii="Arial" w:hAnsi="Arial" w:cs="Arial"/>
          <w:b/>
        </w:rPr>
        <w:t>1</w:t>
      </w:r>
      <w:r w:rsidR="00AB0394">
        <w:rPr>
          <w:rFonts w:ascii="Arial" w:hAnsi="Arial" w:cs="Arial"/>
          <w:b/>
        </w:rPr>
        <w:t>7</w:t>
      </w:r>
      <w:r>
        <w:rPr>
          <w:rFonts w:ascii="Arial" w:hAnsi="Arial" w:cs="Arial"/>
        </w:rPr>
        <w:t xml:space="preserve"> </w:t>
      </w:r>
    </w:p>
    <w:p w:rsidR="001816FB" w:rsidRDefault="001816FB" w:rsidP="001816FB">
      <w:pPr>
        <w:rPr>
          <w:rFonts w:ascii="Arial" w:hAnsi="Arial" w:cs="Arial"/>
        </w:rPr>
      </w:pPr>
    </w:p>
    <w:p w:rsidR="001816FB" w:rsidRPr="00802A58" w:rsidRDefault="001816FB" w:rsidP="001816FB">
      <w:pPr>
        <w:pStyle w:val="BodyTextIndent"/>
        <w:rPr>
          <w:b/>
        </w:rPr>
      </w:pPr>
      <w:r w:rsidRPr="00802A58">
        <w:rPr>
          <w:b/>
          <w:u w:val="single"/>
        </w:rPr>
        <w:t>SUBJECT</w:t>
      </w:r>
      <w:r w:rsidRPr="00802A58">
        <w:rPr>
          <w:b/>
        </w:rPr>
        <w:t>:</w:t>
      </w:r>
      <w:r w:rsidRPr="00802A58">
        <w:rPr>
          <w:b/>
        </w:rPr>
        <w:tab/>
      </w:r>
      <w:r w:rsidRPr="00802A58">
        <w:rPr>
          <w:b/>
          <w:u w:val="single"/>
        </w:rPr>
        <w:t>Financial performance of Recycle plc over the two years ended 30 September 20</w:t>
      </w:r>
      <w:r w:rsidR="00E364E2">
        <w:rPr>
          <w:b/>
          <w:u w:val="single"/>
        </w:rPr>
        <w:t>1</w:t>
      </w:r>
      <w:r w:rsidR="00F776C1">
        <w:rPr>
          <w:b/>
          <w:u w:val="single"/>
        </w:rPr>
        <w:t>6</w:t>
      </w:r>
    </w:p>
    <w:p w:rsidR="001816FB" w:rsidRDefault="001816FB" w:rsidP="001816FB">
      <w:pPr>
        <w:pStyle w:val="BodyTextIndent"/>
      </w:pPr>
    </w:p>
    <w:p w:rsidR="00EF6BA3" w:rsidRPr="00AB0394" w:rsidRDefault="001816FB" w:rsidP="001816FB">
      <w:pPr>
        <w:pStyle w:val="BodyTextIndent"/>
        <w:ind w:left="0" w:firstLine="0"/>
        <w:jc w:val="both"/>
      </w:pPr>
      <w:r w:rsidRPr="00AB0394">
        <w:t xml:space="preserve">An analysis of the financial statements of Recycle plc shows </w:t>
      </w:r>
      <w:r w:rsidRPr="00AB0394">
        <w:rPr>
          <w:bCs/>
        </w:rPr>
        <w:t>turnover</w:t>
      </w:r>
      <w:r w:rsidRPr="00AB0394">
        <w:t xml:space="preserve"> in 20</w:t>
      </w:r>
      <w:r w:rsidR="00F776C1" w:rsidRPr="00AB0394">
        <w:t>16</w:t>
      </w:r>
      <w:r w:rsidRPr="00AB0394">
        <w:t xml:space="preserve"> up by 7%.  However, </w:t>
      </w:r>
      <w:r w:rsidRPr="00AB0394">
        <w:rPr>
          <w:bCs/>
        </w:rPr>
        <w:t>cost of sales</w:t>
      </w:r>
      <w:r w:rsidRPr="00AB0394">
        <w:t xml:space="preserve"> over the two year period has </w:t>
      </w:r>
      <w:r w:rsidRPr="00AB0394">
        <w:rPr>
          <w:bCs/>
        </w:rPr>
        <w:t>increased</w:t>
      </w:r>
      <w:r w:rsidRPr="00AB0394">
        <w:t xml:space="preserve"> by 23% resulting in gross p</w:t>
      </w:r>
      <w:r w:rsidR="00F776C1" w:rsidRPr="00AB0394">
        <w:t>rofit falling from 53.5% in 2015</w:t>
      </w:r>
      <w:r w:rsidRPr="00AB0394">
        <w:t xml:space="preserve"> to 46.7% in 20</w:t>
      </w:r>
      <w:r w:rsidR="00F776C1" w:rsidRPr="00AB0394">
        <w:t>16</w:t>
      </w:r>
      <w:r w:rsidRPr="00AB0394">
        <w:t>.</w:t>
      </w:r>
      <w:r w:rsidR="00AB0394" w:rsidRPr="00AB0394">
        <w:t xml:space="preserve"> </w:t>
      </w:r>
      <w:r w:rsidR="00EF6BA3">
        <w:t xml:space="preserve"> </w:t>
      </w:r>
      <w:r w:rsidRPr="00AB0394">
        <w:t xml:space="preserve">Added to this </w:t>
      </w:r>
      <w:r w:rsidRPr="00AB0394">
        <w:rPr>
          <w:bCs/>
        </w:rPr>
        <w:t>operating expenses</w:t>
      </w:r>
      <w:r w:rsidRPr="00AB0394">
        <w:t xml:space="preserve"> have </w:t>
      </w:r>
      <w:r w:rsidRPr="00AB0394">
        <w:rPr>
          <w:bCs/>
        </w:rPr>
        <w:t>increased</w:t>
      </w:r>
      <w:r w:rsidRPr="00AB0394">
        <w:t xml:space="preserve"> by a third in 20</w:t>
      </w:r>
      <w:r w:rsidR="00F776C1" w:rsidRPr="00AB0394">
        <w:t>16</w:t>
      </w:r>
      <w:r w:rsidR="00EF6BA3">
        <w:t xml:space="preserve"> which is reflected in the fall in net profit margin form 32.1% to 20%</w:t>
      </w:r>
      <w:r w:rsidR="00AB0394">
        <w:t xml:space="preserve">. </w:t>
      </w:r>
      <w:r w:rsidR="00AB0394" w:rsidRPr="00AB0394">
        <w:t xml:space="preserve">The overall fall in profitability is displayed by the fall in return on capital employed which is 15.2% in 2016 as against 23.1% in 2015.  </w:t>
      </w:r>
    </w:p>
    <w:p w:rsidR="001816FB" w:rsidRPr="00AB0394" w:rsidRDefault="001816FB" w:rsidP="001816FB">
      <w:pPr>
        <w:pStyle w:val="BodyTextIndent"/>
        <w:ind w:left="0" w:firstLine="0"/>
        <w:jc w:val="both"/>
      </w:pPr>
    </w:p>
    <w:p w:rsidR="001816FB" w:rsidRDefault="001816FB" w:rsidP="001816FB">
      <w:pPr>
        <w:pStyle w:val="BodyTextIndent"/>
        <w:ind w:left="0" w:firstLine="0"/>
        <w:jc w:val="both"/>
      </w:pPr>
      <w:r w:rsidRPr="00AB0394">
        <w:t xml:space="preserve">There has been a </w:t>
      </w:r>
      <w:r w:rsidRPr="00AB0394">
        <w:rPr>
          <w:bCs/>
        </w:rPr>
        <w:t>decrease in the tax charge</w:t>
      </w:r>
      <w:r w:rsidRPr="00AB0394">
        <w:t xml:space="preserve"> in 20</w:t>
      </w:r>
      <w:r w:rsidR="00F776C1" w:rsidRPr="00AB0394">
        <w:t>16</w:t>
      </w:r>
      <w:r w:rsidRPr="00AB0394">
        <w:t xml:space="preserve"> resulting from the fall in profits but dividends for that year have only been maintained by distributing the bulk of the profit after tax.  </w:t>
      </w:r>
      <w:r w:rsidRPr="00AB0394">
        <w:rPr>
          <w:bCs/>
        </w:rPr>
        <w:t>Retained profits</w:t>
      </w:r>
      <w:r w:rsidRPr="00AB0394">
        <w:t xml:space="preserve"> over the two year period have </w:t>
      </w:r>
      <w:r w:rsidRPr="00AB0394">
        <w:rPr>
          <w:bCs/>
        </w:rPr>
        <w:t>fallen</w:t>
      </w:r>
      <w:r w:rsidRPr="00AB0394">
        <w:t xml:space="preserve"> from €350m to €50m.</w:t>
      </w:r>
    </w:p>
    <w:p w:rsidR="00EF6BA3" w:rsidRDefault="00EF6BA3" w:rsidP="001816FB">
      <w:pPr>
        <w:pStyle w:val="BodyTextIndent"/>
        <w:ind w:left="0" w:firstLine="0"/>
        <w:jc w:val="both"/>
      </w:pPr>
    </w:p>
    <w:p w:rsidR="00EF6BA3" w:rsidRDefault="00EF6BA3" w:rsidP="00EF6BA3">
      <w:pPr>
        <w:pStyle w:val="BodyTextIndent"/>
        <w:ind w:left="0" w:firstLine="0"/>
        <w:jc w:val="both"/>
      </w:pPr>
      <w:r w:rsidRPr="00AB0394">
        <w:t xml:space="preserve">The </w:t>
      </w:r>
      <w:r w:rsidRPr="00AB0394">
        <w:rPr>
          <w:bCs/>
        </w:rPr>
        <w:t>current ratio has fallen</w:t>
      </w:r>
      <w:r w:rsidRPr="00AB0394">
        <w:t xml:space="preserve"> from 1.09 in 2015 to 0.91 in 2016 and the quick ratio from 0.77 in 2015 to 0.62 in 2016, and there are now net current liabilities.  This indicates that the company may experience difficulty in paying its short-term liabilities when they fall due.</w:t>
      </w:r>
    </w:p>
    <w:p w:rsidR="00EF6BA3" w:rsidRDefault="00EF6BA3" w:rsidP="00EF6BA3">
      <w:pPr>
        <w:pStyle w:val="BodyTextIndent"/>
        <w:ind w:left="0" w:firstLine="0"/>
        <w:jc w:val="both"/>
      </w:pPr>
    </w:p>
    <w:p w:rsidR="00EF6BA3" w:rsidRPr="00AB0394" w:rsidRDefault="00EF6BA3" w:rsidP="00EF6BA3">
      <w:pPr>
        <w:pStyle w:val="BodyTextIndent"/>
        <w:ind w:left="0" w:firstLine="0"/>
        <w:jc w:val="both"/>
      </w:pPr>
      <w:r w:rsidRPr="00AB0394">
        <w:t xml:space="preserve">Both </w:t>
      </w:r>
      <w:r>
        <w:rPr>
          <w:bCs/>
        </w:rPr>
        <w:t>stock levels and debtors</w:t>
      </w:r>
      <w:r w:rsidRPr="00AB0394">
        <w:rPr>
          <w:bCs/>
        </w:rPr>
        <w:t xml:space="preserve"> have increased</w:t>
      </w:r>
      <w:r w:rsidRPr="00AB0394">
        <w:t xml:space="preserve"> in 2016 indicating less management control in these areas.  The relevant ratios for 2016 are stock turnover 114 days (</w:t>
      </w:r>
      <w:proofErr w:type="gramStart"/>
      <w:r w:rsidRPr="00AB0394">
        <w:t>2015 :</w:t>
      </w:r>
      <w:proofErr w:type="gramEnd"/>
      <w:r w:rsidRPr="00AB0394">
        <w:t xml:space="preserve"> 98 da</w:t>
      </w:r>
      <w:r>
        <w:t>ys) and debtor days of</w:t>
      </w:r>
      <w:r w:rsidRPr="00AB0394">
        <w:t xml:space="preserve"> 122 days (2015: 104 days).</w:t>
      </w:r>
    </w:p>
    <w:p w:rsidR="00EF6BA3" w:rsidRPr="00AB0394" w:rsidRDefault="00EF6BA3" w:rsidP="00EF6BA3">
      <w:pPr>
        <w:pStyle w:val="BodyTextIndent"/>
        <w:ind w:left="0" w:firstLine="0"/>
        <w:jc w:val="both"/>
      </w:pPr>
    </w:p>
    <w:p w:rsidR="00EF6BA3" w:rsidRPr="00AB0394" w:rsidRDefault="00EF6BA3" w:rsidP="00EF6BA3">
      <w:pPr>
        <w:pStyle w:val="BodyTextIndent"/>
        <w:ind w:left="0" w:firstLine="0"/>
        <w:jc w:val="both"/>
      </w:pPr>
      <w:r w:rsidRPr="00AB0394">
        <w:t xml:space="preserve">The </w:t>
      </w:r>
      <w:r w:rsidRPr="00AB0394">
        <w:rPr>
          <w:bCs/>
        </w:rPr>
        <w:t>bank overdraft has risen steeply</w:t>
      </w:r>
      <w:r w:rsidRPr="00AB0394">
        <w:t xml:space="preserve"> in 2016 and accounts for the increase in interest costs.  The use of overdrafts for the purchase of fixed assets is unwise unless those assets will generate sufficient cash to repay the debt in the short term.</w:t>
      </w:r>
    </w:p>
    <w:p w:rsidR="001816FB" w:rsidRPr="00AB0394" w:rsidRDefault="001816FB" w:rsidP="001816FB">
      <w:pPr>
        <w:pStyle w:val="BodyTextIndent"/>
        <w:ind w:left="0" w:firstLine="0"/>
        <w:jc w:val="both"/>
      </w:pPr>
      <w:r w:rsidRPr="00AB0394">
        <w:t xml:space="preserve">The balance sheets show an </w:t>
      </w:r>
      <w:r w:rsidRPr="00AB0394">
        <w:rPr>
          <w:bCs/>
        </w:rPr>
        <w:t>increase in fixed assets</w:t>
      </w:r>
      <w:r w:rsidRPr="00AB0394">
        <w:t xml:space="preserve"> of €1,500m in 20</w:t>
      </w:r>
      <w:r w:rsidR="00F776C1" w:rsidRPr="00AB0394">
        <w:t>16</w:t>
      </w:r>
      <w:r w:rsidRPr="00AB0394">
        <w:t xml:space="preserve"> €m (4,100 + </w:t>
      </w:r>
      <w:proofErr w:type="gramStart"/>
      <w:r w:rsidRPr="00AB0394">
        <w:t>1,200  -</w:t>
      </w:r>
      <w:proofErr w:type="gramEnd"/>
      <w:r w:rsidRPr="00AB0394">
        <w:t xml:space="preserve"> 3,800).</w:t>
      </w:r>
    </w:p>
    <w:p w:rsidR="001816FB" w:rsidRPr="00AB0394" w:rsidRDefault="001816FB" w:rsidP="001816FB">
      <w:pPr>
        <w:pStyle w:val="BodyTextIndent"/>
        <w:ind w:left="0" w:firstLine="0"/>
        <w:jc w:val="both"/>
      </w:pPr>
    </w:p>
    <w:p w:rsidR="001816FB" w:rsidRPr="00AB0394" w:rsidRDefault="001816FB" w:rsidP="001816FB">
      <w:pPr>
        <w:pStyle w:val="BodyTextIndent"/>
        <w:ind w:left="0" w:firstLine="0"/>
        <w:jc w:val="both"/>
      </w:pPr>
      <w:r w:rsidRPr="00AB0394">
        <w:t xml:space="preserve">There is also the fact that the long-term loans are repayable in two years time.  Presumably the company aims to replace these loans with other long-term finance so allowing the existing loans to be repaid.  However, the company may experience </w:t>
      </w:r>
      <w:r w:rsidRPr="00AB0394">
        <w:rPr>
          <w:bCs/>
        </w:rPr>
        <w:t>difficulty in obtaining additional finance</w:t>
      </w:r>
      <w:r w:rsidRPr="00AB0394">
        <w:t xml:space="preserve"> if the results do not improve.</w:t>
      </w:r>
    </w:p>
    <w:p w:rsidR="001816FB" w:rsidRPr="00AB0394" w:rsidRDefault="001816FB" w:rsidP="001816FB">
      <w:pPr>
        <w:pStyle w:val="BodyTextIndent"/>
        <w:ind w:left="0" w:firstLine="0"/>
        <w:jc w:val="both"/>
      </w:pPr>
    </w:p>
    <w:p w:rsidR="001816FB" w:rsidRPr="00AB0394" w:rsidRDefault="001816FB" w:rsidP="001816FB">
      <w:pPr>
        <w:pStyle w:val="BodyTextIndent"/>
        <w:ind w:left="0" w:firstLine="0"/>
        <w:jc w:val="both"/>
      </w:pPr>
      <w:r w:rsidRPr="00AB0394">
        <w:rPr>
          <w:bCs/>
        </w:rPr>
        <w:t>Gearing</w:t>
      </w:r>
      <w:r w:rsidRPr="00AB0394">
        <w:t xml:space="preserve"> has remained at approximately the </w:t>
      </w:r>
      <w:r w:rsidRPr="00AB0394">
        <w:rPr>
          <w:bCs/>
        </w:rPr>
        <w:t>same level</w:t>
      </w:r>
      <w:r w:rsidR="00EF6BA3">
        <w:t xml:space="preserve"> over the two years.  However, </w:t>
      </w:r>
      <w:r w:rsidRPr="00AB0394">
        <w:t>dividend cover in 20</w:t>
      </w:r>
      <w:r w:rsidR="00F776C1" w:rsidRPr="00AB0394">
        <w:t>16</w:t>
      </w:r>
      <w:r w:rsidRPr="00AB0394">
        <w:t xml:space="preserve"> is 1.25 as </w:t>
      </w:r>
      <w:r w:rsidR="00F776C1" w:rsidRPr="00AB0394">
        <w:t>against 2.75 in 2015</w:t>
      </w:r>
      <w:r w:rsidR="00EF6BA3">
        <w:t xml:space="preserve"> as dividends for 2016</w:t>
      </w:r>
      <w:r w:rsidR="00EF6BA3" w:rsidRPr="00AB0394">
        <w:t xml:space="preserve"> have only been maintained by distributing the bulk of the profit after tax.  </w:t>
      </w:r>
    </w:p>
    <w:p w:rsidR="001816FB" w:rsidRPr="00AB0394" w:rsidRDefault="001816FB" w:rsidP="001816FB">
      <w:pPr>
        <w:pStyle w:val="BodyTextIndent"/>
        <w:ind w:left="0" w:firstLine="0"/>
        <w:jc w:val="both"/>
      </w:pPr>
    </w:p>
    <w:p w:rsidR="001816FB" w:rsidRPr="00AB0394" w:rsidRDefault="001816FB" w:rsidP="001816FB">
      <w:pPr>
        <w:pStyle w:val="BodyTextIndent"/>
        <w:ind w:left="0" w:firstLine="0"/>
        <w:jc w:val="both"/>
      </w:pPr>
      <w:r w:rsidRPr="00AB0394">
        <w:lastRenderedPageBreak/>
        <w:t xml:space="preserve">All these figures indicate a company which </w:t>
      </w:r>
      <w:r w:rsidRPr="00AB0394">
        <w:rPr>
          <w:bCs/>
        </w:rPr>
        <w:t>potentially</w:t>
      </w:r>
      <w:r w:rsidRPr="00AB0394">
        <w:t xml:space="preserve"> has </w:t>
      </w:r>
      <w:r w:rsidRPr="00AB0394">
        <w:rPr>
          <w:bCs/>
        </w:rPr>
        <w:t>serious financial problems</w:t>
      </w:r>
      <w:r w:rsidRPr="00AB0394">
        <w:t>.  Turnover is being maintained and increased to some extent but cost of sales, operating expenses and interest costs are increasing to a much greater extent, eroding profits.  Dividends have been maintained in 20</w:t>
      </w:r>
      <w:r w:rsidR="00F776C1" w:rsidRPr="00AB0394">
        <w:t>16</w:t>
      </w:r>
      <w:r w:rsidRPr="00AB0394">
        <w:t xml:space="preserve"> but only at the expense of almost eliminating retained profits for the year.</w:t>
      </w:r>
    </w:p>
    <w:p w:rsidR="001816FB" w:rsidRPr="00AB0394" w:rsidRDefault="001816FB" w:rsidP="001816FB">
      <w:pPr>
        <w:pStyle w:val="BodyTextIndent"/>
        <w:ind w:left="0" w:firstLine="0"/>
        <w:jc w:val="both"/>
      </w:pPr>
    </w:p>
    <w:p w:rsidR="001816FB" w:rsidRPr="00AB0394" w:rsidRDefault="001816FB" w:rsidP="001816FB">
      <w:pPr>
        <w:pStyle w:val="BodyTextIndent"/>
        <w:ind w:left="0" w:firstLine="0"/>
        <w:jc w:val="both"/>
      </w:pPr>
      <w:r w:rsidRPr="00AB0394">
        <w:t>A large investment in tangible fixed assets in 20</w:t>
      </w:r>
      <w:r w:rsidR="00F776C1" w:rsidRPr="00AB0394">
        <w:t>16</w:t>
      </w:r>
      <w:r w:rsidRPr="00AB0394">
        <w:t xml:space="preserve"> does not seem to have been reflected in a growth in trading or a reduction in costs.  The </w:t>
      </w:r>
      <w:r w:rsidRPr="00AB0394">
        <w:rPr>
          <w:bCs/>
        </w:rPr>
        <w:t>company is relying on short-term finance</w:t>
      </w:r>
      <w:r w:rsidRPr="00AB0394">
        <w:t xml:space="preserve"> but at present would be unable to repay its overdraft without liquidating fixed assets.</w:t>
      </w:r>
    </w:p>
    <w:p w:rsidR="001816FB" w:rsidRDefault="001816FB" w:rsidP="001816FB">
      <w:pPr>
        <w:pStyle w:val="BodyTextIndent"/>
        <w:ind w:left="0" w:firstLine="0"/>
        <w:jc w:val="both"/>
      </w:pPr>
    </w:p>
    <w:p w:rsidR="001816FB" w:rsidRDefault="001816FB" w:rsidP="001816FB">
      <w:pPr>
        <w:pStyle w:val="BodyTextIndent"/>
        <w:ind w:left="0" w:firstLine="0"/>
        <w:jc w:val="both"/>
      </w:pPr>
      <w:proofErr w:type="gramStart"/>
      <w:r w:rsidRPr="00802A58">
        <w:rPr>
          <w:b/>
        </w:rPr>
        <w:t>An MBA</w:t>
      </w:r>
      <w:r>
        <w:t>.</w:t>
      </w:r>
      <w:proofErr w:type="gramEnd"/>
    </w:p>
    <w:p w:rsidR="001816FB" w:rsidRDefault="001816FB" w:rsidP="001816FB">
      <w:pPr>
        <w:pStyle w:val="BodyTextIndent"/>
        <w:ind w:left="0" w:firstLine="0"/>
        <w:jc w:val="both"/>
      </w:pPr>
    </w:p>
    <w:p w:rsidR="001816FB" w:rsidRDefault="001816FB" w:rsidP="001816FB">
      <w:pPr>
        <w:pStyle w:val="BodyTextIndent"/>
        <w:ind w:left="0" w:firstLine="0"/>
        <w:jc w:val="both"/>
      </w:pPr>
    </w:p>
    <w:p w:rsidR="00EF6BA3" w:rsidRDefault="001816FB" w:rsidP="001816FB">
      <w:pPr>
        <w:pStyle w:val="BodyTextIndent"/>
        <w:ind w:left="0" w:firstLine="0"/>
      </w:pPr>
      <w:r>
        <w:t xml:space="preserve">  </w:t>
      </w:r>
    </w:p>
    <w:p w:rsidR="00270F19" w:rsidRDefault="00270F19">
      <w:pPr>
        <w:rPr>
          <w:rFonts w:ascii="Arial" w:hAnsi="Arial" w:cs="Arial"/>
        </w:rPr>
      </w:pPr>
      <w:r>
        <w:br w:type="page"/>
      </w:r>
    </w:p>
    <w:p w:rsidR="00270F19" w:rsidRDefault="00270F19" w:rsidP="00270F19">
      <w:pPr>
        <w:ind w:left="709" w:hanging="709"/>
        <w:jc w:val="right"/>
        <w:rPr>
          <w:rFonts w:ascii="Arial" w:hAnsi="Arial" w:cs="Arial"/>
          <w:u w:val="single"/>
        </w:rPr>
      </w:pPr>
      <w:r>
        <w:rPr>
          <w:rFonts w:ascii="Arial" w:hAnsi="Arial" w:cs="Arial"/>
          <w:u w:val="single"/>
        </w:rPr>
        <w:lastRenderedPageBreak/>
        <w:t>APPENDIX 1</w:t>
      </w:r>
    </w:p>
    <w:p w:rsidR="00270F19" w:rsidRDefault="00270F19" w:rsidP="00270F19">
      <w:pPr>
        <w:ind w:left="709" w:hanging="709"/>
        <w:jc w:val="right"/>
        <w:rPr>
          <w:rFonts w:ascii="Arial" w:hAnsi="Arial" w:cs="Arial"/>
        </w:rPr>
      </w:pPr>
    </w:p>
    <w:p w:rsidR="00270F19" w:rsidRDefault="00270F19" w:rsidP="00270F19">
      <w:pPr>
        <w:ind w:left="709" w:hanging="709"/>
        <w:rPr>
          <w:rFonts w:ascii="Arial" w:hAnsi="Arial" w:cs="Arial"/>
        </w:rPr>
      </w:pPr>
    </w:p>
    <w:tbl>
      <w:tblPr>
        <w:tblW w:w="9183" w:type="dxa"/>
        <w:tblInd w:w="108" w:type="dxa"/>
        <w:tblBorders>
          <w:top w:val="single" w:sz="12" w:space="0" w:color="008000"/>
          <w:left w:val="nil"/>
          <w:bottom w:val="single" w:sz="12" w:space="0" w:color="008000"/>
          <w:right w:val="nil"/>
          <w:insideH w:val="nil"/>
          <w:insideV w:val="nil"/>
        </w:tblBorders>
        <w:tblLook w:val="00BF"/>
      </w:tblPr>
      <w:tblGrid>
        <w:gridCol w:w="4072"/>
        <w:gridCol w:w="1191"/>
        <w:gridCol w:w="1960"/>
        <w:gridCol w:w="1960"/>
      </w:tblGrid>
      <w:tr w:rsidR="00270F19" w:rsidTr="00A8743E">
        <w:tc>
          <w:tcPr>
            <w:tcW w:w="4072" w:type="dxa"/>
            <w:tcBorders>
              <w:bottom w:val="single" w:sz="6" w:space="0" w:color="008000"/>
            </w:tcBorders>
          </w:tcPr>
          <w:p w:rsidR="00270F19" w:rsidRDefault="00270F19" w:rsidP="00A8743E">
            <w:pPr>
              <w:pStyle w:val="Heading3"/>
            </w:pPr>
            <w:r>
              <w:t>Profitability</w:t>
            </w:r>
          </w:p>
        </w:tc>
        <w:tc>
          <w:tcPr>
            <w:tcW w:w="1191" w:type="dxa"/>
            <w:tcBorders>
              <w:bottom w:val="single" w:sz="6" w:space="0" w:color="008000"/>
            </w:tcBorders>
          </w:tcPr>
          <w:p w:rsidR="00270F19" w:rsidRDefault="00270F19" w:rsidP="00A8743E">
            <w:pPr>
              <w:jc w:val="center"/>
              <w:rPr>
                <w:rFonts w:ascii="Arial" w:hAnsi="Arial" w:cs="Arial"/>
                <w:u w:val="single"/>
              </w:rPr>
            </w:pPr>
            <w:r>
              <w:rPr>
                <w:rFonts w:ascii="Arial" w:hAnsi="Arial" w:cs="Arial"/>
                <w:u w:val="single"/>
              </w:rPr>
              <w:t>2016</w:t>
            </w:r>
          </w:p>
        </w:tc>
        <w:tc>
          <w:tcPr>
            <w:tcW w:w="1960" w:type="dxa"/>
            <w:tcBorders>
              <w:bottom w:val="single" w:sz="6" w:space="0" w:color="008000"/>
            </w:tcBorders>
          </w:tcPr>
          <w:p w:rsidR="00270F19" w:rsidRDefault="00270F19" w:rsidP="00A8743E">
            <w:pPr>
              <w:jc w:val="center"/>
              <w:rPr>
                <w:rFonts w:ascii="Arial" w:hAnsi="Arial" w:cs="Arial"/>
                <w:u w:val="single"/>
              </w:rPr>
            </w:pPr>
            <w:r>
              <w:rPr>
                <w:rFonts w:ascii="Arial" w:hAnsi="Arial" w:cs="Arial"/>
                <w:u w:val="single"/>
              </w:rPr>
              <w:t>2015</w:t>
            </w:r>
          </w:p>
        </w:tc>
        <w:tc>
          <w:tcPr>
            <w:tcW w:w="1960" w:type="dxa"/>
            <w:tcBorders>
              <w:bottom w:val="single" w:sz="6" w:space="0" w:color="008000"/>
            </w:tcBorders>
          </w:tcPr>
          <w:p w:rsidR="00270F19" w:rsidRDefault="00270F19" w:rsidP="00A8743E">
            <w:pPr>
              <w:jc w:val="center"/>
              <w:rPr>
                <w:rFonts w:ascii="Arial" w:hAnsi="Arial" w:cs="Arial"/>
                <w:u w:val="single"/>
              </w:rPr>
            </w:pPr>
          </w:p>
        </w:tc>
      </w:tr>
      <w:tr w:rsidR="00270F19" w:rsidTr="00A8743E">
        <w:tc>
          <w:tcPr>
            <w:tcW w:w="4072" w:type="dxa"/>
            <w:tcBorders>
              <w:top w:val="single" w:sz="6" w:space="0" w:color="008000"/>
            </w:tcBorders>
          </w:tcPr>
          <w:p w:rsidR="00270F19" w:rsidRDefault="00270F19" w:rsidP="00A8743E">
            <w:pPr>
              <w:rPr>
                <w:rFonts w:ascii="Arial" w:hAnsi="Arial" w:cs="Arial"/>
              </w:rPr>
            </w:pPr>
            <w:r>
              <w:rPr>
                <w:rFonts w:ascii="Arial" w:hAnsi="Arial" w:cs="Arial"/>
              </w:rPr>
              <w:t>1.</w:t>
            </w:r>
            <w:r>
              <w:rPr>
                <w:rFonts w:ascii="Arial" w:hAnsi="Arial" w:cs="Arial"/>
              </w:rPr>
              <w:tab/>
              <w:t>Return on Capital Employed</w:t>
            </w:r>
          </w:p>
        </w:tc>
        <w:tc>
          <w:tcPr>
            <w:tcW w:w="1191" w:type="dxa"/>
            <w:tcBorders>
              <w:top w:val="single" w:sz="6" w:space="0" w:color="008000"/>
            </w:tcBorders>
          </w:tcPr>
          <w:p w:rsidR="00270F19" w:rsidRDefault="00CD04B5" w:rsidP="00A8743E">
            <w:pPr>
              <w:jc w:val="center"/>
              <w:rPr>
                <w:rFonts w:ascii="Arial" w:hAnsi="Arial" w:cs="Arial"/>
              </w:rPr>
            </w:pPr>
            <w:r>
              <w:rPr>
                <w:rFonts w:ascii="Arial" w:hAnsi="Arial" w:cs="Arial"/>
              </w:rPr>
              <w:t>15.2</w:t>
            </w:r>
            <w:r w:rsidR="00270F19">
              <w:rPr>
                <w:rFonts w:ascii="Arial" w:hAnsi="Arial" w:cs="Arial"/>
              </w:rPr>
              <w:t>%</w:t>
            </w:r>
          </w:p>
        </w:tc>
        <w:tc>
          <w:tcPr>
            <w:tcW w:w="1960" w:type="dxa"/>
            <w:tcBorders>
              <w:top w:val="single" w:sz="6" w:space="0" w:color="008000"/>
            </w:tcBorders>
          </w:tcPr>
          <w:p w:rsidR="00270F19" w:rsidRDefault="00270F19" w:rsidP="00A8743E">
            <w:pPr>
              <w:jc w:val="center"/>
              <w:rPr>
                <w:rFonts w:ascii="Arial" w:hAnsi="Arial" w:cs="Arial"/>
              </w:rPr>
            </w:pPr>
            <w:r>
              <w:rPr>
                <w:rFonts w:ascii="Arial" w:hAnsi="Arial" w:cs="Arial"/>
              </w:rPr>
              <w:t>23.1%</w:t>
            </w:r>
          </w:p>
        </w:tc>
        <w:tc>
          <w:tcPr>
            <w:tcW w:w="1960" w:type="dxa"/>
            <w:tcBorders>
              <w:top w:val="single" w:sz="6" w:space="0" w:color="008000"/>
            </w:tcBorders>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rPr>
                <w:rFonts w:ascii="Arial" w:hAnsi="Arial" w:cs="Arial"/>
              </w:rPr>
            </w:pPr>
            <w:r>
              <w:rPr>
                <w:rFonts w:ascii="Arial" w:hAnsi="Arial" w:cs="Arial"/>
              </w:rPr>
              <w:t>2.</w:t>
            </w:r>
            <w:r>
              <w:rPr>
                <w:rFonts w:ascii="Arial" w:hAnsi="Arial" w:cs="Arial"/>
              </w:rPr>
              <w:tab/>
              <w:t>Net Profit Percentage</w:t>
            </w:r>
          </w:p>
        </w:tc>
        <w:tc>
          <w:tcPr>
            <w:tcW w:w="1191" w:type="dxa"/>
          </w:tcPr>
          <w:p w:rsidR="00270F19" w:rsidRDefault="00270F19" w:rsidP="00A8743E">
            <w:pPr>
              <w:jc w:val="center"/>
              <w:rPr>
                <w:rFonts w:ascii="Arial" w:hAnsi="Arial" w:cs="Arial"/>
              </w:rPr>
            </w:pPr>
            <w:r>
              <w:rPr>
                <w:rFonts w:ascii="Arial" w:hAnsi="Arial" w:cs="Arial"/>
              </w:rPr>
              <w:t>20.0%</w:t>
            </w:r>
          </w:p>
        </w:tc>
        <w:tc>
          <w:tcPr>
            <w:tcW w:w="1960" w:type="dxa"/>
          </w:tcPr>
          <w:p w:rsidR="00270F19" w:rsidRDefault="00270F19" w:rsidP="00A8743E">
            <w:pPr>
              <w:jc w:val="center"/>
              <w:rPr>
                <w:rFonts w:ascii="Arial" w:hAnsi="Arial" w:cs="Arial"/>
              </w:rPr>
            </w:pPr>
            <w:r>
              <w:rPr>
                <w:rFonts w:ascii="Arial" w:hAnsi="Arial" w:cs="Arial"/>
              </w:rPr>
              <w:t>32.1%</w:t>
            </w: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rPr>
                <w:rFonts w:ascii="Arial" w:hAnsi="Arial" w:cs="Arial"/>
              </w:rPr>
            </w:pPr>
            <w:r>
              <w:rPr>
                <w:rFonts w:ascii="Arial" w:hAnsi="Arial" w:cs="Arial"/>
              </w:rPr>
              <w:t>3.</w:t>
            </w:r>
            <w:r>
              <w:rPr>
                <w:rFonts w:ascii="Arial" w:hAnsi="Arial" w:cs="Arial"/>
              </w:rPr>
              <w:tab/>
              <w:t>Gross Profit Percentage</w:t>
            </w:r>
          </w:p>
        </w:tc>
        <w:tc>
          <w:tcPr>
            <w:tcW w:w="1191" w:type="dxa"/>
          </w:tcPr>
          <w:p w:rsidR="00270F19" w:rsidRDefault="00270F19" w:rsidP="00A8743E">
            <w:pPr>
              <w:jc w:val="center"/>
              <w:rPr>
                <w:rFonts w:ascii="Arial" w:hAnsi="Arial" w:cs="Arial"/>
              </w:rPr>
            </w:pPr>
            <w:r>
              <w:rPr>
                <w:rFonts w:ascii="Arial" w:hAnsi="Arial" w:cs="Arial"/>
              </w:rPr>
              <w:t>46.7%</w:t>
            </w:r>
          </w:p>
        </w:tc>
        <w:tc>
          <w:tcPr>
            <w:tcW w:w="1960" w:type="dxa"/>
          </w:tcPr>
          <w:p w:rsidR="00270F19" w:rsidRDefault="00270F19" w:rsidP="00A8743E">
            <w:pPr>
              <w:jc w:val="center"/>
              <w:rPr>
                <w:rFonts w:ascii="Arial" w:hAnsi="Arial" w:cs="Arial"/>
              </w:rPr>
            </w:pPr>
            <w:r>
              <w:rPr>
                <w:rFonts w:ascii="Arial" w:hAnsi="Arial" w:cs="Arial"/>
              </w:rPr>
              <w:t>53.4%</w:t>
            </w: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rPr>
                <w:rFonts w:ascii="Arial" w:hAnsi="Arial" w:cs="Arial"/>
              </w:rPr>
            </w:pP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pStyle w:val="Heading2"/>
              <w:rPr>
                <w:rFonts w:ascii="Arial" w:hAnsi="Arial" w:cs="Arial"/>
                <w:b w:val="0"/>
                <w:bCs w:val="0"/>
                <w:u w:val="single"/>
              </w:rPr>
            </w:pPr>
            <w:r>
              <w:rPr>
                <w:rFonts w:ascii="Arial" w:hAnsi="Arial" w:cs="Arial"/>
                <w:b w:val="0"/>
                <w:bCs w:val="0"/>
                <w:u w:val="single"/>
              </w:rPr>
              <w:t>Efficiency</w:t>
            </w: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rPr>
                <w:rFonts w:ascii="Arial" w:hAnsi="Arial" w:cs="Arial"/>
              </w:rPr>
            </w:pP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rPr>
                <w:rFonts w:ascii="Arial" w:hAnsi="Arial" w:cs="Arial"/>
              </w:rPr>
            </w:pPr>
            <w:r>
              <w:rPr>
                <w:rFonts w:ascii="Arial" w:hAnsi="Arial" w:cs="Arial"/>
              </w:rPr>
              <w:t>4.</w:t>
            </w:r>
            <w:r>
              <w:rPr>
                <w:rFonts w:ascii="Arial" w:hAnsi="Arial" w:cs="Arial"/>
              </w:rPr>
              <w:tab/>
              <w:t>Asset Turnover</w:t>
            </w:r>
          </w:p>
        </w:tc>
        <w:tc>
          <w:tcPr>
            <w:tcW w:w="1191" w:type="dxa"/>
          </w:tcPr>
          <w:p w:rsidR="00270F19" w:rsidRDefault="00270F19" w:rsidP="00A8743E">
            <w:pPr>
              <w:jc w:val="center"/>
              <w:rPr>
                <w:rFonts w:ascii="Arial" w:hAnsi="Arial" w:cs="Arial"/>
              </w:rPr>
            </w:pPr>
            <w:r>
              <w:rPr>
                <w:rFonts w:ascii="Arial" w:hAnsi="Arial" w:cs="Arial"/>
              </w:rPr>
              <w:t>0.76</w:t>
            </w:r>
          </w:p>
        </w:tc>
        <w:tc>
          <w:tcPr>
            <w:tcW w:w="1960" w:type="dxa"/>
          </w:tcPr>
          <w:p w:rsidR="00270F19" w:rsidRDefault="00270F19" w:rsidP="00A8743E">
            <w:pPr>
              <w:jc w:val="center"/>
              <w:rPr>
                <w:rFonts w:ascii="Arial" w:hAnsi="Arial" w:cs="Arial"/>
              </w:rPr>
            </w:pPr>
            <w:r>
              <w:rPr>
                <w:rFonts w:ascii="Arial" w:hAnsi="Arial" w:cs="Arial"/>
              </w:rPr>
              <w:t>0.72</w:t>
            </w: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6A1C2B" w:rsidP="00A8743E">
            <w:pPr>
              <w:rPr>
                <w:rFonts w:ascii="Arial" w:hAnsi="Arial" w:cs="Arial"/>
              </w:rPr>
            </w:pPr>
            <w:r>
              <w:rPr>
                <w:rFonts w:ascii="Arial" w:hAnsi="Arial" w:cs="Arial"/>
              </w:rPr>
              <w:t>5</w:t>
            </w:r>
            <w:r w:rsidR="00270F19">
              <w:rPr>
                <w:rFonts w:ascii="Arial" w:hAnsi="Arial" w:cs="Arial"/>
              </w:rPr>
              <w:t>.</w:t>
            </w:r>
            <w:r w:rsidR="00270F19">
              <w:rPr>
                <w:rFonts w:ascii="Arial" w:hAnsi="Arial" w:cs="Arial"/>
              </w:rPr>
              <w:tab/>
              <w:t>Stock Turnover (days)</w:t>
            </w:r>
          </w:p>
        </w:tc>
        <w:tc>
          <w:tcPr>
            <w:tcW w:w="1191" w:type="dxa"/>
          </w:tcPr>
          <w:p w:rsidR="00270F19" w:rsidRDefault="00270F19" w:rsidP="00A8743E">
            <w:pPr>
              <w:jc w:val="center"/>
              <w:rPr>
                <w:rFonts w:ascii="Arial" w:hAnsi="Arial" w:cs="Arial"/>
              </w:rPr>
            </w:pPr>
            <w:r>
              <w:rPr>
                <w:rFonts w:ascii="Arial" w:hAnsi="Arial" w:cs="Arial"/>
              </w:rPr>
              <w:t xml:space="preserve"> </w:t>
            </w:r>
            <w:r w:rsidR="00466C18">
              <w:rPr>
                <w:rFonts w:ascii="Arial" w:hAnsi="Arial" w:cs="Arial"/>
              </w:rPr>
              <w:t>114</w:t>
            </w:r>
            <w:r>
              <w:rPr>
                <w:rFonts w:ascii="Arial" w:hAnsi="Arial" w:cs="Arial"/>
              </w:rPr>
              <w:t>days</w:t>
            </w:r>
          </w:p>
        </w:tc>
        <w:tc>
          <w:tcPr>
            <w:tcW w:w="1960" w:type="dxa"/>
          </w:tcPr>
          <w:p w:rsidR="00270F19" w:rsidRDefault="00270F19" w:rsidP="00A8743E">
            <w:pPr>
              <w:jc w:val="center"/>
              <w:rPr>
                <w:rFonts w:ascii="Arial" w:hAnsi="Arial" w:cs="Arial"/>
              </w:rPr>
            </w:pPr>
            <w:r>
              <w:rPr>
                <w:rFonts w:ascii="Arial" w:hAnsi="Arial" w:cs="Arial"/>
              </w:rPr>
              <w:t xml:space="preserve"> </w:t>
            </w:r>
            <w:r w:rsidR="00CD04B5">
              <w:rPr>
                <w:rFonts w:ascii="Arial" w:hAnsi="Arial" w:cs="Arial"/>
              </w:rPr>
              <w:t>98</w:t>
            </w:r>
            <w:r>
              <w:rPr>
                <w:rFonts w:ascii="Arial" w:hAnsi="Arial" w:cs="Arial"/>
              </w:rPr>
              <w:t>days</w:t>
            </w: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6A1C2B" w:rsidP="00A8743E">
            <w:pPr>
              <w:rPr>
                <w:rFonts w:ascii="Arial" w:hAnsi="Arial" w:cs="Arial"/>
              </w:rPr>
            </w:pPr>
            <w:r>
              <w:rPr>
                <w:rFonts w:ascii="Arial" w:hAnsi="Arial" w:cs="Arial"/>
              </w:rPr>
              <w:t>6</w:t>
            </w:r>
            <w:r w:rsidR="00270F19">
              <w:rPr>
                <w:rFonts w:ascii="Arial" w:hAnsi="Arial" w:cs="Arial"/>
              </w:rPr>
              <w:t>.</w:t>
            </w:r>
            <w:r w:rsidR="00270F19">
              <w:rPr>
                <w:rFonts w:ascii="Arial" w:hAnsi="Arial" w:cs="Arial"/>
              </w:rPr>
              <w:tab/>
              <w:t>Debtor Days</w:t>
            </w:r>
          </w:p>
        </w:tc>
        <w:tc>
          <w:tcPr>
            <w:tcW w:w="1191" w:type="dxa"/>
          </w:tcPr>
          <w:p w:rsidR="00270F19" w:rsidRDefault="00270F19" w:rsidP="00A8743E">
            <w:pPr>
              <w:jc w:val="center"/>
              <w:rPr>
                <w:rFonts w:ascii="Arial" w:hAnsi="Arial" w:cs="Arial"/>
              </w:rPr>
            </w:pPr>
            <w:r>
              <w:rPr>
                <w:rFonts w:ascii="Arial" w:hAnsi="Arial" w:cs="Arial"/>
              </w:rPr>
              <w:t xml:space="preserve"> 122days</w:t>
            </w:r>
          </w:p>
        </w:tc>
        <w:tc>
          <w:tcPr>
            <w:tcW w:w="1960" w:type="dxa"/>
          </w:tcPr>
          <w:p w:rsidR="00270F19" w:rsidRDefault="00270F19" w:rsidP="00A8743E">
            <w:pPr>
              <w:jc w:val="center"/>
              <w:rPr>
                <w:rFonts w:ascii="Arial" w:hAnsi="Arial" w:cs="Arial"/>
              </w:rPr>
            </w:pPr>
            <w:r>
              <w:rPr>
                <w:rFonts w:ascii="Arial" w:hAnsi="Arial" w:cs="Arial"/>
              </w:rPr>
              <w:t xml:space="preserve"> 104days</w:t>
            </w: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6A1C2B" w:rsidP="00A8743E">
            <w:pPr>
              <w:rPr>
                <w:rFonts w:ascii="Arial" w:hAnsi="Arial" w:cs="Arial"/>
              </w:rPr>
            </w:pPr>
            <w:r>
              <w:rPr>
                <w:rFonts w:ascii="Arial" w:hAnsi="Arial" w:cs="Arial"/>
              </w:rPr>
              <w:t>7</w:t>
            </w:r>
            <w:r w:rsidR="00270F19">
              <w:rPr>
                <w:rFonts w:ascii="Arial" w:hAnsi="Arial" w:cs="Arial"/>
              </w:rPr>
              <w:t>.</w:t>
            </w:r>
            <w:r w:rsidR="00270F19">
              <w:rPr>
                <w:rFonts w:ascii="Arial" w:hAnsi="Arial" w:cs="Arial"/>
              </w:rPr>
              <w:tab/>
              <w:t>Creditor Days</w:t>
            </w:r>
          </w:p>
        </w:tc>
        <w:tc>
          <w:tcPr>
            <w:tcW w:w="1191" w:type="dxa"/>
          </w:tcPr>
          <w:p w:rsidR="00270F19" w:rsidRDefault="00270F19" w:rsidP="00270F19">
            <w:pPr>
              <w:jc w:val="center"/>
              <w:rPr>
                <w:rFonts w:ascii="Arial" w:hAnsi="Arial" w:cs="Arial"/>
              </w:rPr>
            </w:pPr>
            <w:r>
              <w:rPr>
                <w:rFonts w:ascii="Arial" w:hAnsi="Arial" w:cs="Arial"/>
              </w:rPr>
              <w:t xml:space="preserve"> 137days</w:t>
            </w:r>
          </w:p>
        </w:tc>
        <w:tc>
          <w:tcPr>
            <w:tcW w:w="1960" w:type="dxa"/>
          </w:tcPr>
          <w:p w:rsidR="00270F19" w:rsidRDefault="00270F19" w:rsidP="00A8743E">
            <w:pPr>
              <w:jc w:val="center"/>
              <w:rPr>
                <w:rFonts w:ascii="Arial" w:hAnsi="Arial" w:cs="Arial"/>
              </w:rPr>
            </w:pPr>
            <w:r>
              <w:rPr>
                <w:rFonts w:ascii="Arial" w:hAnsi="Arial" w:cs="Arial"/>
              </w:rPr>
              <w:t xml:space="preserve"> 168days</w:t>
            </w: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rPr>
                <w:rFonts w:ascii="Arial" w:hAnsi="Arial" w:cs="Arial"/>
              </w:rPr>
            </w:pP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pStyle w:val="Heading2"/>
              <w:rPr>
                <w:rFonts w:ascii="Arial" w:hAnsi="Arial" w:cs="Arial"/>
                <w:b w:val="0"/>
                <w:bCs w:val="0"/>
                <w:u w:val="single"/>
              </w:rPr>
            </w:pPr>
            <w:r>
              <w:rPr>
                <w:rFonts w:ascii="Arial" w:hAnsi="Arial" w:cs="Arial"/>
                <w:b w:val="0"/>
                <w:bCs w:val="0"/>
                <w:u w:val="single"/>
              </w:rPr>
              <w:t>Liquidity</w:t>
            </w: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rPr>
                <w:rFonts w:ascii="Arial" w:hAnsi="Arial" w:cs="Arial"/>
              </w:rPr>
            </w:pP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6A1C2B" w:rsidP="00A8743E">
            <w:pPr>
              <w:rPr>
                <w:rFonts w:ascii="Arial" w:hAnsi="Arial" w:cs="Arial"/>
              </w:rPr>
            </w:pPr>
            <w:r>
              <w:rPr>
                <w:rFonts w:ascii="Arial" w:hAnsi="Arial" w:cs="Arial"/>
              </w:rPr>
              <w:t>8</w:t>
            </w:r>
            <w:r w:rsidR="00270F19">
              <w:rPr>
                <w:rFonts w:ascii="Arial" w:hAnsi="Arial" w:cs="Arial"/>
              </w:rPr>
              <w:t>.</w:t>
            </w:r>
            <w:r w:rsidR="00270F19">
              <w:rPr>
                <w:rFonts w:ascii="Arial" w:hAnsi="Arial" w:cs="Arial"/>
              </w:rPr>
              <w:tab/>
              <w:t>Current Ratio</w:t>
            </w:r>
          </w:p>
        </w:tc>
        <w:tc>
          <w:tcPr>
            <w:tcW w:w="1191" w:type="dxa"/>
          </w:tcPr>
          <w:p w:rsidR="00270F19" w:rsidRDefault="00270F19" w:rsidP="00A8743E">
            <w:pPr>
              <w:jc w:val="center"/>
              <w:rPr>
                <w:rFonts w:ascii="Arial" w:hAnsi="Arial" w:cs="Arial"/>
              </w:rPr>
            </w:pPr>
            <w:r>
              <w:rPr>
                <w:rFonts w:ascii="Arial" w:hAnsi="Arial" w:cs="Arial"/>
              </w:rPr>
              <w:t>0.91</w:t>
            </w:r>
          </w:p>
        </w:tc>
        <w:tc>
          <w:tcPr>
            <w:tcW w:w="1960" w:type="dxa"/>
          </w:tcPr>
          <w:p w:rsidR="00270F19" w:rsidRDefault="00270F19" w:rsidP="00A8743E">
            <w:pPr>
              <w:jc w:val="center"/>
              <w:rPr>
                <w:rFonts w:ascii="Arial" w:hAnsi="Arial" w:cs="Arial"/>
              </w:rPr>
            </w:pPr>
            <w:r>
              <w:rPr>
                <w:rFonts w:ascii="Arial" w:hAnsi="Arial" w:cs="Arial"/>
              </w:rPr>
              <w:t>1.09</w:t>
            </w: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6A1C2B" w:rsidP="00A8743E">
            <w:pPr>
              <w:rPr>
                <w:rFonts w:ascii="Arial" w:hAnsi="Arial" w:cs="Arial"/>
              </w:rPr>
            </w:pPr>
            <w:r>
              <w:rPr>
                <w:rFonts w:ascii="Arial" w:hAnsi="Arial" w:cs="Arial"/>
              </w:rPr>
              <w:t>9</w:t>
            </w:r>
            <w:r w:rsidR="00270F19">
              <w:rPr>
                <w:rFonts w:ascii="Arial" w:hAnsi="Arial" w:cs="Arial"/>
              </w:rPr>
              <w:t>.</w:t>
            </w:r>
            <w:r w:rsidR="00270F19">
              <w:rPr>
                <w:rFonts w:ascii="Arial" w:hAnsi="Arial" w:cs="Arial"/>
              </w:rPr>
              <w:tab/>
              <w:t>Quick Ratio</w:t>
            </w:r>
          </w:p>
        </w:tc>
        <w:tc>
          <w:tcPr>
            <w:tcW w:w="1191" w:type="dxa"/>
          </w:tcPr>
          <w:p w:rsidR="00270F19" w:rsidRDefault="00270F19" w:rsidP="00A8743E">
            <w:pPr>
              <w:jc w:val="center"/>
              <w:rPr>
                <w:rFonts w:ascii="Arial" w:hAnsi="Arial" w:cs="Arial"/>
              </w:rPr>
            </w:pPr>
            <w:r>
              <w:rPr>
                <w:rFonts w:ascii="Arial" w:hAnsi="Arial" w:cs="Arial"/>
              </w:rPr>
              <w:t>0.62</w:t>
            </w:r>
          </w:p>
        </w:tc>
        <w:tc>
          <w:tcPr>
            <w:tcW w:w="1960" w:type="dxa"/>
          </w:tcPr>
          <w:p w:rsidR="00270F19" w:rsidRDefault="00270F19" w:rsidP="00A8743E">
            <w:pPr>
              <w:jc w:val="center"/>
              <w:rPr>
                <w:rFonts w:ascii="Arial" w:hAnsi="Arial" w:cs="Arial"/>
              </w:rPr>
            </w:pPr>
            <w:r>
              <w:rPr>
                <w:rFonts w:ascii="Arial" w:hAnsi="Arial" w:cs="Arial"/>
              </w:rPr>
              <w:t>0.77</w:t>
            </w: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rPr>
                <w:rFonts w:ascii="Arial" w:hAnsi="Arial" w:cs="Arial"/>
              </w:rPr>
            </w:pP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pStyle w:val="Heading2"/>
              <w:rPr>
                <w:rFonts w:ascii="Arial" w:hAnsi="Arial" w:cs="Arial"/>
                <w:b w:val="0"/>
                <w:bCs w:val="0"/>
                <w:u w:val="single"/>
              </w:rPr>
            </w:pPr>
            <w:r>
              <w:rPr>
                <w:rFonts w:ascii="Arial" w:hAnsi="Arial" w:cs="Arial"/>
                <w:b w:val="0"/>
                <w:bCs w:val="0"/>
                <w:u w:val="single"/>
              </w:rPr>
              <w:t>Investment</w:t>
            </w: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rPr>
                <w:rFonts w:ascii="Arial" w:hAnsi="Arial" w:cs="Arial"/>
              </w:rPr>
            </w:pP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6A1C2B" w:rsidP="00A8743E">
            <w:pPr>
              <w:rPr>
                <w:rFonts w:ascii="Arial" w:hAnsi="Arial" w:cs="Arial"/>
              </w:rPr>
            </w:pPr>
            <w:r>
              <w:rPr>
                <w:rFonts w:ascii="Arial" w:hAnsi="Arial" w:cs="Arial"/>
              </w:rPr>
              <w:t>10</w:t>
            </w:r>
            <w:r w:rsidR="00270F19">
              <w:rPr>
                <w:rFonts w:ascii="Arial" w:hAnsi="Arial" w:cs="Arial"/>
              </w:rPr>
              <w:t>.</w:t>
            </w:r>
            <w:r w:rsidR="00270F19">
              <w:rPr>
                <w:rFonts w:ascii="Arial" w:hAnsi="Arial" w:cs="Arial"/>
              </w:rPr>
              <w:tab/>
              <w:t>Earnings Per Share</w:t>
            </w:r>
          </w:p>
        </w:tc>
        <w:tc>
          <w:tcPr>
            <w:tcW w:w="1191" w:type="dxa"/>
          </w:tcPr>
          <w:p w:rsidR="00270F19" w:rsidRDefault="00CD04B5" w:rsidP="00A8743E">
            <w:pPr>
              <w:jc w:val="center"/>
              <w:rPr>
                <w:rFonts w:ascii="Arial" w:hAnsi="Arial" w:cs="Arial"/>
              </w:rPr>
            </w:pPr>
            <w:r>
              <w:rPr>
                <w:rFonts w:ascii="Arial" w:hAnsi="Arial" w:cs="Arial"/>
              </w:rPr>
              <w:t>0.13</w:t>
            </w:r>
            <w:r w:rsidR="00270F19">
              <w:rPr>
                <w:rFonts w:ascii="Arial" w:hAnsi="Arial" w:cs="Arial"/>
              </w:rPr>
              <w:t>€</w:t>
            </w:r>
          </w:p>
        </w:tc>
        <w:tc>
          <w:tcPr>
            <w:tcW w:w="1960" w:type="dxa"/>
          </w:tcPr>
          <w:p w:rsidR="00270F19" w:rsidRDefault="00CD04B5" w:rsidP="00A8743E">
            <w:pPr>
              <w:jc w:val="center"/>
              <w:rPr>
                <w:rFonts w:ascii="Arial" w:hAnsi="Arial" w:cs="Arial"/>
              </w:rPr>
            </w:pPr>
            <w:r>
              <w:rPr>
                <w:rFonts w:ascii="Arial" w:hAnsi="Arial" w:cs="Arial"/>
              </w:rPr>
              <w:t>0.28</w:t>
            </w:r>
            <w:r w:rsidR="00270F19">
              <w:rPr>
                <w:rFonts w:ascii="Arial" w:hAnsi="Arial" w:cs="Arial"/>
              </w:rPr>
              <w:t>€</w:t>
            </w: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6A1C2B" w:rsidP="00A8743E">
            <w:pPr>
              <w:rPr>
                <w:rFonts w:ascii="Arial" w:hAnsi="Arial" w:cs="Arial"/>
              </w:rPr>
            </w:pPr>
            <w:r>
              <w:rPr>
                <w:rFonts w:ascii="Arial" w:hAnsi="Arial" w:cs="Arial"/>
              </w:rPr>
              <w:t>11</w:t>
            </w:r>
            <w:r w:rsidR="00270F19">
              <w:rPr>
                <w:rFonts w:ascii="Arial" w:hAnsi="Arial" w:cs="Arial"/>
              </w:rPr>
              <w:t>.</w:t>
            </w:r>
            <w:r w:rsidR="00270F19">
              <w:rPr>
                <w:rFonts w:ascii="Arial" w:hAnsi="Arial" w:cs="Arial"/>
              </w:rPr>
              <w:tab/>
              <w:t>Interest Cover</w:t>
            </w:r>
          </w:p>
        </w:tc>
        <w:tc>
          <w:tcPr>
            <w:tcW w:w="1191" w:type="dxa"/>
          </w:tcPr>
          <w:p w:rsidR="00270F19" w:rsidRDefault="00CD04B5" w:rsidP="00A8743E">
            <w:pPr>
              <w:jc w:val="center"/>
              <w:rPr>
                <w:rFonts w:ascii="Arial" w:hAnsi="Arial" w:cs="Arial"/>
              </w:rPr>
            </w:pPr>
            <w:r>
              <w:rPr>
                <w:rFonts w:ascii="Arial" w:hAnsi="Arial" w:cs="Arial"/>
              </w:rPr>
              <w:t>3</w:t>
            </w:r>
          </w:p>
        </w:tc>
        <w:tc>
          <w:tcPr>
            <w:tcW w:w="1960" w:type="dxa"/>
          </w:tcPr>
          <w:p w:rsidR="00CD04B5" w:rsidRDefault="00CD04B5" w:rsidP="00A8743E">
            <w:pPr>
              <w:jc w:val="center"/>
              <w:rPr>
                <w:rFonts w:ascii="Arial" w:hAnsi="Arial" w:cs="Arial"/>
              </w:rPr>
            </w:pPr>
            <w:r>
              <w:rPr>
                <w:rFonts w:ascii="Arial" w:hAnsi="Arial" w:cs="Arial"/>
              </w:rPr>
              <w:t>6</w:t>
            </w:r>
          </w:p>
        </w:tc>
        <w:tc>
          <w:tcPr>
            <w:tcW w:w="1960" w:type="dxa"/>
          </w:tcPr>
          <w:p w:rsidR="00270F19" w:rsidRDefault="00270F19" w:rsidP="00A8743E">
            <w:pPr>
              <w:jc w:val="center"/>
              <w:rPr>
                <w:rFonts w:ascii="Arial" w:hAnsi="Arial" w:cs="Arial"/>
              </w:rPr>
            </w:pPr>
          </w:p>
        </w:tc>
      </w:tr>
      <w:tr w:rsidR="00CD04B5" w:rsidTr="00A8743E">
        <w:tc>
          <w:tcPr>
            <w:tcW w:w="4072" w:type="dxa"/>
          </w:tcPr>
          <w:p w:rsidR="00CD04B5" w:rsidRDefault="006A1C2B" w:rsidP="00A8743E">
            <w:pPr>
              <w:rPr>
                <w:rFonts w:ascii="Arial" w:hAnsi="Arial" w:cs="Arial"/>
              </w:rPr>
            </w:pPr>
            <w:r>
              <w:rPr>
                <w:rFonts w:ascii="Arial" w:hAnsi="Arial" w:cs="Arial"/>
              </w:rPr>
              <w:t>12</w:t>
            </w:r>
            <w:r w:rsidR="00CD04B5">
              <w:rPr>
                <w:rFonts w:ascii="Arial" w:hAnsi="Arial" w:cs="Arial"/>
              </w:rPr>
              <w:t>.      Dividend Cover</w:t>
            </w:r>
          </w:p>
        </w:tc>
        <w:tc>
          <w:tcPr>
            <w:tcW w:w="1191" w:type="dxa"/>
          </w:tcPr>
          <w:p w:rsidR="00CD04B5" w:rsidRDefault="00CD04B5" w:rsidP="00A8743E">
            <w:pPr>
              <w:jc w:val="center"/>
              <w:rPr>
                <w:rFonts w:ascii="Arial" w:hAnsi="Arial" w:cs="Arial"/>
              </w:rPr>
            </w:pPr>
            <w:r>
              <w:rPr>
                <w:rFonts w:ascii="Arial" w:hAnsi="Arial" w:cs="Arial"/>
              </w:rPr>
              <w:t>1.25</w:t>
            </w:r>
          </w:p>
        </w:tc>
        <w:tc>
          <w:tcPr>
            <w:tcW w:w="1960" w:type="dxa"/>
          </w:tcPr>
          <w:p w:rsidR="00CD04B5" w:rsidRDefault="00CD04B5" w:rsidP="00A8743E">
            <w:pPr>
              <w:jc w:val="center"/>
              <w:rPr>
                <w:rFonts w:ascii="Arial" w:hAnsi="Arial" w:cs="Arial"/>
              </w:rPr>
            </w:pPr>
            <w:r>
              <w:rPr>
                <w:rFonts w:ascii="Arial" w:hAnsi="Arial" w:cs="Arial"/>
              </w:rPr>
              <w:t>2.75</w:t>
            </w:r>
          </w:p>
        </w:tc>
        <w:tc>
          <w:tcPr>
            <w:tcW w:w="1960" w:type="dxa"/>
          </w:tcPr>
          <w:p w:rsidR="00CD04B5" w:rsidRDefault="00CD04B5" w:rsidP="00A8743E">
            <w:pPr>
              <w:jc w:val="center"/>
              <w:rPr>
                <w:rFonts w:ascii="Arial" w:hAnsi="Arial" w:cs="Arial"/>
              </w:rPr>
            </w:pPr>
          </w:p>
        </w:tc>
      </w:tr>
      <w:tr w:rsidR="00270F19" w:rsidTr="00A8743E">
        <w:tc>
          <w:tcPr>
            <w:tcW w:w="4072" w:type="dxa"/>
          </w:tcPr>
          <w:p w:rsidR="00270F19" w:rsidRDefault="00270F19" w:rsidP="00A8743E">
            <w:pPr>
              <w:rPr>
                <w:rFonts w:ascii="Arial" w:hAnsi="Arial" w:cs="Arial"/>
              </w:rPr>
            </w:pP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pStyle w:val="Heading3"/>
            </w:pPr>
            <w:r>
              <w:t>Gearing</w:t>
            </w: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270F19" w:rsidP="00A8743E">
            <w:pPr>
              <w:rPr>
                <w:rFonts w:ascii="Arial" w:hAnsi="Arial" w:cs="Arial"/>
              </w:rPr>
            </w:pPr>
          </w:p>
        </w:tc>
        <w:tc>
          <w:tcPr>
            <w:tcW w:w="1191"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c>
          <w:tcPr>
            <w:tcW w:w="1960" w:type="dxa"/>
          </w:tcPr>
          <w:p w:rsidR="00270F19" w:rsidRDefault="00270F19" w:rsidP="00A8743E">
            <w:pPr>
              <w:jc w:val="center"/>
              <w:rPr>
                <w:rFonts w:ascii="Arial" w:hAnsi="Arial" w:cs="Arial"/>
              </w:rPr>
            </w:pPr>
          </w:p>
        </w:tc>
      </w:tr>
      <w:tr w:rsidR="00270F19" w:rsidTr="00A8743E">
        <w:tc>
          <w:tcPr>
            <w:tcW w:w="4072" w:type="dxa"/>
          </w:tcPr>
          <w:p w:rsidR="00270F19" w:rsidRDefault="006A1C2B" w:rsidP="00A8743E">
            <w:pPr>
              <w:rPr>
                <w:rFonts w:ascii="Arial" w:hAnsi="Arial" w:cs="Arial"/>
              </w:rPr>
            </w:pPr>
            <w:r>
              <w:rPr>
                <w:rFonts w:ascii="Arial" w:hAnsi="Arial" w:cs="Arial"/>
              </w:rPr>
              <w:t>13</w:t>
            </w:r>
            <w:r w:rsidR="00270F19">
              <w:rPr>
                <w:rFonts w:ascii="Arial" w:hAnsi="Arial" w:cs="Arial"/>
              </w:rPr>
              <w:t>.</w:t>
            </w:r>
            <w:r w:rsidR="00270F19">
              <w:rPr>
                <w:rFonts w:ascii="Arial" w:hAnsi="Arial" w:cs="Arial"/>
              </w:rPr>
              <w:tab/>
              <w:t>Gearing</w:t>
            </w:r>
          </w:p>
        </w:tc>
        <w:tc>
          <w:tcPr>
            <w:tcW w:w="1191" w:type="dxa"/>
          </w:tcPr>
          <w:p w:rsidR="00270F19" w:rsidRDefault="00CD04B5" w:rsidP="00A8743E">
            <w:pPr>
              <w:jc w:val="center"/>
              <w:rPr>
                <w:rFonts w:ascii="Arial" w:hAnsi="Arial" w:cs="Arial"/>
              </w:rPr>
            </w:pPr>
            <w:r>
              <w:rPr>
                <w:rFonts w:ascii="Arial" w:hAnsi="Arial" w:cs="Arial"/>
              </w:rPr>
              <w:t>25.3</w:t>
            </w:r>
            <w:r w:rsidR="00270F19">
              <w:rPr>
                <w:rFonts w:ascii="Arial" w:hAnsi="Arial" w:cs="Arial"/>
              </w:rPr>
              <w:t>%</w:t>
            </w:r>
          </w:p>
        </w:tc>
        <w:tc>
          <w:tcPr>
            <w:tcW w:w="1960" w:type="dxa"/>
          </w:tcPr>
          <w:p w:rsidR="00270F19" w:rsidRDefault="00CD04B5" w:rsidP="00A8743E">
            <w:pPr>
              <w:jc w:val="center"/>
              <w:rPr>
                <w:rFonts w:ascii="Arial" w:hAnsi="Arial" w:cs="Arial"/>
              </w:rPr>
            </w:pPr>
            <w:r>
              <w:rPr>
                <w:rFonts w:ascii="Arial" w:hAnsi="Arial" w:cs="Arial"/>
              </w:rPr>
              <w:t>25.6</w:t>
            </w:r>
            <w:r w:rsidR="00270F19">
              <w:rPr>
                <w:rFonts w:ascii="Arial" w:hAnsi="Arial" w:cs="Arial"/>
              </w:rPr>
              <w:t>%</w:t>
            </w:r>
          </w:p>
        </w:tc>
        <w:tc>
          <w:tcPr>
            <w:tcW w:w="1960" w:type="dxa"/>
          </w:tcPr>
          <w:p w:rsidR="00270F19" w:rsidRDefault="00270F19" w:rsidP="00A8743E">
            <w:pPr>
              <w:jc w:val="center"/>
              <w:rPr>
                <w:rFonts w:ascii="Arial" w:hAnsi="Arial" w:cs="Arial"/>
              </w:rPr>
            </w:pPr>
          </w:p>
        </w:tc>
      </w:tr>
    </w:tbl>
    <w:p w:rsidR="00270F19" w:rsidRDefault="00270F19" w:rsidP="00270F19">
      <w:pPr>
        <w:ind w:left="709" w:hanging="709"/>
        <w:rPr>
          <w:rFonts w:ascii="Arial" w:hAnsi="Arial" w:cs="Arial"/>
        </w:rPr>
      </w:pPr>
    </w:p>
    <w:p w:rsidR="001816FB" w:rsidRDefault="001816FB" w:rsidP="001816FB">
      <w:pPr>
        <w:pStyle w:val="BodyTextIndent"/>
        <w:ind w:left="0" w:firstLine="0"/>
      </w:pPr>
    </w:p>
    <w:p w:rsidR="00EC166C" w:rsidRDefault="00EC166C"/>
    <w:sectPr w:rsidR="00EC166C" w:rsidSect="00EC166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16FB"/>
    <w:rsid w:val="001816FB"/>
    <w:rsid w:val="00234BAE"/>
    <w:rsid w:val="00270F19"/>
    <w:rsid w:val="00466C18"/>
    <w:rsid w:val="00514C9E"/>
    <w:rsid w:val="00572F56"/>
    <w:rsid w:val="006A1C2B"/>
    <w:rsid w:val="006A7D7D"/>
    <w:rsid w:val="009045D7"/>
    <w:rsid w:val="00AB0394"/>
    <w:rsid w:val="00CA5B50"/>
    <w:rsid w:val="00CD04B5"/>
    <w:rsid w:val="00D5096F"/>
    <w:rsid w:val="00E364E2"/>
    <w:rsid w:val="00EC166C"/>
    <w:rsid w:val="00EC6F7B"/>
    <w:rsid w:val="00EF6BA3"/>
    <w:rsid w:val="00F776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6FB"/>
    <w:rPr>
      <w:rFonts w:ascii="Times New Roman" w:eastAsia="Times New Roman" w:hAnsi="Times New Roman"/>
      <w:sz w:val="24"/>
      <w:szCs w:val="24"/>
      <w:lang w:eastAsia="en-US"/>
    </w:rPr>
  </w:style>
  <w:style w:type="paragraph" w:styleId="Heading2">
    <w:name w:val="heading 2"/>
    <w:basedOn w:val="Normal"/>
    <w:next w:val="Normal"/>
    <w:link w:val="Heading2Char"/>
    <w:qFormat/>
    <w:rsid w:val="00270F19"/>
    <w:pPr>
      <w:keepNext/>
      <w:outlineLvl w:val="1"/>
    </w:pPr>
    <w:rPr>
      <w:b/>
      <w:bCs/>
    </w:rPr>
  </w:style>
  <w:style w:type="paragraph" w:styleId="Heading3">
    <w:name w:val="heading 3"/>
    <w:basedOn w:val="Normal"/>
    <w:next w:val="Normal"/>
    <w:link w:val="Heading3Char"/>
    <w:qFormat/>
    <w:rsid w:val="00270F19"/>
    <w:pPr>
      <w:keepNext/>
      <w:outlineLvl w:val="2"/>
    </w:pPr>
    <w:rPr>
      <w:rFonts w:ascii="Arial" w:hAnsi="Arial"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1816FB"/>
    <w:pPr>
      <w:ind w:left="1418" w:hanging="1418"/>
    </w:pPr>
    <w:rPr>
      <w:rFonts w:ascii="Arial" w:hAnsi="Arial" w:cs="Arial"/>
    </w:rPr>
  </w:style>
  <w:style w:type="character" w:customStyle="1" w:styleId="BodyTextIndentChar">
    <w:name w:val="Body Text Indent Char"/>
    <w:basedOn w:val="DefaultParagraphFont"/>
    <w:link w:val="BodyTextIndent"/>
    <w:rsid w:val="001816FB"/>
    <w:rPr>
      <w:rFonts w:ascii="Arial" w:eastAsia="Times New Roman" w:hAnsi="Arial" w:cs="Arial"/>
      <w:sz w:val="24"/>
      <w:szCs w:val="24"/>
    </w:rPr>
  </w:style>
  <w:style w:type="character" w:customStyle="1" w:styleId="Heading2Char">
    <w:name w:val="Heading 2 Char"/>
    <w:basedOn w:val="DefaultParagraphFont"/>
    <w:link w:val="Heading2"/>
    <w:rsid w:val="00270F19"/>
    <w:rPr>
      <w:rFonts w:ascii="Times New Roman" w:eastAsia="Times New Roman" w:hAnsi="Times New Roman"/>
      <w:b/>
      <w:bCs/>
      <w:sz w:val="24"/>
      <w:szCs w:val="24"/>
      <w:lang w:eastAsia="en-US"/>
    </w:rPr>
  </w:style>
  <w:style w:type="character" w:customStyle="1" w:styleId="Heading3Char">
    <w:name w:val="Heading 3 Char"/>
    <w:basedOn w:val="DefaultParagraphFont"/>
    <w:link w:val="Heading3"/>
    <w:rsid w:val="00270F19"/>
    <w:rPr>
      <w:rFonts w:ascii="Arial" w:eastAsia="Times New Roman" w:hAnsi="Arial" w:cs="Arial"/>
      <w:sz w:val="24"/>
      <w:szCs w:val="24"/>
      <w:u w:val="single"/>
      <w:lang w:eastAsia="en-US"/>
    </w:rPr>
  </w:style>
  <w:style w:type="paragraph" w:styleId="Footer">
    <w:name w:val="footer"/>
    <w:basedOn w:val="Normal"/>
    <w:link w:val="FooterChar"/>
    <w:semiHidden/>
    <w:rsid w:val="00270F19"/>
    <w:pPr>
      <w:tabs>
        <w:tab w:val="center" w:pos="4153"/>
        <w:tab w:val="right" w:pos="8306"/>
      </w:tabs>
    </w:pPr>
  </w:style>
  <w:style w:type="character" w:customStyle="1" w:styleId="FooterChar">
    <w:name w:val="Footer Char"/>
    <w:basedOn w:val="DefaultParagraphFont"/>
    <w:link w:val="Footer"/>
    <w:semiHidden/>
    <w:rsid w:val="00270F19"/>
    <w:rPr>
      <w:rFonts w:ascii="Times New Roman" w:eastAsia="Times New Roman" w:hAnsi="Times New Roman"/>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539</Words>
  <Characters>3074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3606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Owen lewis</dc:creator>
  <cp:lastModifiedBy>Administrator</cp:lastModifiedBy>
  <cp:revision>5</cp:revision>
  <dcterms:created xsi:type="dcterms:W3CDTF">2017-11-08T11:38:00Z</dcterms:created>
  <dcterms:modified xsi:type="dcterms:W3CDTF">2017-11-08T11:53:00Z</dcterms:modified>
</cp:coreProperties>
</file>