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ABF912" w14:textId="77777777" w:rsidR="009C3288" w:rsidRPr="00570195" w:rsidRDefault="009C3288" w:rsidP="00570195">
      <w:pPr>
        <w:spacing w:after="600" w:line="360" w:lineRule="auto"/>
        <w:jc w:val="center"/>
        <w:rPr>
          <w:rFonts w:ascii="Times New Roman" w:hAnsi="Times New Roman" w:cs="Times New Roman"/>
        </w:rPr>
      </w:pPr>
    </w:p>
    <w:p w14:paraId="217F0A86" w14:textId="77777777" w:rsidR="009C3288" w:rsidRDefault="00000000" w:rsidP="00570195">
      <w:pPr>
        <w:spacing w:after="100" w:line="360" w:lineRule="auto"/>
        <w:jc w:val="center"/>
        <w:rPr>
          <w:rFonts w:ascii="Times New Roman" w:hAnsi="Times New Roman" w:cs="Times New Roman"/>
          <w:b/>
          <w:bCs/>
          <w:sz w:val="28"/>
          <w:szCs w:val="28"/>
        </w:rPr>
      </w:pPr>
      <w:r w:rsidRPr="00570195">
        <w:rPr>
          <w:rFonts w:ascii="Times New Roman" w:hAnsi="Times New Roman" w:cs="Times New Roman"/>
          <w:b/>
          <w:bCs/>
          <w:sz w:val="28"/>
          <w:szCs w:val="28"/>
        </w:rPr>
        <w:t>UNIVERSITY OF WALES TRINITY SAINT DAVID</w:t>
      </w:r>
    </w:p>
    <w:p w14:paraId="1D90AC06" w14:textId="566BE690" w:rsidR="00570195" w:rsidRPr="00570195" w:rsidRDefault="00570195" w:rsidP="00570195">
      <w:pPr>
        <w:spacing w:after="100" w:line="360" w:lineRule="auto"/>
        <w:jc w:val="center"/>
        <w:rPr>
          <w:rFonts w:ascii="Times New Roman" w:hAnsi="Times New Roman" w:cs="Times New Roman"/>
        </w:rPr>
      </w:pPr>
      <w:r>
        <w:rPr>
          <w:rFonts w:ascii="Times New Roman" w:hAnsi="Times New Roman" w:cs="Times New Roman"/>
          <w:noProof/>
        </w:rPr>
        <w:drawing>
          <wp:inline distT="0" distB="0" distL="0" distR="0" wp14:anchorId="4E7F5781" wp14:editId="56008562">
            <wp:extent cx="1810385" cy="725170"/>
            <wp:effectExtent l="0" t="0" r="0" b="0"/>
            <wp:docPr id="1566719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607EB5B1" w14:textId="77777777" w:rsidR="009C3288" w:rsidRPr="00570195" w:rsidRDefault="00000000" w:rsidP="00570195">
      <w:pPr>
        <w:spacing w:after="200" w:line="360" w:lineRule="auto"/>
        <w:jc w:val="center"/>
        <w:rPr>
          <w:rFonts w:ascii="Times New Roman" w:hAnsi="Times New Roman" w:cs="Times New Roman"/>
        </w:rPr>
      </w:pPr>
      <w:r w:rsidRPr="00570195">
        <w:rPr>
          <w:rFonts w:ascii="Times New Roman" w:hAnsi="Times New Roman" w:cs="Times New Roman"/>
          <w:b/>
          <w:bCs/>
          <w:sz w:val="28"/>
          <w:szCs w:val="28"/>
        </w:rPr>
        <w:t>Master of Business Administration</w:t>
      </w:r>
    </w:p>
    <w:p w14:paraId="780D433B" w14:textId="77777777" w:rsidR="009C3288" w:rsidRPr="00570195" w:rsidRDefault="00000000" w:rsidP="00570195">
      <w:pPr>
        <w:spacing w:after="600" w:line="360" w:lineRule="auto"/>
        <w:jc w:val="center"/>
        <w:rPr>
          <w:rFonts w:ascii="Times New Roman" w:hAnsi="Times New Roman" w:cs="Times New Roman"/>
        </w:rPr>
      </w:pPr>
      <w:r w:rsidRPr="00570195">
        <w:rPr>
          <w:rFonts w:ascii="Times New Roman" w:hAnsi="Times New Roman" w:cs="Times New Roman"/>
          <w:sz w:val="26"/>
          <w:szCs w:val="26"/>
        </w:rPr>
        <w:t>Financial Management (LCMB7002)</w:t>
      </w:r>
    </w:p>
    <w:p w14:paraId="2FD918E8" w14:textId="77777777" w:rsidR="009C3288" w:rsidRPr="00570195" w:rsidRDefault="00000000" w:rsidP="00570195">
      <w:pPr>
        <w:spacing w:after="100" w:line="360" w:lineRule="auto"/>
        <w:jc w:val="center"/>
        <w:rPr>
          <w:rFonts w:ascii="Times New Roman" w:hAnsi="Times New Roman" w:cs="Times New Roman"/>
        </w:rPr>
      </w:pPr>
      <w:r w:rsidRPr="00570195">
        <w:rPr>
          <w:rFonts w:ascii="Times New Roman" w:hAnsi="Times New Roman" w:cs="Times New Roman"/>
          <w:b/>
          <w:bCs/>
          <w:sz w:val="26"/>
          <w:szCs w:val="26"/>
        </w:rPr>
        <w:t>Assessment: Individual Report</w:t>
      </w:r>
    </w:p>
    <w:p w14:paraId="369D5A78" w14:textId="77777777" w:rsidR="009C3288" w:rsidRPr="00570195" w:rsidRDefault="00000000" w:rsidP="00570195">
      <w:pPr>
        <w:spacing w:after="600" w:line="360" w:lineRule="auto"/>
        <w:jc w:val="center"/>
        <w:rPr>
          <w:rFonts w:ascii="Times New Roman" w:hAnsi="Times New Roman" w:cs="Times New Roman"/>
        </w:rPr>
      </w:pPr>
      <w:r w:rsidRPr="00570195">
        <w:rPr>
          <w:rFonts w:ascii="Times New Roman" w:hAnsi="Times New Roman" w:cs="Times New Roman"/>
          <w:b/>
          <w:bCs/>
          <w:sz w:val="26"/>
          <w:szCs w:val="26"/>
        </w:rPr>
        <w:t>Financial Performance and Strategic Review: InterContinental Hotels Group plc (IHG)</w:t>
      </w:r>
    </w:p>
    <w:p w14:paraId="4DA46D6F" w14:textId="77777777" w:rsidR="009C3288" w:rsidRPr="00570195" w:rsidRDefault="00000000" w:rsidP="00570195">
      <w:pPr>
        <w:spacing w:after="1000" w:line="360" w:lineRule="auto"/>
        <w:jc w:val="center"/>
        <w:rPr>
          <w:rFonts w:ascii="Times New Roman" w:hAnsi="Times New Roman" w:cs="Times New Roman"/>
        </w:rPr>
      </w:pPr>
      <w:r w:rsidRPr="00570195">
        <w:rPr>
          <w:rFonts w:ascii="Times New Roman" w:hAnsi="Times New Roman" w:cs="Times New Roman"/>
          <w:i/>
          <w:iCs/>
          <w:sz w:val="22"/>
          <w:szCs w:val="22"/>
        </w:rPr>
        <w:t>Assessment component: Financial performance and management</w:t>
      </w:r>
    </w:p>
    <w:p w14:paraId="38070BDF" w14:textId="6BC170FC" w:rsidR="009C3288" w:rsidRPr="00570195" w:rsidRDefault="00000000" w:rsidP="00570195">
      <w:pPr>
        <w:spacing w:after="120" w:line="360" w:lineRule="auto"/>
        <w:jc w:val="center"/>
        <w:rPr>
          <w:rFonts w:ascii="Times New Roman" w:hAnsi="Times New Roman" w:cs="Times New Roman"/>
        </w:rPr>
      </w:pPr>
      <w:r w:rsidRPr="00570195">
        <w:rPr>
          <w:rFonts w:ascii="Times New Roman" w:hAnsi="Times New Roman" w:cs="Times New Roman"/>
        </w:rPr>
        <w:t xml:space="preserve">Lecturer: </w:t>
      </w:r>
      <w:r w:rsidR="00093665">
        <w:rPr>
          <w:rFonts w:ascii="Times New Roman" w:hAnsi="Times New Roman" w:cs="Times New Roman"/>
        </w:rPr>
        <w:t>P</w:t>
      </w:r>
      <w:r w:rsidRPr="00570195">
        <w:rPr>
          <w:rFonts w:ascii="Times New Roman" w:hAnsi="Times New Roman" w:cs="Times New Roman"/>
        </w:rPr>
        <w:t>atrick Yeboah (Birmingham)</w:t>
      </w:r>
    </w:p>
    <w:p w14:paraId="015F4DF8" w14:textId="377C155E" w:rsidR="009C3288" w:rsidRPr="00570195" w:rsidRDefault="00000000" w:rsidP="00570195">
      <w:pPr>
        <w:spacing w:after="120" w:line="360" w:lineRule="auto"/>
        <w:jc w:val="center"/>
        <w:rPr>
          <w:rFonts w:ascii="Times New Roman" w:hAnsi="Times New Roman" w:cs="Times New Roman"/>
        </w:rPr>
      </w:pPr>
      <w:r w:rsidRPr="00570195">
        <w:rPr>
          <w:rFonts w:ascii="Times New Roman" w:hAnsi="Times New Roman" w:cs="Times New Roman"/>
        </w:rPr>
        <w:t xml:space="preserve">Student Name: </w:t>
      </w:r>
      <w:r w:rsidR="00EB34E5" w:rsidRPr="00EB34E5">
        <w:rPr>
          <w:rFonts w:ascii="Times New Roman" w:hAnsi="Times New Roman" w:cs="Times New Roman"/>
        </w:rPr>
        <w:t>Varun Chary Tarani</w:t>
      </w:r>
    </w:p>
    <w:p w14:paraId="403EE269" w14:textId="72D3BB50" w:rsidR="009C3288" w:rsidRPr="00570195" w:rsidRDefault="00000000" w:rsidP="00570195">
      <w:pPr>
        <w:spacing w:after="120" w:line="360" w:lineRule="auto"/>
        <w:jc w:val="center"/>
        <w:rPr>
          <w:rFonts w:ascii="Times New Roman" w:hAnsi="Times New Roman" w:cs="Times New Roman"/>
        </w:rPr>
      </w:pPr>
      <w:r w:rsidRPr="00570195">
        <w:rPr>
          <w:rFonts w:ascii="Times New Roman" w:hAnsi="Times New Roman" w:cs="Times New Roman"/>
        </w:rPr>
        <w:t xml:space="preserve">Student ID Number: </w:t>
      </w:r>
      <w:r w:rsidR="00EB34E5" w:rsidRPr="00EB34E5">
        <w:rPr>
          <w:rFonts w:ascii="Times New Roman" w:hAnsi="Times New Roman" w:cs="Times New Roman"/>
        </w:rPr>
        <w:t>2538968</w:t>
      </w:r>
    </w:p>
    <w:p w14:paraId="47809C47" w14:textId="33FF9506" w:rsidR="009C3288" w:rsidRPr="00570195" w:rsidRDefault="00000000" w:rsidP="00570195">
      <w:pPr>
        <w:spacing w:after="120" w:line="360" w:lineRule="auto"/>
        <w:jc w:val="center"/>
        <w:rPr>
          <w:rFonts w:ascii="Times New Roman" w:hAnsi="Times New Roman" w:cs="Times New Roman"/>
        </w:rPr>
      </w:pPr>
      <w:r w:rsidRPr="00570195">
        <w:rPr>
          <w:rFonts w:ascii="Times New Roman" w:hAnsi="Times New Roman" w:cs="Times New Roman"/>
        </w:rPr>
        <w:t>Word Count: 5,000</w:t>
      </w:r>
    </w:p>
    <w:p w14:paraId="2BF835B2" w14:textId="77777777" w:rsidR="009C3288" w:rsidRPr="00570195" w:rsidRDefault="00000000" w:rsidP="00570195">
      <w:pPr>
        <w:spacing w:after="120" w:line="360" w:lineRule="auto"/>
        <w:jc w:val="center"/>
        <w:rPr>
          <w:rFonts w:ascii="Times New Roman" w:hAnsi="Times New Roman" w:cs="Times New Roman"/>
        </w:rPr>
      </w:pPr>
      <w:r w:rsidRPr="00570195">
        <w:rPr>
          <w:rFonts w:ascii="Times New Roman" w:hAnsi="Times New Roman" w:cs="Times New Roman"/>
        </w:rPr>
        <w:t>Submission Date: 24 July 2026</w:t>
      </w:r>
    </w:p>
    <w:p w14:paraId="6C30C8B3"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rPr>
        <w:br w:type="page"/>
      </w:r>
    </w:p>
    <w:p w14:paraId="26906F78" w14:textId="77777777" w:rsidR="009C3288" w:rsidRPr="00570195" w:rsidRDefault="00000000" w:rsidP="00570195">
      <w:pPr>
        <w:pStyle w:val="Heading1"/>
        <w:spacing w:line="360" w:lineRule="auto"/>
        <w:jc w:val="both"/>
        <w:rPr>
          <w:rFonts w:ascii="Times New Roman" w:hAnsi="Times New Roman" w:cs="Times New Roman"/>
        </w:rPr>
      </w:pPr>
      <w:bookmarkStart w:id="0" w:name="_Toc233486370"/>
      <w:r w:rsidRPr="00570195">
        <w:rPr>
          <w:rFonts w:ascii="Times New Roman" w:hAnsi="Times New Roman" w:cs="Times New Roman"/>
        </w:rPr>
        <w:lastRenderedPageBreak/>
        <w:t>Table of Contents</w:t>
      </w:r>
      <w:bookmarkEnd w:id="0"/>
    </w:p>
    <w:sdt>
      <w:sdtPr>
        <w:rPr>
          <w:rFonts w:ascii="Times New Roman" w:hAnsi="Times New Roman" w:cs="Times New Roman"/>
        </w:rPr>
        <w:alias w:val="Table of Contents"/>
        <w:id w:val="-1464732222"/>
      </w:sdtPr>
      <w:sdtContent>
        <w:p w14:paraId="0E110C90" w14:textId="77777777" w:rsidR="001872DF" w:rsidRPr="00570195" w:rsidRDefault="00000000" w:rsidP="00570195">
          <w:pPr>
            <w:pStyle w:val="TOC1"/>
            <w:tabs>
              <w:tab w:val="right" w:leader="dot" w:pos="9350"/>
            </w:tabs>
            <w:spacing w:line="360" w:lineRule="auto"/>
            <w:jc w:val="both"/>
            <w:rPr>
              <w:rFonts w:ascii="Times New Roman" w:hAnsi="Times New Roman" w:cs="Times New Roman"/>
              <w:noProof/>
            </w:rPr>
          </w:pPr>
          <w:r w:rsidRPr="00570195">
            <w:rPr>
              <w:rFonts w:ascii="Times New Roman" w:hAnsi="Times New Roman" w:cs="Times New Roman"/>
            </w:rPr>
            <w:fldChar w:fldCharType="begin"/>
          </w:r>
          <w:r w:rsidRPr="00570195">
            <w:rPr>
              <w:rFonts w:ascii="Times New Roman" w:hAnsi="Times New Roman" w:cs="Times New Roman"/>
            </w:rPr>
            <w:instrText>TOC \h \o "1-3"</w:instrText>
          </w:r>
          <w:r w:rsidRPr="00570195">
            <w:rPr>
              <w:rFonts w:ascii="Times New Roman" w:hAnsi="Times New Roman" w:cs="Times New Roman"/>
            </w:rPr>
            <w:fldChar w:fldCharType="separate"/>
          </w:r>
          <w:hyperlink w:anchor="_Toc233486370" w:history="1">
            <w:r w:rsidR="001872DF" w:rsidRPr="00570195">
              <w:rPr>
                <w:rStyle w:val="Hyperlink"/>
                <w:rFonts w:ascii="Times New Roman" w:hAnsi="Times New Roman" w:cs="Times New Roman"/>
                <w:noProof/>
              </w:rPr>
              <w:t>Table of Contents</w:t>
            </w:r>
            <w:r w:rsidR="001872DF" w:rsidRPr="00570195">
              <w:rPr>
                <w:rFonts w:ascii="Times New Roman" w:hAnsi="Times New Roman" w:cs="Times New Roman"/>
                <w:noProof/>
              </w:rPr>
              <w:tab/>
            </w:r>
            <w:r w:rsidR="001872DF" w:rsidRPr="00570195">
              <w:rPr>
                <w:rFonts w:ascii="Times New Roman" w:hAnsi="Times New Roman" w:cs="Times New Roman"/>
                <w:noProof/>
              </w:rPr>
              <w:fldChar w:fldCharType="begin"/>
            </w:r>
            <w:r w:rsidR="001872DF" w:rsidRPr="00570195">
              <w:rPr>
                <w:rFonts w:ascii="Times New Roman" w:hAnsi="Times New Roman" w:cs="Times New Roman"/>
                <w:noProof/>
              </w:rPr>
              <w:instrText xml:space="preserve"> PAGEREF _Toc233486370 \h </w:instrText>
            </w:r>
            <w:r w:rsidR="001872DF" w:rsidRPr="00570195">
              <w:rPr>
                <w:rFonts w:ascii="Times New Roman" w:hAnsi="Times New Roman" w:cs="Times New Roman"/>
                <w:noProof/>
              </w:rPr>
            </w:r>
            <w:r w:rsidR="001872DF" w:rsidRPr="00570195">
              <w:rPr>
                <w:rFonts w:ascii="Times New Roman" w:hAnsi="Times New Roman" w:cs="Times New Roman"/>
                <w:noProof/>
              </w:rPr>
              <w:fldChar w:fldCharType="separate"/>
            </w:r>
            <w:r w:rsidR="001872DF" w:rsidRPr="00570195">
              <w:rPr>
                <w:rFonts w:ascii="Times New Roman" w:hAnsi="Times New Roman" w:cs="Times New Roman"/>
                <w:noProof/>
              </w:rPr>
              <w:t>1</w:t>
            </w:r>
            <w:r w:rsidR="001872DF" w:rsidRPr="00570195">
              <w:rPr>
                <w:rFonts w:ascii="Times New Roman" w:hAnsi="Times New Roman" w:cs="Times New Roman"/>
                <w:noProof/>
              </w:rPr>
              <w:fldChar w:fldCharType="end"/>
            </w:r>
          </w:hyperlink>
        </w:p>
        <w:p w14:paraId="3F1BAC1B" w14:textId="77777777" w:rsidR="001872DF" w:rsidRPr="00570195" w:rsidRDefault="00000000" w:rsidP="00570195">
          <w:pPr>
            <w:pStyle w:val="TOC1"/>
            <w:tabs>
              <w:tab w:val="right" w:leader="dot" w:pos="9350"/>
            </w:tabs>
            <w:spacing w:line="360" w:lineRule="auto"/>
            <w:jc w:val="both"/>
            <w:rPr>
              <w:rFonts w:ascii="Times New Roman" w:hAnsi="Times New Roman" w:cs="Times New Roman"/>
              <w:noProof/>
            </w:rPr>
          </w:pPr>
          <w:hyperlink w:anchor="_Toc233486371" w:history="1">
            <w:r w:rsidR="001872DF" w:rsidRPr="00570195">
              <w:rPr>
                <w:rStyle w:val="Hyperlink"/>
                <w:rFonts w:ascii="Times New Roman" w:hAnsi="Times New Roman" w:cs="Times New Roman"/>
                <w:noProof/>
              </w:rPr>
              <w:t>List of Tables and Figures</w:t>
            </w:r>
            <w:r w:rsidR="001872DF" w:rsidRPr="00570195">
              <w:rPr>
                <w:rFonts w:ascii="Times New Roman" w:hAnsi="Times New Roman" w:cs="Times New Roman"/>
                <w:noProof/>
              </w:rPr>
              <w:tab/>
            </w:r>
            <w:r w:rsidR="001872DF" w:rsidRPr="00570195">
              <w:rPr>
                <w:rFonts w:ascii="Times New Roman" w:hAnsi="Times New Roman" w:cs="Times New Roman"/>
                <w:noProof/>
              </w:rPr>
              <w:fldChar w:fldCharType="begin"/>
            </w:r>
            <w:r w:rsidR="001872DF" w:rsidRPr="00570195">
              <w:rPr>
                <w:rFonts w:ascii="Times New Roman" w:hAnsi="Times New Roman" w:cs="Times New Roman"/>
                <w:noProof/>
              </w:rPr>
              <w:instrText xml:space="preserve"> PAGEREF _Toc233486371 \h </w:instrText>
            </w:r>
            <w:r w:rsidR="001872DF" w:rsidRPr="00570195">
              <w:rPr>
                <w:rFonts w:ascii="Times New Roman" w:hAnsi="Times New Roman" w:cs="Times New Roman"/>
                <w:noProof/>
              </w:rPr>
            </w:r>
            <w:r w:rsidR="001872DF" w:rsidRPr="00570195">
              <w:rPr>
                <w:rFonts w:ascii="Times New Roman" w:hAnsi="Times New Roman" w:cs="Times New Roman"/>
                <w:noProof/>
              </w:rPr>
              <w:fldChar w:fldCharType="separate"/>
            </w:r>
            <w:r w:rsidR="001872DF" w:rsidRPr="00570195">
              <w:rPr>
                <w:rFonts w:ascii="Times New Roman" w:hAnsi="Times New Roman" w:cs="Times New Roman"/>
                <w:noProof/>
              </w:rPr>
              <w:t>1</w:t>
            </w:r>
            <w:r w:rsidR="001872DF" w:rsidRPr="00570195">
              <w:rPr>
                <w:rFonts w:ascii="Times New Roman" w:hAnsi="Times New Roman" w:cs="Times New Roman"/>
                <w:noProof/>
              </w:rPr>
              <w:fldChar w:fldCharType="end"/>
            </w:r>
          </w:hyperlink>
        </w:p>
        <w:p w14:paraId="23A65FB4" w14:textId="77777777" w:rsidR="001872DF" w:rsidRPr="00570195" w:rsidRDefault="00000000" w:rsidP="00570195">
          <w:pPr>
            <w:pStyle w:val="TOC1"/>
            <w:tabs>
              <w:tab w:val="right" w:leader="dot" w:pos="9350"/>
            </w:tabs>
            <w:spacing w:line="360" w:lineRule="auto"/>
            <w:jc w:val="both"/>
            <w:rPr>
              <w:rFonts w:ascii="Times New Roman" w:hAnsi="Times New Roman" w:cs="Times New Roman"/>
              <w:noProof/>
            </w:rPr>
          </w:pPr>
          <w:hyperlink w:anchor="_Toc233486372" w:history="1">
            <w:r w:rsidR="001872DF" w:rsidRPr="00570195">
              <w:rPr>
                <w:rStyle w:val="Hyperlink"/>
                <w:rFonts w:ascii="Times New Roman" w:hAnsi="Times New Roman" w:cs="Times New Roman"/>
                <w:noProof/>
              </w:rPr>
              <w:t>1. Introduction</w:t>
            </w:r>
            <w:r w:rsidR="001872DF" w:rsidRPr="00570195">
              <w:rPr>
                <w:rFonts w:ascii="Times New Roman" w:hAnsi="Times New Roman" w:cs="Times New Roman"/>
                <w:noProof/>
              </w:rPr>
              <w:tab/>
            </w:r>
            <w:r w:rsidR="001872DF" w:rsidRPr="00570195">
              <w:rPr>
                <w:rFonts w:ascii="Times New Roman" w:hAnsi="Times New Roman" w:cs="Times New Roman"/>
                <w:noProof/>
              </w:rPr>
              <w:fldChar w:fldCharType="begin"/>
            </w:r>
            <w:r w:rsidR="001872DF" w:rsidRPr="00570195">
              <w:rPr>
                <w:rFonts w:ascii="Times New Roman" w:hAnsi="Times New Roman" w:cs="Times New Roman"/>
                <w:noProof/>
              </w:rPr>
              <w:instrText xml:space="preserve"> PAGEREF _Toc233486372 \h </w:instrText>
            </w:r>
            <w:r w:rsidR="001872DF" w:rsidRPr="00570195">
              <w:rPr>
                <w:rFonts w:ascii="Times New Roman" w:hAnsi="Times New Roman" w:cs="Times New Roman"/>
                <w:noProof/>
              </w:rPr>
            </w:r>
            <w:r w:rsidR="001872DF" w:rsidRPr="00570195">
              <w:rPr>
                <w:rFonts w:ascii="Times New Roman" w:hAnsi="Times New Roman" w:cs="Times New Roman"/>
                <w:noProof/>
              </w:rPr>
              <w:fldChar w:fldCharType="separate"/>
            </w:r>
            <w:r w:rsidR="001872DF" w:rsidRPr="00570195">
              <w:rPr>
                <w:rFonts w:ascii="Times New Roman" w:hAnsi="Times New Roman" w:cs="Times New Roman"/>
                <w:noProof/>
              </w:rPr>
              <w:t>1</w:t>
            </w:r>
            <w:r w:rsidR="001872DF" w:rsidRPr="00570195">
              <w:rPr>
                <w:rFonts w:ascii="Times New Roman" w:hAnsi="Times New Roman" w:cs="Times New Roman"/>
                <w:noProof/>
              </w:rPr>
              <w:fldChar w:fldCharType="end"/>
            </w:r>
          </w:hyperlink>
        </w:p>
        <w:p w14:paraId="40B23257" w14:textId="77777777" w:rsidR="001872DF" w:rsidRPr="00570195" w:rsidRDefault="00000000" w:rsidP="00570195">
          <w:pPr>
            <w:pStyle w:val="TOC1"/>
            <w:tabs>
              <w:tab w:val="right" w:leader="dot" w:pos="9350"/>
            </w:tabs>
            <w:spacing w:line="360" w:lineRule="auto"/>
            <w:jc w:val="both"/>
            <w:rPr>
              <w:rFonts w:ascii="Times New Roman" w:hAnsi="Times New Roman" w:cs="Times New Roman"/>
              <w:noProof/>
            </w:rPr>
          </w:pPr>
          <w:hyperlink w:anchor="_Toc233486373" w:history="1">
            <w:r w:rsidR="001872DF" w:rsidRPr="00570195">
              <w:rPr>
                <w:rStyle w:val="Hyperlink"/>
                <w:rFonts w:ascii="Times New Roman" w:hAnsi="Times New Roman" w:cs="Times New Roman"/>
                <w:noProof/>
              </w:rPr>
              <w:t>2. Financial Health Check</w:t>
            </w:r>
            <w:r w:rsidR="001872DF" w:rsidRPr="00570195">
              <w:rPr>
                <w:rFonts w:ascii="Times New Roman" w:hAnsi="Times New Roman" w:cs="Times New Roman"/>
                <w:noProof/>
              </w:rPr>
              <w:tab/>
            </w:r>
            <w:r w:rsidR="001872DF" w:rsidRPr="00570195">
              <w:rPr>
                <w:rFonts w:ascii="Times New Roman" w:hAnsi="Times New Roman" w:cs="Times New Roman"/>
                <w:noProof/>
              </w:rPr>
              <w:fldChar w:fldCharType="begin"/>
            </w:r>
            <w:r w:rsidR="001872DF" w:rsidRPr="00570195">
              <w:rPr>
                <w:rFonts w:ascii="Times New Roman" w:hAnsi="Times New Roman" w:cs="Times New Roman"/>
                <w:noProof/>
              </w:rPr>
              <w:instrText xml:space="preserve"> PAGEREF _Toc233486373 \h </w:instrText>
            </w:r>
            <w:r w:rsidR="001872DF" w:rsidRPr="00570195">
              <w:rPr>
                <w:rFonts w:ascii="Times New Roman" w:hAnsi="Times New Roman" w:cs="Times New Roman"/>
                <w:noProof/>
              </w:rPr>
            </w:r>
            <w:r w:rsidR="001872DF" w:rsidRPr="00570195">
              <w:rPr>
                <w:rFonts w:ascii="Times New Roman" w:hAnsi="Times New Roman" w:cs="Times New Roman"/>
                <w:noProof/>
              </w:rPr>
              <w:fldChar w:fldCharType="separate"/>
            </w:r>
            <w:r w:rsidR="001872DF" w:rsidRPr="00570195">
              <w:rPr>
                <w:rFonts w:ascii="Times New Roman" w:hAnsi="Times New Roman" w:cs="Times New Roman"/>
                <w:noProof/>
              </w:rPr>
              <w:t>1</w:t>
            </w:r>
            <w:r w:rsidR="001872DF" w:rsidRPr="00570195">
              <w:rPr>
                <w:rFonts w:ascii="Times New Roman" w:hAnsi="Times New Roman" w:cs="Times New Roman"/>
                <w:noProof/>
              </w:rPr>
              <w:fldChar w:fldCharType="end"/>
            </w:r>
          </w:hyperlink>
        </w:p>
        <w:p w14:paraId="0F42050E" w14:textId="77777777" w:rsidR="001872DF" w:rsidRPr="00570195" w:rsidRDefault="00000000" w:rsidP="00570195">
          <w:pPr>
            <w:pStyle w:val="TOC2"/>
            <w:tabs>
              <w:tab w:val="right" w:leader="dot" w:pos="9350"/>
            </w:tabs>
            <w:spacing w:line="360" w:lineRule="auto"/>
            <w:jc w:val="both"/>
            <w:rPr>
              <w:rFonts w:ascii="Times New Roman" w:hAnsi="Times New Roman" w:cs="Times New Roman"/>
              <w:noProof/>
            </w:rPr>
          </w:pPr>
          <w:hyperlink w:anchor="_Toc233486374" w:history="1">
            <w:r w:rsidR="001872DF" w:rsidRPr="00570195">
              <w:rPr>
                <w:rStyle w:val="Hyperlink"/>
                <w:rFonts w:ascii="Times New Roman" w:hAnsi="Times New Roman" w:cs="Times New Roman"/>
                <w:noProof/>
              </w:rPr>
              <w:t>2.1 Overview of Financial Performance, 2021-2025</w:t>
            </w:r>
            <w:r w:rsidR="001872DF" w:rsidRPr="00570195">
              <w:rPr>
                <w:rFonts w:ascii="Times New Roman" w:hAnsi="Times New Roman" w:cs="Times New Roman"/>
                <w:noProof/>
              </w:rPr>
              <w:tab/>
            </w:r>
            <w:r w:rsidR="001872DF" w:rsidRPr="00570195">
              <w:rPr>
                <w:rFonts w:ascii="Times New Roman" w:hAnsi="Times New Roman" w:cs="Times New Roman"/>
                <w:noProof/>
              </w:rPr>
              <w:fldChar w:fldCharType="begin"/>
            </w:r>
            <w:r w:rsidR="001872DF" w:rsidRPr="00570195">
              <w:rPr>
                <w:rFonts w:ascii="Times New Roman" w:hAnsi="Times New Roman" w:cs="Times New Roman"/>
                <w:noProof/>
              </w:rPr>
              <w:instrText xml:space="preserve"> PAGEREF _Toc233486374 \h </w:instrText>
            </w:r>
            <w:r w:rsidR="001872DF" w:rsidRPr="00570195">
              <w:rPr>
                <w:rFonts w:ascii="Times New Roman" w:hAnsi="Times New Roman" w:cs="Times New Roman"/>
                <w:noProof/>
              </w:rPr>
            </w:r>
            <w:r w:rsidR="001872DF" w:rsidRPr="00570195">
              <w:rPr>
                <w:rFonts w:ascii="Times New Roman" w:hAnsi="Times New Roman" w:cs="Times New Roman"/>
                <w:noProof/>
              </w:rPr>
              <w:fldChar w:fldCharType="separate"/>
            </w:r>
            <w:r w:rsidR="001872DF" w:rsidRPr="00570195">
              <w:rPr>
                <w:rFonts w:ascii="Times New Roman" w:hAnsi="Times New Roman" w:cs="Times New Roman"/>
                <w:noProof/>
              </w:rPr>
              <w:t>1</w:t>
            </w:r>
            <w:r w:rsidR="001872DF" w:rsidRPr="00570195">
              <w:rPr>
                <w:rFonts w:ascii="Times New Roman" w:hAnsi="Times New Roman" w:cs="Times New Roman"/>
                <w:noProof/>
              </w:rPr>
              <w:fldChar w:fldCharType="end"/>
            </w:r>
          </w:hyperlink>
        </w:p>
        <w:p w14:paraId="72C8AE91" w14:textId="77777777" w:rsidR="001872DF" w:rsidRPr="00570195" w:rsidRDefault="00000000" w:rsidP="00570195">
          <w:pPr>
            <w:pStyle w:val="TOC2"/>
            <w:tabs>
              <w:tab w:val="right" w:leader="dot" w:pos="9350"/>
            </w:tabs>
            <w:spacing w:line="360" w:lineRule="auto"/>
            <w:jc w:val="both"/>
            <w:rPr>
              <w:rFonts w:ascii="Times New Roman" w:hAnsi="Times New Roman" w:cs="Times New Roman"/>
              <w:noProof/>
            </w:rPr>
          </w:pPr>
          <w:hyperlink w:anchor="_Toc233486375" w:history="1">
            <w:r w:rsidR="001872DF" w:rsidRPr="00570195">
              <w:rPr>
                <w:rStyle w:val="Hyperlink"/>
                <w:rFonts w:ascii="Times New Roman" w:hAnsi="Times New Roman" w:cs="Times New Roman"/>
                <w:noProof/>
              </w:rPr>
              <w:t>2.2 Profitability Analysis</w:t>
            </w:r>
            <w:r w:rsidR="001872DF" w:rsidRPr="00570195">
              <w:rPr>
                <w:rFonts w:ascii="Times New Roman" w:hAnsi="Times New Roman" w:cs="Times New Roman"/>
                <w:noProof/>
              </w:rPr>
              <w:tab/>
            </w:r>
            <w:r w:rsidR="001872DF" w:rsidRPr="00570195">
              <w:rPr>
                <w:rFonts w:ascii="Times New Roman" w:hAnsi="Times New Roman" w:cs="Times New Roman"/>
                <w:noProof/>
              </w:rPr>
              <w:fldChar w:fldCharType="begin"/>
            </w:r>
            <w:r w:rsidR="001872DF" w:rsidRPr="00570195">
              <w:rPr>
                <w:rFonts w:ascii="Times New Roman" w:hAnsi="Times New Roman" w:cs="Times New Roman"/>
                <w:noProof/>
              </w:rPr>
              <w:instrText xml:space="preserve"> PAGEREF _Toc233486375 \h </w:instrText>
            </w:r>
            <w:r w:rsidR="001872DF" w:rsidRPr="00570195">
              <w:rPr>
                <w:rFonts w:ascii="Times New Roman" w:hAnsi="Times New Roman" w:cs="Times New Roman"/>
                <w:noProof/>
              </w:rPr>
            </w:r>
            <w:r w:rsidR="001872DF" w:rsidRPr="00570195">
              <w:rPr>
                <w:rFonts w:ascii="Times New Roman" w:hAnsi="Times New Roman" w:cs="Times New Roman"/>
                <w:noProof/>
              </w:rPr>
              <w:fldChar w:fldCharType="separate"/>
            </w:r>
            <w:r w:rsidR="001872DF" w:rsidRPr="00570195">
              <w:rPr>
                <w:rFonts w:ascii="Times New Roman" w:hAnsi="Times New Roman" w:cs="Times New Roman"/>
                <w:noProof/>
              </w:rPr>
              <w:t>1</w:t>
            </w:r>
            <w:r w:rsidR="001872DF" w:rsidRPr="00570195">
              <w:rPr>
                <w:rFonts w:ascii="Times New Roman" w:hAnsi="Times New Roman" w:cs="Times New Roman"/>
                <w:noProof/>
              </w:rPr>
              <w:fldChar w:fldCharType="end"/>
            </w:r>
          </w:hyperlink>
        </w:p>
        <w:p w14:paraId="17DDF1A1" w14:textId="77777777" w:rsidR="001872DF" w:rsidRPr="00570195" w:rsidRDefault="00000000" w:rsidP="00570195">
          <w:pPr>
            <w:pStyle w:val="TOC2"/>
            <w:tabs>
              <w:tab w:val="right" w:leader="dot" w:pos="9350"/>
            </w:tabs>
            <w:spacing w:line="360" w:lineRule="auto"/>
            <w:jc w:val="both"/>
            <w:rPr>
              <w:rFonts w:ascii="Times New Roman" w:hAnsi="Times New Roman" w:cs="Times New Roman"/>
              <w:noProof/>
            </w:rPr>
          </w:pPr>
          <w:hyperlink w:anchor="_Toc233486376" w:history="1">
            <w:r w:rsidR="001872DF" w:rsidRPr="00570195">
              <w:rPr>
                <w:rStyle w:val="Hyperlink"/>
                <w:rFonts w:ascii="Times New Roman" w:hAnsi="Times New Roman" w:cs="Times New Roman"/>
                <w:noProof/>
              </w:rPr>
              <w:t>2.3 Liquidity Analysis and Industry Benchmarking</w:t>
            </w:r>
            <w:r w:rsidR="001872DF" w:rsidRPr="00570195">
              <w:rPr>
                <w:rFonts w:ascii="Times New Roman" w:hAnsi="Times New Roman" w:cs="Times New Roman"/>
                <w:noProof/>
              </w:rPr>
              <w:tab/>
            </w:r>
            <w:r w:rsidR="001872DF" w:rsidRPr="00570195">
              <w:rPr>
                <w:rFonts w:ascii="Times New Roman" w:hAnsi="Times New Roman" w:cs="Times New Roman"/>
                <w:noProof/>
              </w:rPr>
              <w:fldChar w:fldCharType="begin"/>
            </w:r>
            <w:r w:rsidR="001872DF" w:rsidRPr="00570195">
              <w:rPr>
                <w:rFonts w:ascii="Times New Roman" w:hAnsi="Times New Roman" w:cs="Times New Roman"/>
                <w:noProof/>
              </w:rPr>
              <w:instrText xml:space="preserve"> PAGEREF _Toc233486376 \h </w:instrText>
            </w:r>
            <w:r w:rsidR="001872DF" w:rsidRPr="00570195">
              <w:rPr>
                <w:rFonts w:ascii="Times New Roman" w:hAnsi="Times New Roman" w:cs="Times New Roman"/>
                <w:noProof/>
              </w:rPr>
            </w:r>
            <w:r w:rsidR="001872DF" w:rsidRPr="00570195">
              <w:rPr>
                <w:rFonts w:ascii="Times New Roman" w:hAnsi="Times New Roman" w:cs="Times New Roman"/>
                <w:noProof/>
              </w:rPr>
              <w:fldChar w:fldCharType="separate"/>
            </w:r>
            <w:r w:rsidR="001872DF" w:rsidRPr="00570195">
              <w:rPr>
                <w:rFonts w:ascii="Times New Roman" w:hAnsi="Times New Roman" w:cs="Times New Roman"/>
                <w:noProof/>
              </w:rPr>
              <w:t>1</w:t>
            </w:r>
            <w:r w:rsidR="001872DF" w:rsidRPr="00570195">
              <w:rPr>
                <w:rFonts w:ascii="Times New Roman" w:hAnsi="Times New Roman" w:cs="Times New Roman"/>
                <w:noProof/>
              </w:rPr>
              <w:fldChar w:fldCharType="end"/>
            </w:r>
          </w:hyperlink>
        </w:p>
        <w:p w14:paraId="388B7831" w14:textId="77777777" w:rsidR="001872DF" w:rsidRPr="00570195" w:rsidRDefault="00000000" w:rsidP="00570195">
          <w:pPr>
            <w:pStyle w:val="TOC2"/>
            <w:tabs>
              <w:tab w:val="right" w:leader="dot" w:pos="9350"/>
            </w:tabs>
            <w:spacing w:line="360" w:lineRule="auto"/>
            <w:jc w:val="both"/>
            <w:rPr>
              <w:rFonts w:ascii="Times New Roman" w:hAnsi="Times New Roman" w:cs="Times New Roman"/>
              <w:noProof/>
            </w:rPr>
          </w:pPr>
          <w:hyperlink w:anchor="_Toc233486377" w:history="1">
            <w:r w:rsidR="001872DF" w:rsidRPr="00570195">
              <w:rPr>
                <w:rStyle w:val="Hyperlink"/>
                <w:rFonts w:ascii="Times New Roman" w:hAnsi="Times New Roman" w:cs="Times New Roman"/>
                <w:noProof/>
              </w:rPr>
              <w:t>2.4 Efficiency and Cash Flow</w:t>
            </w:r>
            <w:r w:rsidR="001872DF" w:rsidRPr="00570195">
              <w:rPr>
                <w:rFonts w:ascii="Times New Roman" w:hAnsi="Times New Roman" w:cs="Times New Roman"/>
                <w:noProof/>
              </w:rPr>
              <w:tab/>
            </w:r>
            <w:r w:rsidR="001872DF" w:rsidRPr="00570195">
              <w:rPr>
                <w:rFonts w:ascii="Times New Roman" w:hAnsi="Times New Roman" w:cs="Times New Roman"/>
                <w:noProof/>
              </w:rPr>
              <w:fldChar w:fldCharType="begin"/>
            </w:r>
            <w:r w:rsidR="001872DF" w:rsidRPr="00570195">
              <w:rPr>
                <w:rFonts w:ascii="Times New Roman" w:hAnsi="Times New Roman" w:cs="Times New Roman"/>
                <w:noProof/>
              </w:rPr>
              <w:instrText xml:space="preserve"> PAGEREF _Toc233486377 \h </w:instrText>
            </w:r>
            <w:r w:rsidR="001872DF" w:rsidRPr="00570195">
              <w:rPr>
                <w:rFonts w:ascii="Times New Roman" w:hAnsi="Times New Roman" w:cs="Times New Roman"/>
                <w:noProof/>
              </w:rPr>
            </w:r>
            <w:r w:rsidR="001872DF" w:rsidRPr="00570195">
              <w:rPr>
                <w:rFonts w:ascii="Times New Roman" w:hAnsi="Times New Roman" w:cs="Times New Roman"/>
                <w:noProof/>
              </w:rPr>
              <w:fldChar w:fldCharType="separate"/>
            </w:r>
            <w:r w:rsidR="001872DF" w:rsidRPr="00570195">
              <w:rPr>
                <w:rFonts w:ascii="Times New Roman" w:hAnsi="Times New Roman" w:cs="Times New Roman"/>
                <w:noProof/>
              </w:rPr>
              <w:t>1</w:t>
            </w:r>
            <w:r w:rsidR="001872DF" w:rsidRPr="00570195">
              <w:rPr>
                <w:rFonts w:ascii="Times New Roman" w:hAnsi="Times New Roman" w:cs="Times New Roman"/>
                <w:noProof/>
              </w:rPr>
              <w:fldChar w:fldCharType="end"/>
            </w:r>
          </w:hyperlink>
        </w:p>
        <w:p w14:paraId="598ECD4F" w14:textId="77777777" w:rsidR="001872DF" w:rsidRPr="00570195" w:rsidRDefault="00000000" w:rsidP="00570195">
          <w:pPr>
            <w:pStyle w:val="TOC2"/>
            <w:tabs>
              <w:tab w:val="right" w:leader="dot" w:pos="9350"/>
            </w:tabs>
            <w:spacing w:line="360" w:lineRule="auto"/>
            <w:jc w:val="both"/>
            <w:rPr>
              <w:rFonts w:ascii="Times New Roman" w:hAnsi="Times New Roman" w:cs="Times New Roman"/>
              <w:noProof/>
            </w:rPr>
          </w:pPr>
          <w:hyperlink w:anchor="_Toc233486378" w:history="1">
            <w:r w:rsidR="001872DF" w:rsidRPr="00570195">
              <w:rPr>
                <w:rStyle w:val="Hyperlink"/>
                <w:rFonts w:ascii="Times New Roman" w:hAnsi="Times New Roman" w:cs="Times New Roman"/>
                <w:noProof/>
              </w:rPr>
              <w:t>2.5 Gearing and Capital Structure</w:t>
            </w:r>
            <w:r w:rsidR="001872DF" w:rsidRPr="00570195">
              <w:rPr>
                <w:rFonts w:ascii="Times New Roman" w:hAnsi="Times New Roman" w:cs="Times New Roman"/>
                <w:noProof/>
              </w:rPr>
              <w:tab/>
            </w:r>
            <w:r w:rsidR="001872DF" w:rsidRPr="00570195">
              <w:rPr>
                <w:rFonts w:ascii="Times New Roman" w:hAnsi="Times New Roman" w:cs="Times New Roman"/>
                <w:noProof/>
              </w:rPr>
              <w:fldChar w:fldCharType="begin"/>
            </w:r>
            <w:r w:rsidR="001872DF" w:rsidRPr="00570195">
              <w:rPr>
                <w:rFonts w:ascii="Times New Roman" w:hAnsi="Times New Roman" w:cs="Times New Roman"/>
                <w:noProof/>
              </w:rPr>
              <w:instrText xml:space="preserve"> PAGEREF _Toc233486378 \h </w:instrText>
            </w:r>
            <w:r w:rsidR="001872DF" w:rsidRPr="00570195">
              <w:rPr>
                <w:rFonts w:ascii="Times New Roman" w:hAnsi="Times New Roman" w:cs="Times New Roman"/>
                <w:noProof/>
              </w:rPr>
            </w:r>
            <w:r w:rsidR="001872DF" w:rsidRPr="00570195">
              <w:rPr>
                <w:rFonts w:ascii="Times New Roman" w:hAnsi="Times New Roman" w:cs="Times New Roman"/>
                <w:noProof/>
              </w:rPr>
              <w:fldChar w:fldCharType="separate"/>
            </w:r>
            <w:r w:rsidR="001872DF" w:rsidRPr="00570195">
              <w:rPr>
                <w:rFonts w:ascii="Times New Roman" w:hAnsi="Times New Roman" w:cs="Times New Roman"/>
                <w:noProof/>
              </w:rPr>
              <w:t>1</w:t>
            </w:r>
            <w:r w:rsidR="001872DF" w:rsidRPr="00570195">
              <w:rPr>
                <w:rFonts w:ascii="Times New Roman" w:hAnsi="Times New Roman" w:cs="Times New Roman"/>
                <w:noProof/>
              </w:rPr>
              <w:fldChar w:fldCharType="end"/>
            </w:r>
          </w:hyperlink>
        </w:p>
        <w:p w14:paraId="566743E9" w14:textId="77777777" w:rsidR="001872DF" w:rsidRPr="00570195" w:rsidRDefault="00000000" w:rsidP="00570195">
          <w:pPr>
            <w:pStyle w:val="TOC2"/>
            <w:tabs>
              <w:tab w:val="right" w:leader="dot" w:pos="9350"/>
            </w:tabs>
            <w:spacing w:line="360" w:lineRule="auto"/>
            <w:jc w:val="both"/>
            <w:rPr>
              <w:rFonts w:ascii="Times New Roman" w:hAnsi="Times New Roman" w:cs="Times New Roman"/>
              <w:noProof/>
            </w:rPr>
          </w:pPr>
          <w:hyperlink w:anchor="_Toc233486379" w:history="1">
            <w:r w:rsidR="001872DF" w:rsidRPr="00570195">
              <w:rPr>
                <w:rStyle w:val="Hyperlink"/>
                <w:rFonts w:ascii="Times New Roman" w:hAnsi="Times New Roman" w:cs="Times New Roman"/>
                <w:noProof/>
              </w:rPr>
              <w:t>2.6 Summary</w:t>
            </w:r>
            <w:r w:rsidR="001872DF" w:rsidRPr="00570195">
              <w:rPr>
                <w:rFonts w:ascii="Times New Roman" w:hAnsi="Times New Roman" w:cs="Times New Roman"/>
                <w:noProof/>
              </w:rPr>
              <w:tab/>
            </w:r>
            <w:r w:rsidR="001872DF" w:rsidRPr="00570195">
              <w:rPr>
                <w:rFonts w:ascii="Times New Roman" w:hAnsi="Times New Roman" w:cs="Times New Roman"/>
                <w:noProof/>
              </w:rPr>
              <w:fldChar w:fldCharType="begin"/>
            </w:r>
            <w:r w:rsidR="001872DF" w:rsidRPr="00570195">
              <w:rPr>
                <w:rFonts w:ascii="Times New Roman" w:hAnsi="Times New Roman" w:cs="Times New Roman"/>
                <w:noProof/>
              </w:rPr>
              <w:instrText xml:space="preserve"> PAGEREF _Toc233486379 \h </w:instrText>
            </w:r>
            <w:r w:rsidR="001872DF" w:rsidRPr="00570195">
              <w:rPr>
                <w:rFonts w:ascii="Times New Roman" w:hAnsi="Times New Roman" w:cs="Times New Roman"/>
                <w:noProof/>
              </w:rPr>
            </w:r>
            <w:r w:rsidR="001872DF" w:rsidRPr="00570195">
              <w:rPr>
                <w:rFonts w:ascii="Times New Roman" w:hAnsi="Times New Roman" w:cs="Times New Roman"/>
                <w:noProof/>
              </w:rPr>
              <w:fldChar w:fldCharType="separate"/>
            </w:r>
            <w:r w:rsidR="001872DF" w:rsidRPr="00570195">
              <w:rPr>
                <w:rFonts w:ascii="Times New Roman" w:hAnsi="Times New Roman" w:cs="Times New Roman"/>
                <w:noProof/>
              </w:rPr>
              <w:t>1</w:t>
            </w:r>
            <w:r w:rsidR="001872DF" w:rsidRPr="00570195">
              <w:rPr>
                <w:rFonts w:ascii="Times New Roman" w:hAnsi="Times New Roman" w:cs="Times New Roman"/>
                <w:noProof/>
              </w:rPr>
              <w:fldChar w:fldCharType="end"/>
            </w:r>
          </w:hyperlink>
        </w:p>
        <w:p w14:paraId="52A53748" w14:textId="77777777" w:rsidR="001872DF" w:rsidRPr="00570195" w:rsidRDefault="00000000" w:rsidP="00570195">
          <w:pPr>
            <w:pStyle w:val="TOC1"/>
            <w:tabs>
              <w:tab w:val="right" w:leader="dot" w:pos="9350"/>
            </w:tabs>
            <w:spacing w:line="360" w:lineRule="auto"/>
            <w:jc w:val="both"/>
            <w:rPr>
              <w:rFonts w:ascii="Times New Roman" w:hAnsi="Times New Roman" w:cs="Times New Roman"/>
              <w:noProof/>
            </w:rPr>
          </w:pPr>
          <w:hyperlink w:anchor="_Toc233486380" w:history="1">
            <w:r w:rsidR="001872DF" w:rsidRPr="00570195">
              <w:rPr>
                <w:rStyle w:val="Hyperlink"/>
                <w:rFonts w:ascii="Times New Roman" w:hAnsi="Times New Roman" w:cs="Times New Roman"/>
                <w:noProof/>
              </w:rPr>
              <w:t>3. Working Capital Management Analysis</w:t>
            </w:r>
            <w:r w:rsidR="001872DF" w:rsidRPr="00570195">
              <w:rPr>
                <w:rFonts w:ascii="Times New Roman" w:hAnsi="Times New Roman" w:cs="Times New Roman"/>
                <w:noProof/>
              </w:rPr>
              <w:tab/>
            </w:r>
            <w:r w:rsidR="001872DF" w:rsidRPr="00570195">
              <w:rPr>
                <w:rFonts w:ascii="Times New Roman" w:hAnsi="Times New Roman" w:cs="Times New Roman"/>
                <w:noProof/>
              </w:rPr>
              <w:fldChar w:fldCharType="begin"/>
            </w:r>
            <w:r w:rsidR="001872DF" w:rsidRPr="00570195">
              <w:rPr>
                <w:rFonts w:ascii="Times New Roman" w:hAnsi="Times New Roman" w:cs="Times New Roman"/>
                <w:noProof/>
              </w:rPr>
              <w:instrText xml:space="preserve"> PAGEREF _Toc233486380 \h </w:instrText>
            </w:r>
            <w:r w:rsidR="001872DF" w:rsidRPr="00570195">
              <w:rPr>
                <w:rFonts w:ascii="Times New Roman" w:hAnsi="Times New Roman" w:cs="Times New Roman"/>
                <w:noProof/>
              </w:rPr>
            </w:r>
            <w:r w:rsidR="001872DF" w:rsidRPr="00570195">
              <w:rPr>
                <w:rFonts w:ascii="Times New Roman" w:hAnsi="Times New Roman" w:cs="Times New Roman"/>
                <w:noProof/>
              </w:rPr>
              <w:fldChar w:fldCharType="separate"/>
            </w:r>
            <w:r w:rsidR="001872DF" w:rsidRPr="00570195">
              <w:rPr>
                <w:rFonts w:ascii="Times New Roman" w:hAnsi="Times New Roman" w:cs="Times New Roman"/>
                <w:noProof/>
              </w:rPr>
              <w:t>1</w:t>
            </w:r>
            <w:r w:rsidR="001872DF" w:rsidRPr="00570195">
              <w:rPr>
                <w:rFonts w:ascii="Times New Roman" w:hAnsi="Times New Roman" w:cs="Times New Roman"/>
                <w:noProof/>
              </w:rPr>
              <w:fldChar w:fldCharType="end"/>
            </w:r>
          </w:hyperlink>
        </w:p>
        <w:p w14:paraId="2746A5BE" w14:textId="77777777" w:rsidR="001872DF" w:rsidRPr="00570195" w:rsidRDefault="00000000" w:rsidP="00570195">
          <w:pPr>
            <w:pStyle w:val="TOC2"/>
            <w:tabs>
              <w:tab w:val="right" w:leader="dot" w:pos="9350"/>
            </w:tabs>
            <w:spacing w:line="360" w:lineRule="auto"/>
            <w:jc w:val="both"/>
            <w:rPr>
              <w:rFonts w:ascii="Times New Roman" w:hAnsi="Times New Roman" w:cs="Times New Roman"/>
              <w:noProof/>
            </w:rPr>
          </w:pPr>
          <w:hyperlink w:anchor="_Toc233486381" w:history="1">
            <w:r w:rsidR="001872DF" w:rsidRPr="00570195">
              <w:rPr>
                <w:rStyle w:val="Hyperlink"/>
                <w:rFonts w:ascii="Times New Roman" w:hAnsi="Times New Roman" w:cs="Times New Roman"/>
                <w:noProof/>
              </w:rPr>
              <w:t>3.1 The Cash Operating Cycle</w:t>
            </w:r>
            <w:r w:rsidR="001872DF" w:rsidRPr="00570195">
              <w:rPr>
                <w:rFonts w:ascii="Times New Roman" w:hAnsi="Times New Roman" w:cs="Times New Roman"/>
                <w:noProof/>
              </w:rPr>
              <w:tab/>
            </w:r>
            <w:r w:rsidR="001872DF" w:rsidRPr="00570195">
              <w:rPr>
                <w:rFonts w:ascii="Times New Roman" w:hAnsi="Times New Roman" w:cs="Times New Roman"/>
                <w:noProof/>
              </w:rPr>
              <w:fldChar w:fldCharType="begin"/>
            </w:r>
            <w:r w:rsidR="001872DF" w:rsidRPr="00570195">
              <w:rPr>
                <w:rFonts w:ascii="Times New Roman" w:hAnsi="Times New Roman" w:cs="Times New Roman"/>
                <w:noProof/>
              </w:rPr>
              <w:instrText xml:space="preserve"> PAGEREF _Toc233486381 \h </w:instrText>
            </w:r>
            <w:r w:rsidR="001872DF" w:rsidRPr="00570195">
              <w:rPr>
                <w:rFonts w:ascii="Times New Roman" w:hAnsi="Times New Roman" w:cs="Times New Roman"/>
                <w:noProof/>
              </w:rPr>
            </w:r>
            <w:r w:rsidR="001872DF" w:rsidRPr="00570195">
              <w:rPr>
                <w:rFonts w:ascii="Times New Roman" w:hAnsi="Times New Roman" w:cs="Times New Roman"/>
                <w:noProof/>
              </w:rPr>
              <w:fldChar w:fldCharType="separate"/>
            </w:r>
            <w:r w:rsidR="001872DF" w:rsidRPr="00570195">
              <w:rPr>
                <w:rFonts w:ascii="Times New Roman" w:hAnsi="Times New Roman" w:cs="Times New Roman"/>
                <w:noProof/>
              </w:rPr>
              <w:t>1</w:t>
            </w:r>
            <w:r w:rsidR="001872DF" w:rsidRPr="00570195">
              <w:rPr>
                <w:rFonts w:ascii="Times New Roman" w:hAnsi="Times New Roman" w:cs="Times New Roman"/>
                <w:noProof/>
              </w:rPr>
              <w:fldChar w:fldCharType="end"/>
            </w:r>
          </w:hyperlink>
        </w:p>
        <w:p w14:paraId="5C5122AB" w14:textId="77777777" w:rsidR="001872DF" w:rsidRPr="00570195" w:rsidRDefault="00000000" w:rsidP="00570195">
          <w:pPr>
            <w:pStyle w:val="TOC2"/>
            <w:tabs>
              <w:tab w:val="right" w:leader="dot" w:pos="9350"/>
            </w:tabs>
            <w:spacing w:line="360" w:lineRule="auto"/>
            <w:jc w:val="both"/>
            <w:rPr>
              <w:rFonts w:ascii="Times New Roman" w:hAnsi="Times New Roman" w:cs="Times New Roman"/>
              <w:noProof/>
            </w:rPr>
          </w:pPr>
          <w:hyperlink w:anchor="_Toc233486382" w:history="1">
            <w:r w:rsidR="001872DF" w:rsidRPr="00570195">
              <w:rPr>
                <w:rStyle w:val="Hyperlink"/>
                <w:rFonts w:ascii="Times New Roman" w:hAnsi="Times New Roman" w:cs="Times New Roman"/>
                <w:noProof/>
              </w:rPr>
              <w:t>3.2 Liquidity Reform Recommendations</w:t>
            </w:r>
            <w:r w:rsidR="001872DF" w:rsidRPr="00570195">
              <w:rPr>
                <w:rFonts w:ascii="Times New Roman" w:hAnsi="Times New Roman" w:cs="Times New Roman"/>
                <w:noProof/>
              </w:rPr>
              <w:tab/>
            </w:r>
            <w:r w:rsidR="001872DF" w:rsidRPr="00570195">
              <w:rPr>
                <w:rFonts w:ascii="Times New Roman" w:hAnsi="Times New Roman" w:cs="Times New Roman"/>
                <w:noProof/>
              </w:rPr>
              <w:fldChar w:fldCharType="begin"/>
            </w:r>
            <w:r w:rsidR="001872DF" w:rsidRPr="00570195">
              <w:rPr>
                <w:rFonts w:ascii="Times New Roman" w:hAnsi="Times New Roman" w:cs="Times New Roman"/>
                <w:noProof/>
              </w:rPr>
              <w:instrText xml:space="preserve"> PAGEREF _Toc233486382 \h </w:instrText>
            </w:r>
            <w:r w:rsidR="001872DF" w:rsidRPr="00570195">
              <w:rPr>
                <w:rFonts w:ascii="Times New Roman" w:hAnsi="Times New Roman" w:cs="Times New Roman"/>
                <w:noProof/>
              </w:rPr>
            </w:r>
            <w:r w:rsidR="001872DF" w:rsidRPr="00570195">
              <w:rPr>
                <w:rFonts w:ascii="Times New Roman" w:hAnsi="Times New Roman" w:cs="Times New Roman"/>
                <w:noProof/>
              </w:rPr>
              <w:fldChar w:fldCharType="separate"/>
            </w:r>
            <w:r w:rsidR="001872DF" w:rsidRPr="00570195">
              <w:rPr>
                <w:rFonts w:ascii="Times New Roman" w:hAnsi="Times New Roman" w:cs="Times New Roman"/>
                <w:noProof/>
              </w:rPr>
              <w:t>1</w:t>
            </w:r>
            <w:r w:rsidR="001872DF" w:rsidRPr="00570195">
              <w:rPr>
                <w:rFonts w:ascii="Times New Roman" w:hAnsi="Times New Roman" w:cs="Times New Roman"/>
                <w:noProof/>
              </w:rPr>
              <w:fldChar w:fldCharType="end"/>
            </w:r>
          </w:hyperlink>
        </w:p>
        <w:p w14:paraId="2FABE040" w14:textId="77777777" w:rsidR="001872DF" w:rsidRPr="00570195" w:rsidRDefault="00000000" w:rsidP="00570195">
          <w:pPr>
            <w:pStyle w:val="TOC2"/>
            <w:tabs>
              <w:tab w:val="right" w:leader="dot" w:pos="9350"/>
            </w:tabs>
            <w:spacing w:line="360" w:lineRule="auto"/>
            <w:jc w:val="both"/>
            <w:rPr>
              <w:rFonts w:ascii="Times New Roman" w:hAnsi="Times New Roman" w:cs="Times New Roman"/>
              <w:noProof/>
            </w:rPr>
          </w:pPr>
          <w:hyperlink w:anchor="_Toc233486383" w:history="1">
            <w:r w:rsidR="001872DF" w:rsidRPr="00570195">
              <w:rPr>
                <w:rStyle w:val="Hyperlink"/>
                <w:rFonts w:ascii="Times New Roman" w:hAnsi="Times New Roman" w:cs="Times New Roman"/>
                <w:noProof/>
              </w:rPr>
              <w:t>3.3 Short-Term versus Long-Term Financing</w:t>
            </w:r>
            <w:r w:rsidR="001872DF" w:rsidRPr="00570195">
              <w:rPr>
                <w:rFonts w:ascii="Times New Roman" w:hAnsi="Times New Roman" w:cs="Times New Roman"/>
                <w:noProof/>
              </w:rPr>
              <w:tab/>
            </w:r>
            <w:r w:rsidR="001872DF" w:rsidRPr="00570195">
              <w:rPr>
                <w:rFonts w:ascii="Times New Roman" w:hAnsi="Times New Roman" w:cs="Times New Roman"/>
                <w:noProof/>
              </w:rPr>
              <w:fldChar w:fldCharType="begin"/>
            </w:r>
            <w:r w:rsidR="001872DF" w:rsidRPr="00570195">
              <w:rPr>
                <w:rFonts w:ascii="Times New Roman" w:hAnsi="Times New Roman" w:cs="Times New Roman"/>
                <w:noProof/>
              </w:rPr>
              <w:instrText xml:space="preserve"> PAGEREF _Toc233486383 \h </w:instrText>
            </w:r>
            <w:r w:rsidR="001872DF" w:rsidRPr="00570195">
              <w:rPr>
                <w:rFonts w:ascii="Times New Roman" w:hAnsi="Times New Roman" w:cs="Times New Roman"/>
                <w:noProof/>
              </w:rPr>
            </w:r>
            <w:r w:rsidR="001872DF" w:rsidRPr="00570195">
              <w:rPr>
                <w:rFonts w:ascii="Times New Roman" w:hAnsi="Times New Roman" w:cs="Times New Roman"/>
                <w:noProof/>
              </w:rPr>
              <w:fldChar w:fldCharType="separate"/>
            </w:r>
            <w:r w:rsidR="001872DF" w:rsidRPr="00570195">
              <w:rPr>
                <w:rFonts w:ascii="Times New Roman" w:hAnsi="Times New Roman" w:cs="Times New Roman"/>
                <w:noProof/>
              </w:rPr>
              <w:t>1</w:t>
            </w:r>
            <w:r w:rsidR="001872DF" w:rsidRPr="00570195">
              <w:rPr>
                <w:rFonts w:ascii="Times New Roman" w:hAnsi="Times New Roman" w:cs="Times New Roman"/>
                <w:noProof/>
              </w:rPr>
              <w:fldChar w:fldCharType="end"/>
            </w:r>
          </w:hyperlink>
        </w:p>
        <w:p w14:paraId="6FC6C0D4" w14:textId="77777777" w:rsidR="001872DF" w:rsidRPr="00570195" w:rsidRDefault="00000000" w:rsidP="00570195">
          <w:pPr>
            <w:pStyle w:val="TOC1"/>
            <w:tabs>
              <w:tab w:val="right" w:leader="dot" w:pos="9350"/>
            </w:tabs>
            <w:spacing w:line="360" w:lineRule="auto"/>
            <w:jc w:val="both"/>
            <w:rPr>
              <w:rFonts w:ascii="Times New Roman" w:hAnsi="Times New Roman" w:cs="Times New Roman"/>
              <w:noProof/>
            </w:rPr>
          </w:pPr>
          <w:hyperlink w:anchor="_Toc233486384" w:history="1">
            <w:r w:rsidR="001872DF" w:rsidRPr="00570195">
              <w:rPr>
                <w:rStyle w:val="Hyperlink"/>
                <w:rFonts w:ascii="Times New Roman" w:hAnsi="Times New Roman" w:cs="Times New Roman"/>
                <w:noProof/>
              </w:rPr>
              <w:t>4. Strategic Financial Restructuring Plan</w:t>
            </w:r>
            <w:r w:rsidR="001872DF" w:rsidRPr="00570195">
              <w:rPr>
                <w:rFonts w:ascii="Times New Roman" w:hAnsi="Times New Roman" w:cs="Times New Roman"/>
                <w:noProof/>
              </w:rPr>
              <w:tab/>
            </w:r>
            <w:r w:rsidR="001872DF" w:rsidRPr="00570195">
              <w:rPr>
                <w:rFonts w:ascii="Times New Roman" w:hAnsi="Times New Roman" w:cs="Times New Roman"/>
                <w:noProof/>
              </w:rPr>
              <w:fldChar w:fldCharType="begin"/>
            </w:r>
            <w:r w:rsidR="001872DF" w:rsidRPr="00570195">
              <w:rPr>
                <w:rFonts w:ascii="Times New Roman" w:hAnsi="Times New Roman" w:cs="Times New Roman"/>
                <w:noProof/>
              </w:rPr>
              <w:instrText xml:space="preserve"> PAGEREF _Toc233486384 \h </w:instrText>
            </w:r>
            <w:r w:rsidR="001872DF" w:rsidRPr="00570195">
              <w:rPr>
                <w:rFonts w:ascii="Times New Roman" w:hAnsi="Times New Roman" w:cs="Times New Roman"/>
                <w:noProof/>
              </w:rPr>
            </w:r>
            <w:r w:rsidR="001872DF" w:rsidRPr="00570195">
              <w:rPr>
                <w:rFonts w:ascii="Times New Roman" w:hAnsi="Times New Roman" w:cs="Times New Roman"/>
                <w:noProof/>
              </w:rPr>
              <w:fldChar w:fldCharType="separate"/>
            </w:r>
            <w:r w:rsidR="001872DF" w:rsidRPr="00570195">
              <w:rPr>
                <w:rFonts w:ascii="Times New Roman" w:hAnsi="Times New Roman" w:cs="Times New Roman"/>
                <w:noProof/>
              </w:rPr>
              <w:t>1</w:t>
            </w:r>
            <w:r w:rsidR="001872DF" w:rsidRPr="00570195">
              <w:rPr>
                <w:rFonts w:ascii="Times New Roman" w:hAnsi="Times New Roman" w:cs="Times New Roman"/>
                <w:noProof/>
              </w:rPr>
              <w:fldChar w:fldCharType="end"/>
            </w:r>
          </w:hyperlink>
        </w:p>
        <w:p w14:paraId="36E06D18" w14:textId="77777777" w:rsidR="001872DF" w:rsidRPr="00570195" w:rsidRDefault="00000000" w:rsidP="00570195">
          <w:pPr>
            <w:pStyle w:val="TOC2"/>
            <w:tabs>
              <w:tab w:val="right" w:leader="dot" w:pos="9350"/>
            </w:tabs>
            <w:spacing w:line="360" w:lineRule="auto"/>
            <w:jc w:val="both"/>
            <w:rPr>
              <w:rFonts w:ascii="Times New Roman" w:hAnsi="Times New Roman" w:cs="Times New Roman"/>
              <w:noProof/>
            </w:rPr>
          </w:pPr>
          <w:hyperlink w:anchor="_Toc233486385" w:history="1">
            <w:r w:rsidR="001872DF" w:rsidRPr="00570195">
              <w:rPr>
                <w:rStyle w:val="Hyperlink"/>
                <w:rFonts w:ascii="Times New Roman" w:hAnsi="Times New Roman" w:cs="Times New Roman"/>
                <w:noProof/>
              </w:rPr>
              <w:t>4.1 Rationale for Restructuring</w:t>
            </w:r>
            <w:r w:rsidR="001872DF" w:rsidRPr="00570195">
              <w:rPr>
                <w:rFonts w:ascii="Times New Roman" w:hAnsi="Times New Roman" w:cs="Times New Roman"/>
                <w:noProof/>
              </w:rPr>
              <w:tab/>
            </w:r>
            <w:r w:rsidR="001872DF" w:rsidRPr="00570195">
              <w:rPr>
                <w:rFonts w:ascii="Times New Roman" w:hAnsi="Times New Roman" w:cs="Times New Roman"/>
                <w:noProof/>
              </w:rPr>
              <w:fldChar w:fldCharType="begin"/>
            </w:r>
            <w:r w:rsidR="001872DF" w:rsidRPr="00570195">
              <w:rPr>
                <w:rFonts w:ascii="Times New Roman" w:hAnsi="Times New Roman" w:cs="Times New Roman"/>
                <w:noProof/>
              </w:rPr>
              <w:instrText xml:space="preserve"> PAGEREF _Toc233486385 \h </w:instrText>
            </w:r>
            <w:r w:rsidR="001872DF" w:rsidRPr="00570195">
              <w:rPr>
                <w:rFonts w:ascii="Times New Roman" w:hAnsi="Times New Roman" w:cs="Times New Roman"/>
                <w:noProof/>
              </w:rPr>
            </w:r>
            <w:r w:rsidR="001872DF" w:rsidRPr="00570195">
              <w:rPr>
                <w:rFonts w:ascii="Times New Roman" w:hAnsi="Times New Roman" w:cs="Times New Roman"/>
                <w:noProof/>
              </w:rPr>
              <w:fldChar w:fldCharType="separate"/>
            </w:r>
            <w:r w:rsidR="001872DF" w:rsidRPr="00570195">
              <w:rPr>
                <w:rFonts w:ascii="Times New Roman" w:hAnsi="Times New Roman" w:cs="Times New Roman"/>
                <w:noProof/>
              </w:rPr>
              <w:t>1</w:t>
            </w:r>
            <w:r w:rsidR="001872DF" w:rsidRPr="00570195">
              <w:rPr>
                <w:rFonts w:ascii="Times New Roman" w:hAnsi="Times New Roman" w:cs="Times New Roman"/>
                <w:noProof/>
              </w:rPr>
              <w:fldChar w:fldCharType="end"/>
            </w:r>
          </w:hyperlink>
        </w:p>
        <w:p w14:paraId="5AC5F0BB" w14:textId="77777777" w:rsidR="001872DF" w:rsidRPr="00570195" w:rsidRDefault="00000000" w:rsidP="00570195">
          <w:pPr>
            <w:pStyle w:val="TOC2"/>
            <w:tabs>
              <w:tab w:val="right" w:leader="dot" w:pos="9350"/>
            </w:tabs>
            <w:spacing w:line="360" w:lineRule="auto"/>
            <w:jc w:val="both"/>
            <w:rPr>
              <w:rFonts w:ascii="Times New Roman" w:hAnsi="Times New Roman" w:cs="Times New Roman"/>
              <w:noProof/>
            </w:rPr>
          </w:pPr>
          <w:hyperlink w:anchor="_Toc233486386" w:history="1">
            <w:r w:rsidR="001872DF" w:rsidRPr="00570195">
              <w:rPr>
                <w:rStyle w:val="Hyperlink"/>
                <w:rFonts w:ascii="Times New Roman" w:hAnsi="Times New Roman" w:cs="Times New Roman"/>
                <w:noProof/>
              </w:rPr>
              <w:t>4.2 Recommended Restructuring Options</w:t>
            </w:r>
            <w:r w:rsidR="001872DF" w:rsidRPr="00570195">
              <w:rPr>
                <w:rFonts w:ascii="Times New Roman" w:hAnsi="Times New Roman" w:cs="Times New Roman"/>
                <w:noProof/>
              </w:rPr>
              <w:tab/>
            </w:r>
            <w:r w:rsidR="001872DF" w:rsidRPr="00570195">
              <w:rPr>
                <w:rFonts w:ascii="Times New Roman" w:hAnsi="Times New Roman" w:cs="Times New Roman"/>
                <w:noProof/>
              </w:rPr>
              <w:fldChar w:fldCharType="begin"/>
            </w:r>
            <w:r w:rsidR="001872DF" w:rsidRPr="00570195">
              <w:rPr>
                <w:rFonts w:ascii="Times New Roman" w:hAnsi="Times New Roman" w:cs="Times New Roman"/>
                <w:noProof/>
              </w:rPr>
              <w:instrText xml:space="preserve"> PAGEREF _Toc233486386 \h </w:instrText>
            </w:r>
            <w:r w:rsidR="001872DF" w:rsidRPr="00570195">
              <w:rPr>
                <w:rFonts w:ascii="Times New Roman" w:hAnsi="Times New Roman" w:cs="Times New Roman"/>
                <w:noProof/>
              </w:rPr>
            </w:r>
            <w:r w:rsidR="001872DF" w:rsidRPr="00570195">
              <w:rPr>
                <w:rFonts w:ascii="Times New Roman" w:hAnsi="Times New Roman" w:cs="Times New Roman"/>
                <w:noProof/>
              </w:rPr>
              <w:fldChar w:fldCharType="separate"/>
            </w:r>
            <w:r w:rsidR="001872DF" w:rsidRPr="00570195">
              <w:rPr>
                <w:rFonts w:ascii="Times New Roman" w:hAnsi="Times New Roman" w:cs="Times New Roman"/>
                <w:noProof/>
              </w:rPr>
              <w:t>1</w:t>
            </w:r>
            <w:r w:rsidR="001872DF" w:rsidRPr="00570195">
              <w:rPr>
                <w:rFonts w:ascii="Times New Roman" w:hAnsi="Times New Roman" w:cs="Times New Roman"/>
                <w:noProof/>
              </w:rPr>
              <w:fldChar w:fldCharType="end"/>
            </w:r>
          </w:hyperlink>
        </w:p>
        <w:p w14:paraId="76B12CEB" w14:textId="77777777" w:rsidR="001872DF" w:rsidRPr="00570195" w:rsidRDefault="00000000" w:rsidP="00570195">
          <w:pPr>
            <w:pStyle w:val="TOC2"/>
            <w:tabs>
              <w:tab w:val="right" w:leader="dot" w:pos="9350"/>
            </w:tabs>
            <w:spacing w:line="360" w:lineRule="auto"/>
            <w:jc w:val="both"/>
            <w:rPr>
              <w:rFonts w:ascii="Times New Roman" w:hAnsi="Times New Roman" w:cs="Times New Roman"/>
              <w:noProof/>
            </w:rPr>
          </w:pPr>
          <w:hyperlink w:anchor="_Toc233486387" w:history="1">
            <w:r w:rsidR="001872DF" w:rsidRPr="00570195">
              <w:rPr>
                <w:rStyle w:val="Hyperlink"/>
                <w:rFonts w:ascii="Times New Roman" w:hAnsi="Times New Roman" w:cs="Times New Roman"/>
                <w:noProof/>
              </w:rPr>
              <w:t>4.3 Impact on Shareholder Value, Debt Structure and Operational Flexibility</w:t>
            </w:r>
            <w:r w:rsidR="001872DF" w:rsidRPr="00570195">
              <w:rPr>
                <w:rFonts w:ascii="Times New Roman" w:hAnsi="Times New Roman" w:cs="Times New Roman"/>
                <w:noProof/>
              </w:rPr>
              <w:tab/>
            </w:r>
            <w:r w:rsidR="001872DF" w:rsidRPr="00570195">
              <w:rPr>
                <w:rFonts w:ascii="Times New Roman" w:hAnsi="Times New Roman" w:cs="Times New Roman"/>
                <w:noProof/>
              </w:rPr>
              <w:fldChar w:fldCharType="begin"/>
            </w:r>
            <w:r w:rsidR="001872DF" w:rsidRPr="00570195">
              <w:rPr>
                <w:rFonts w:ascii="Times New Roman" w:hAnsi="Times New Roman" w:cs="Times New Roman"/>
                <w:noProof/>
              </w:rPr>
              <w:instrText xml:space="preserve"> PAGEREF _Toc233486387 \h </w:instrText>
            </w:r>
            <w:r w:rsidR="001872DF" w:rsidRPr="00570195">
              <w:rPr>
                <w:rFonts w:ascii="Times New Roman" w:hAnsi="Times New Roman" w:cs="Times New Roman"/>
                <w:noProof/>
              </w:rPr>
            </w:r>
            <w:r w:rsidR="001872DF" w:rsidRPr="00570195">
              <w:rPr>
                <w:rFonts w:ascii="Times New Roman" w:hAnsi="Times New Roman" w:cs="Times New Roman"/>
                <w:noProof/>
              </w:rPr>
              <w:fldChar w:fldCharType="separate"/>
            </w:r>
            <w:r w:rsidR="001872DF" w:rsidRPr="00570195">
              <w:rPr>
                <w:rFonts w:ascii="Times New Roman" w:hAnsi="Times New Roman" w:cs="Times New Roman"/>
                <w:noProof/>
              </w:rPr>
              <w:t>1</w:t>
            </w:r>
            <w:r w:rsidR="001872DF" w:rsidRPr="00570195">
              <w:rPr>
                <w:rFonts w:ascii="Times New Roman" w:hAnsi="Times New Roman" w:cs="Times New Roman"/>
                <w:noProof/>
              </w:rPr>
              <w:fldChar w:fldCharType="end"/>
            </w:r>
          </w:hyperlink>
        </w:p>
        <w:p w14:paraId="06151E4C" w14:textId="77777777" w:rsidR="001872DF" w:rsidRPr="00570195" w:rsidRDefault="00000000" w:rsidP="00570195">
          <w:pPr>
            <w:pStyle w:val="TOC2"/>
            <w:tabs>
              <w:tab w:val="right" w:leader="dot" w:pos="9350"/>
            </w:tabs>
            <w:spacing w:line="360" w:lineRule="auto"/>
            <w:jc w:val="both"/>
            <w:rPr>
              <w:rFonts w:ascii="Times New Roman" w:hAnsi="Times New Roman" w:cs="Times New Roman"/>
              <w:noProof/>
            </w:rPr>
          </w:pPr>
          <w:hyperlink w:anchor="_Toc233486388" w:history="1">
            <w:r w:rsidR="001872DF" w:rsidRPr="00570195">
              <w:rPr>
                <w:rStyle w:val="Hyperlink"/>
                <w:rFonts w:ascii="Times New Roman" w:hAnsi="Times New Roman" w:cs="Times New Roman"/>
                <w:noProof/>
              </w:rPr>
              <w:t>4.4 International and Ethical Considerations</w:t>
            </w:r>
            <w:r w:rsidR="001872DF" w:rsidRPr="00570195">
              <w:rPr>
                <w:rFonts w:ascii="Times New Roman" w:hAnsi="Times New Roman" w:cs="Times New Roman"/>
                <w:noProof/>
              </w:rPr>
              <w:tab/>
            </w:r>
            <w:r w:rsidR="001872DF" w:rsidRPr="00570195">
              <w:rPr>
                <w:rFonts w:ascii="Times New Roman" w:hAnsi="Times New Roman" w:cs="Times New Roman"/>
                <w:noProof/>
              </w:rPr>
              <w:fldChar w:fldCharType="begin"/>
            </w:r>
            <w:r w:rsidR="001872DF" w:rsidRPr="00570195">
              <w:rPr>
                <w:rFonts w:ascii="Times New Roman" w:hAnsi="Times New Roman" w:cs="Times New Roman"/>
                <w:noProof/>
              </w:rPr>
              <w:instrText xml:space="preserve"> PAGEREF _Toc233486388 \h </w:instrText>
            </w:r>
            <w:r w:rsidR="001872DF" w:rsidRPr="00570195">
              <w:rPr>
                <w:rFonts w:ascii="Times New Roman" w:hAnsi="Times New Roman" w:cs="Times New Roman"/>
                <w:noProof/>
              </w:rPr>
            </w:r>
            <w:r w:rsidR="001872DF" w:rsidRPr="00570195">
              <w:rPr>
                <w:rFonts w:ascii="Times New Roman" w:hAnsi="Times New Roman" w:cs="Times New Roman"/>
                <w:noProof/>
              </w:rPr>
              <w:fldChar w:fldCharType="separate"/>
            </w:r>
            <w:r w:rsidR="001872DF" w:rsidRPr="00570195">
              <w:rPr>
                <w:rFonts w:ascii="Times New Roman" w:hAnsi="Times New Roman" w:cs="Times New Roman"/>
                <w:noProof/>
              </w:rPr>
              <w:t>1</w:t>
            </w:r>
            <w:r w:rsidR="001872DF" w:rsidRPr="00570195">
              <w:rPr>
                <w:rFonts w:ascii="Times New Roman" w:hAnsi="Times New Roman" w:cs="Times New Roman"/>
                <w:noProof/>
              </w:rPr>
              <w:fldChar w:fldCharType="end"/>
            </w:r>
          </w:hyperlink>
        </w:p>
        <w:p w14:paraId="733804E0" w14:textId="77777777" w:rsidR="001872DF" w:rsidRPr="00570195" w:rsidRDefault="00000000" w:rsidP="00570195">
          <w:pPr>
            <w:pStyle w:val="TOC1"/>
            <w:tabs>
              <w:tab w:val="right" w:leader="dot" w:pos="9350"/>
            </w:tabs>
            <w:spacing w:line="360" w:lineRule="auto"/>
            <w:jc w:val="both"/>
            <w:rPr>
              <w:rFonts w:ascii="Times New Roman" w:hAnsi="Times New Roman" w:cs="Times New Roman"/>
              <w:noProof/>
            </w:rPr>
          </w:pPr>
          <w:hyperlink w:anchor="_Toc233486389" w:history="1">
            <w:r w:rsidR="001872DF" w:rsidRPr="00570195">
              <w:rPr>
                <w:rStyle w:val="Hyperlink"/>
                <w:rFonts w:ascii="Times New Roman" w:hAnsi="Times New Roman" w:cs="Times New Roman"/>
                <w:noProof/>
              </w:rPr>
              <w:t>5. Investment Appraisal and Capital Budgeting</w:t>
            </w:r>
            <w:r w:rsidR="001872DF" w:rsidRPr="00570195">
              <w:rPr>
                <w:rFonts w:ascii="Times New Roman" w:hAnsi="Times New Roman" w:cs="Times New Roman"/>
                <w:noProof/>
              </w:rPr>
              <w:tab/>
            </w:r>
            <w:r w:rsidR="001872DF" w:rsidRPr="00570195">
              <w:rPr>
                <w:rFonts w:ascii="Times New Roman" w:hAnsi="Times New Roman" w:cs="Times New Roman"/>
                <w:noProof/>
              </w:rPr>
              <w:fldChar w:fldCharType="begin"/>
            </w:r>
            <w:r w:rsidR="001872DF" w:rsidRPr="00570195">
              <w:rPr>
                <w:rFonts w:ascii="Times New Roman" w:hAnsi="Times New Roman" w:cs="Times New Roman"/>
                <w:noProof/>
              </w:rPr>
              <w:instrText xml:space="preserve"> PAGEREF _Toc233486389 \h </w:instrText>
            </w:r>
            <w:r w:rsidR="001872DF" w:rsidRPr="00570195">
              <w:rPr>
                <w:rFonts w:ascii="Times New Roman" w:hAnsi="Times New Roman" w:cs="Times New Roman"/>
                <w:noProof/>
              </w:rPr>
            </w:r>
            <w:r w:rsidR="001872DF" w:rsidRPr="00570195">
              <w:rPr>
                <w:rFonts w:ascii="Times New Roman" w:hAnsi="Times New Roman" w:cs="Times New Roman"/>
                <w:noProof/>
              </w:rPr>
              <w:fldChar w:fldCharType="separate"/>
            </w:r>
            <w:r w:rsidR="001872DF" w:rsidRPr="00570195">
              <w:rPr>
                <w:rFonts w:ascii="Times New Roman" w:hAnsi="Times New Roman" w:cs="Times New Roman"/>
                <w:noProof/>
              </w:rPr>
              <w:t>1</w:t>
            </w:r>
            <w:r w:rsidR="001872DF" w:rsidRPr="00570195">
              <w:rPr>
                <w:rFonts w:ascii="Times New Roman" w:hAnsi="Times New Roman" w:cs="Times New Roman"/>
                <w:noProof/>
              </w:rPr>
              <w:fldChar w:fldCharType="end"/>
            </w:r>
          </w:hyperlink>
        </w:p>
        <w:p w14:paraId="471FF937" w14:textId="77777777" w:rsidR="001872DF" w:rsidRPr="00570195" w:rsidRDefault="00000000" w:rsidP="00570195">
          <w:pPr>
            <w:pStyle w:val="TOC2"/>
            <w:tabs>
              <w:tab w:val="right" w:leader="dot" w:pos="9350"/>
            </w:tabs>
            <w:spacing w:line="360" w:lineRule="auto"/>
            <w:jc w:val="both"/>
            <w:rPr>
              <w:rFonts w:ascii="Times New Roman" w:hAnsi="Times New Roman" w:cs="Times New Roman"/>
              <w:noProof/>
            </w:rPr>
          </w:pPr>
          <w:hyperlink w:anchor="_Toc233486390" w:history="1">
            <w:r w:rsidR="001872DF" w:rsidRPr="00570195">
              <w:rPr>
                <w:rStyle w:val="Hyperlink"/>
                <w:rFonts w:ascii="Times New Roman" w:hAnsi="Times New Roman" w:cs="Times New Roman"/>
                <w:noProof/>
              </w:rPr>
              <w:t>5.1 Methodology</w:t>
            </w:r>
            <w:r w:rsidR="001872DF" w:rsidRPr="00570195">
              <w:rPr>
                <w:rFonts w:ascii="Times New Roman" w:hAnsi="Times New Roman" w:cs="Times New Roman"/>
                <w:noProof/>
              </w:rPr>
              <w:tab/>
            </w:r>
            <w:r w:rsidR="001872DF" w:rsidRPr="00570195">
              <w:rPr>
                <w:rFonts w:ascii="Times New Roman" w:hAnsi="Times New Roman" w:cs="Times New Roman"/>
                <w:noProof/>
              </w:rPr>
              <w:fldChar w:fldCharType="begin"/>
            </w:r>
            <w:r w:rsidR="001872DF" w:rsidRPr="00570195">
              <w:rPr>
                <w:rFonts w:ascii="Times New Roman" w:hAnsi="Times New Roman" w:cs="Times New Roman"/>
                <w:noProof/>
              </w:rPr>
              <w:instrText xml:space="preserve"> PAGEREF _Toc233486390 \h </w:instrText>
            </w:r>
            <w:r w:rsidR="001872DF" w:rsidRPr="00570195">
              <w:rPr>
                <w:rFonts w:ascii="Times New Roman" w:hAnsi="Times New Roman" w:cs="Times New Roman"/>
                <w:noProof/>
              </w:rPr>
            </w:r>
            <w:r w:rsidR="001872DF" w:rsidRPr="00570195">
              <w:rPr>
                <w:rFonts w:ascii="Times New Roman" w:hAnsi="Times New Roman" w:cs="Times New Roman"/>
                <w:noProof/>
              </w:rPr>
              <w:fldChar w:fldCharType="separate"/>
            </w:r>
            <w:r w:rsidR="001872DF" w:rsidRPr="00570195">
              <w:rPr>
                <w:rFonts w:ascii="Times New Roman" w:hAnsi="Times New Roman" w:cs="Times New Roman"/>
                <w:noProof/>
              </w:rPr>
              <w:t>1</w:t>
            </w:r>
            <w:r w:rsidR="001872DF" w:rsidRPr="00570195">
              <w:rPr>
                <w:rFonts w:ascii="Times New Roman" w:hAnsi="Times New Roman" w:cs="Times New Roman"/>
                <w:noProof/>
              </w:rPr>
              <w:fldChar w:fldCharType="end"/>
            </w:r>
          </w:hyperlink>
        </w:p>
        <w:p w14:paraId="30A885ED" w14:textId="77777777" w:rsidR="001872DF" w:rsidRPr="00570195" w:rsidRDefault="00000000" w:rsidP="00570195">
          <w:pPr>
            <w:pStyle w:val="TOC2"/>
            <w:tabs>
              <w:tab w:val="right" w:leader="dot" w:pos="9350"/>
            </w:tabs>
            <w:spacing w:line="360" w:lineRule="auto"/>
            <w:jc w:val="both"/>
            <w:rPr>
              <w:rFonts w:ascii="Times New Roman" w:hAnsi="Times New Roman" w:cs="Times New Roman"/>
              <w:noProof/>
            </w:rPr>
          </w:pPr>
          <w:hyperlink w:anchor="_Toc233486391" w:history="1">
            <w:r w:rsidR="001872DF" w:rsidRPr="00570195">
              <w:rPr>
                <w:rStyle w:val="Hyperlink"/>
                <w:rFonts w:ascii="Times New Roman" w:hAnsi="Times New Roman" w:cs="Times New Roman"/>
                <w:noProof/>
              </w:rPr>
              <w:t>5.2 Results</w:t>
            </w:r>
            <w:r w:rsidR="001872DF" w:rsidRPr="00570195">
              <w:rPr>
                <w:rFonts w:ascii="Times New Roman" w:hAnsi="Times New Roman" w:cs="Times New Roman"/>
                <w:noProof/>
              </w:rPr>
              <w:tab/>
            </w:r>
            <w:r w:rsidR="001872DF" w:rsidRPr="00570195">
              <w:rPr>
                <w:rFonts w:ascii="Times New Roman" w:hAnsi="Times New Roman" w:cs="Times New Roman"/>
                <w:noProof/>
              </w:rPr>
              <w:fldChar w:fldCharType="begin"/>
            </w:r>
            <w:r w:rsidR="001872DF" w:rsidRPr="00570195">
              <w:rPr>
                <w:rFonts w:ascii="Times New Roman" w:hAnsi="Times New Roman" w:cs="Times New Roman"/>
                <w:noProof/>
              </w:rPr>
              <w:instrText xml:space="preserve"> PAGEREF _Toc233486391 \h </w:instrText>
            </w:r>
            <w:r w:rsidR="001872DF" w:rsidRPr="00570195">
              <w:rPr>
                <w:rFonts w:ascii="Times New Roman" w:hAnsi="Times New Roman" w:cs="Times New Roman"/>
                <w:noProof/>
              </w:rPr>
            </w:r>
            <w:r w:rsidR="001872DF" w:rsidRPr="00570195">
              <w:rPr>
                <w:rFonts w:ascii="Times New Roman" w:hAnsi="Times New Roman" w:cs="Times New Roman"/>
                <w:noProof/>
              </w:rPr>
              <w:fldChar w:fldCharType="separate"/>
            </w:r>
            <w:r w:rsidR="001872DF" w:rsidRPr="00570195">
              <w:rPr>
                <w:rFonts w:ascii="Times New Roman" w:hAnsi="Times New Roman" w:cs="Times New Roman"/>
                <w:noProof/>
              </w:rPr>
              <w:t>1</w:t>
            </w:r>
            <w:r w:rsidR="001872DF" w:rsidRPr="00570195">
              <w:rPr>
                <w:rFonts w:ascii="Times New Roman" w:hAnsi="Times New Roman" w:cs="Times New Roman"/>
                <w:noProof/>
              </w:rPr>
              <w:fldChar w:fldCharType="end"/>
            </w:r>
          </w:hyperlink>
        </w:p>
        <w:p w14:paraId="4C26B1DC" w14:textId="77777777" w:rsidR="001872DF" w:rsidRPr="00570195" w:rsidRDefault="00000000" w:rsidP="00570195">
          <w:pPr>
            <w:pStyle w:val="TOC2"/>
            <w:tabs>
              <w:tab w:val="right" w:leader="dot" w:pos="9350"/>
            </w:tabs>
            <w:spacing w:line="360" w:lineRule="auto"/>
            <w:jc w:val="both"/>
            <w:rPr>
              <w:rFonts w:ascii="Times New Roman" w:hAnsi="Times New Roman" w:cs="Times New Roman"/>
              <w:noProof/>
            </w:rPr>
          </w:pPr>
          <w:hyperlink w:anchor="_Toc233486392" w:history="1">
            <w:r w:rsidR="001872DF" w:rsidRPr="00570195">
              <w:rPr>
                <w:rStyle w:val="Hyperlink"/>
                <w:rFonts w:ascii="Times New Roman" w:hAnsi="Times New Roman" w:cs="Times New Roman"/>
                <w:noProof/>
              </w:rPr>
              <w:t>5.3 Recommendation: Single Project Selection</w:t>
            </w:r>
            <w:r w:rsidR="001872DF" w:rsidRPr="00570195">
              <w:rPr>
                <w:rFonts w:ascii="Times New Roman" w:hAnsi="Times New Roman" w:cs="Times New Roman"/>
                <w:noProof/>
              </w:rPr>
              <w:tab/>
            </w:r>
            <w:r w:rsidR="001872DF" w:rsidRPr="00570195">
              <w:rPr>
                <w:rFonts w:ascii="Times New Roman" w:hAnsi="Times New Roman" w:cs="Times New Roman"/>
                <w:noProof/>
              </w:rPr>
              <w:fldChar w:fldCharType="begin"/>
            </w:r>
            <w:r w:rsidR="001872DF" w:rsidRPr="00570195">
              <w:rPr>
                <w:rFonts w:ascii="Times New Roman" w:hAnsi="Times New Roman" w:cs="Times New Roman"/>
                <w:noProof/>
              </w:rPr>
              <w:instrText xml:space="preserve"> PAGEREF _Toc233486392 \h </w:instrText>
            </w:r>
            <w:r w:rsidR="001872DF" w:rsidRPr="00570195">
              <w:rPr>
                <w:rFonts w:ascii="Times New Roman" w:hAnsi="Times New Roman" w:cs="Times New Roman"/>
                <w:noProof/>
              </w:rPr>
            </w:r>
            <w:r w:rsidR="001872DF" w:rsidRPr="00570195">
              <w:rPr>
                <w:rFonts w:ascii="Times New Roman" w:hAnsi="Times New Roman" w:cs="Times New Roman"/>
                <w:noProof/>
              </w:rPr>
              <w:fldChar w:fldCharType="separate"/>
            </w:r>
            <w:r w:rsidR="001872DF" w:rsidRPr="00570195">
              <w:rPr>
                <w:rFonts w:ascii="Times New Roman" w:hAnsi="Times New Roman" w:cs="Times New Roman"/>
                <w:noProof/>
              </w:rPr>
              <w:t>1</w:t>
            </w:r>
            <w:r w:rsidR="001872DF" w:rsidRPr="00570195">
              <w:rPr>
                <w:rFonts w:ascii="Times New Roman" w:hAnsi="Times New Roman" w:cs="Times New Roman"/>
                <w:noProof/>
              </w:rPr>
              <w:fldChar w:fldCharType="end"/>
            </w:r>
          </w:hyperlink>
        </w:p>
        <w:p w14:paraId="038219D2" w14:textId="77777777" w:rsidR="001872DF" w:rsidRPr="00570195" w:rsidRDefault="00000000" w:rsidP="00570195">
          <w:pPr>
            <w:pStyle w:val="TOC2"/>
            <w:tabs>
              <w:tab w:val="right" w:leader="dot" w:pos="9350"/>
            </w:tabs>
            <w:spacing w:line="360" w:lineRule="auto"/>
            <w:jc w:val="both"/>
            <w:rPr>
              <w:rFonts w:ascii="Times New Roman" w:hAnsi="Times New Roman" w:cs="Times New Roman"/>
              <w:noProof/>
            </w:rPr>
          </w:pPr>
          <w:hyperlink w:anchor="_Toc233486393" w:history="1">
            <w:r w:rsidR="001872DF" w:rsidRPr="00570195">
              <w:rPr>
                <w:rStyle w:val="Hyperlink"/>
                <w:rFonts w:ascii="Times New Roman" w:hAnsi="Times New Roman" w:cs="Times New Roman"/>
                <w:noProof/>
              </w:rPr>
              <w:t>5.4 Capital Rationing: Combination Analysis</w:t>
            </w:r>
            <w:r w:rsidR="001872DF" w:rsidRPr="00570195">
              <w:rPr>
                <w:rFonts w:ascii="Times New Roman" w:hAnsi="Times New Roman" w:cs="Times New Roman"/>
                <w:noProof/>
              </w:rPr>
              <w:tab/>
            </w:r>
            <w:r w:rsidR="001872DF" w:rsidRPr="00570195">
              <w:rPr>
                <w:rFonts w:ascii="Times New Roman" w:hAnsi="Times New Roman" w:cs="Times New Roman"/>
                <w:noProof/>
              </w:rPr>
              <w:fldChar w:fldCharType="begin"/>
            </w:r>
            <w:r w:rsidR="001872DF" w:rsidRPr="00570195">
              <w:rPr>
                <w:rFonts w:ascii="Times New Roman" w:hAnsi="Times New Roman" w:cs="Times New Roman"/>
                <w:noProof/>
              </w:rPr>
              <w:instrText xml:space="preserve"> PAGEREF _Toc233486393 \h </w:instrText>
            </w:r>
            <w:r w:rsidR="001872DF" w:rsidRPr="00570195">
              <w:rPr>
                <w:rFonts w:ascii="Times New Roman" w:hAnsi="Times New Roman" w:cs="Times New Roman"/>
                <w:noProof/>
              </w:rPr>
            </w:r>
            <w:r w:rsidR="001872DF" w:rsidRPr="00570195">
              <w:rPr>
                <w:rFonts w:ascii="Times New Roman" w:hAnsi="Times New Roman" w:cs="Times New Roman"/>
                <w:noProof/>
              </w:rPr>
              <w:fldChar w:fldCharType="separate"/>
            </w:r>
            <w:r w:rsidR="001872DF" w:rsidRPr="00570195">
              <w:rPr>
                <w:rFonts w:ascii="Times New Roman" w:hAnsi="Times New Roman" w:cs="Times New Roman"/>
                <w:noProof/>
              </w:rPr>
              <w:t>1</w:t>
            </w:r>
            <w:r w:rsidR="001872DF" w:rsidRPr="00570195">
              <w:rPr>
                <w:rFonts w:ascii="Times New Roman" w:hAnsi="Times New Roman" w:cs="Times New Roman"/>
                <w:noProof/>
              </w:rPr>
              <w:fldChar w:fldCharType="end"/>
            </w:r>
          </w:hyperlink>
        </w:p>
        <w:p w14:paraId="3125390C" w14:textId="77777777" w:rsidR="001872DF" w:rsidRPr="00570195" w:rsidRDefault="00000000" w:rsidP="00570195">
          <w:pPr>
            <w:pStyle w:val="TOC2"/>
            <w:tabs>
              <w:tab w:val="right" w:leader="dot" w:pos="9350"/>
            </w:tabs>
            <w:spacing w:line="360" w:lineRule="auto"/>
            <w:jc w:val="both"/>
            <w:rPr>
              <w:rFonts w:ascii="Times New Roman" w:hAnsi="Times New Roman" w:cs="Times New Roman"/>
              <w:noProof/>
            </w:rPr>
          </w:pPr>
          <w:hyperlink w:anchor="_Toc233486394" w:history="1">
            <w:r w:rsidR="001872DF" w:rsidRPr="00570195">
              <w:rPr>
                <w:rStyle w:val="Hyperlink"/>
                <w:rFonts w:ascii="Times New Roman" w:hAnsi="Times New Roman" w:cs="Times New Roman"/>
                <w:noProof/>
              </w:rPr>
              <w:t>5.5 Sensitivity and Limitations</w:t>
            </w:r>
            <w:r w:rsidR="001872DF" w:rsidRPr="00570195">
              <w:rPr>
                <w:rFonts w:ascii="Times New Roman" w:hAnsi="Times New Roman" w:cs="Times New Roman"/>
                <w:noProof/>
              </w:rPr>
              <w:tab/>
            </w:r>
            <w:r w:rsidR="001872DF" w:rsidRPr="00570195">
              <w:rPr>
                <w:rFonts w:ascii="Times New Roman" w:hAnsi="Times New Roman" w:cs="Times New Roman"/>
                <w:noProof/>
              </w:rPr>
              <w:fldChar w:fldCharType="begin"/>
            </w:r>
            <w:r w:rsidR="001872DF" w:rsidRPr="00570195">
              <w:rPr>
                <w:rFonts w:ascii="Times New Roman" w:hAnsi="Times New Roman" w:cs="Times New Roman"/>
                <w:noProof/>
              </w:rPr>
              <w:instrText xml:space="preserve"> PAGEREF _Toc233486394 \h </w:instrText>
            </w:r>
            <w:r w:rsidR="001872DF" w:rsidRPr="00570195">
              <w:rPr>
                <w:rFonts w:ascii="Times New Roman" w:hAnsi="Times New Roman" w:cs="Times New Roman"/>
                <w:noProof/>
              </w:rPr>
            </w:r>
            <w:r w:rsidR="001872DF" w:rsidRPr="00570195">
              <w:rPr>
                <w:rFonts w:ascii="Times New Roman" w:hAnsi="Times New Roman" w:cs="Times New Roman"/>
                <w:noProof/>
              </w:rPr>
              <w:fldChar w:fldCharType="separate"/>
            </w:r>
            <w:r w:rsidR="001872DF" w:rsidRPr="00570195">
              <w:rPr>
                <w:rFonts w:ascii="Times New Roman" w:hAnsi="Times New Roman" w:cs="Times New Roman"/>
                <w:noProof/>
              </w:rPr>
              <w:t>1</w:t>
            </w:r>
            <w:r w:rsidR="001872DF" w:rsidRPr="00570195">
              <w:rPr>
                <w:rFonts w:ascii="Times New Roman" w:hAnsi="Times New Roman" w:cs="Times New Roman"/>
                <w:noProof/>
              </w:rPr>
              <w:fldChar w:fldCharType="end"/>
            </w:r>
          </w:hyperlink>
        </w:p>
        <w:p w14:paraId="7C0A5E31" w14:textId="77777777" w:rsidR="001872DF" w:rsidRPr="00570195" w:rsidRDefault="00000000" w:rsidP="00570195">
          <w:pPr>
            <w:pStyle w:val="TOC1"/>
            <w:tabs>
              <w:tab w:val="right" w:leader="dot" w:pos="9350"/>
            </w:tabs>
            <w:spacing w:line="360" w:lineRule="auto"/>
            <w:jc w:val="both"/>
            <w:rPr>
              <w:rFonts w:ascii="Times New Roman" w:hAnsi="Times New Roman" w:cs="Times New Roman"/>
              <w:noProof/>
            </w:rPr>
          </w:pPr>
          <w:hyperlink w:anchor="_Toc233486395" w:history="1">
            <w:r w:rsidR="001872DF" w:rsidRPr="00570195">
              <w:rPr>
                <w:rStyle w:val="Hyperlink"/>
                <w:rFonts w:ascii="Times New Roman" w:hAnsi="Times New Roman" w:cs="Times New Roman"/>
                <w:noProof/>
              </w:rPr>
              <w:t>6. Critical Reflection on AI Usage</w:t>
            </w:r>
            <w:r w:rsidR="001872DF" w:rsidRPr="00570195">
              <w:rPr>
                <w:rFonts w:ascii="Times New Roman" w:hAnsi="Times New Roman" w:cs="Times New Roman"/>
                <w:noProof/>
              </w:rPr>
              <w:tab/>
            </w:r>
            <w:r w:rsidR="001872DF" w:rsidRPr="00570195">
              <w:rPr>
                <w:rFonts w:ascii="Times New Roman" w:hAnsi="Times New Roman" w:cs="Times New Roman"/>
                <w:noProof/>
              </w:rPr>
              <w:fldChar w:fldCharType="begin"/>
            </w:r>
            <w:r w:rsidR="001872DF" w:rsidRPr="00570195">
              <w:rPr>
                <w:rFonts w:ascii="Times New Roman" w:hAnsi="Times New Roman" w:cs="Times New Roman"/>
                <w:noProof/>
              </w:rPr>
              <w:instrText xml:space="preserve"> PAGEREF _Toc233486395 \h </w:instrText>
            </w:r>
            <w:r w:rsidR="001872DF" w:rsidRPr="00570195">
              <w:rPr>
                <w:rFonts w:ascii="Times New Roman" w:hAnsi="Times New Roman" w:cs="Times New Roman"/>
                <w:noProof/>
              </w:rPr>
            </w:r>
            <w:r w:rsidR="001872DF" w:rsidRPr="00570195">
              <w:rPr>
                <w:rFonts w:ascii="Times New Roman" w:hAnsi="Times New Roman" w:cs="Times New Roman"/>
                <w:noProof/>
              </w:rPr>
              <w:fldChar w:fldCharType="separate"/>
            </w:r>
            <w:r w:rsidR="001872DF" w:rsidRPr="00570195">
              <w:rPr>
                <w:rFonts w:ascii="Times New Roman" w:hAnsi="Times New Roman" w:cs="Times New Roman"/>
                <w:noProof/>
              </w:rPr>
              <w:t>1</w:t>
            </w:r>
            <w:r w:rsidR="001872DF" w:rsidRPr="00570195">
              <w:rPr>
                <w:rFonts w:ascii="Times New Roman" w:hAnsi="Times New Roman" w:cs="Times New Roman"/>
                <w:noProof/>
              </w:rPr>
              <w:fldChar w:fldCharType="end"/>
            </w:r>
          </w:hyperlink>
        </w:p>
        <w:p w14:paraId="34CC8007" w14:textId="77777777" w:rsidR="001872DF" w:rsidRPr="00570195" w:rsidRDefault="00000000" w:rsidP="00570195">
          <w:pPr>
            <w:pStyle w:val="TOC2"/>
            <w:tabs>
              <w:tab w:val="right" w:leader="dot" w:pos="9350"/>
            </w:tabs>
            <w:spacing w:line="360" w:lineRule="auto"/>
            <w:jc w:val="both"/>
            <w:rPr>
              <w:rFonts w:ascii="Times New Roman" w:hAnsi="Times New Roman" w:cs="Times New Roman"/>
              <w:noProof/>
            </w:rPr>
          </w:pPr>
          <w:hyperlink w:anchor="_Toc233486396" w:history="1">
            <w:r w:rsidR="001872DF" w:rsidRPr="00570195">
              <w:rPr>
                <w:rStyle w:val="Hyperlink"/>
                <w:rFonts w:ascii="Times New Roman" w:hAnsi="Times New Roman" w:cs="Times New Roman"/>
                <w:noProof/>
              </w:rPr>
              <w:t>6.1 Tool Disclosure</w:t>
            </w:r>
            <w:r w:rsidR="001872DF" w:rsidRPr="00570195">
              <w:rPr>
                <w:rFonts w:ascii="Times New Roman" w:hAnsi="Times New Roman" w:cs="Times New Roman"/>
                <w:noProof/>
              </w:rPr>
              <w:tab/>
            </w:r>
            <w:r w:rsidR="001872DF" w:rsidRPr="00570195">
              <w:rPr>
                <w:rFonts w:ascii="Times New Roman" w:hAnsi="Times New Roman" w:cs="Times New Roman"/>
                <w:noProof/>
              </w:rPr>
              <w:fldChar w:fldCharType="begin"/>
            </w:r>
            <w:r w:rsidR="001872DF" w:rsidRPr="00570195">
              <w:rPr>
                <w:rFonts w:ascii="Times New Roman" w:hAnsi="Times New Roman" w:cs="Times New Roman"/>
                <w:noProof/>
              </w:rPr>
              <w:instrText xml:space="preserve"> PAGEREF _Toc233486396 \h </w:instrText>
            </w:r>
            <w:r w:rsidR="001872DF" w:rsidRPr="00570195">
              <w:rPr>
                <w:rFonts w:ascii="Times New Roman" w:hAnsi="Times New Roman" w:cs="Times New Roman"/>
                <w:noProof/>
              </w:rPr>
            </w:r>
            <w:r w:rsidR="001872DF" w:rsidRPr="00570195">
              <w:rPr>
                <w:rFonts w:ascii="Times New Roman" w:hAnsi="Times New Roman" w:cs="Times New Roman"/>
                <w:noProof/>
              </w:rPr>
              <w:fldChar w:fldCharType="separate"/>
            </w:r>
            <w:r w:rsidR="001872DF" w:rsidRPr="00570195">
              <w:rPr>
                <w:rFonts w:ascii="Times New Roman" w:hAnsi="Times New Roman" w:cs="Times New Roman"/>
                <w:noProof/>
              </w:rPr>
              <w:t>1</w:t>
            </w:r>
            <w:r w:rsidR="001872DF" w:rsidRPr="00570195">
              <w:rPr>
                <w:rFonts w:ascii="Times New Roman" w:hAnsi="Times New Roman" w:cs="Times New Roman"/>
                <w:noProof/>
              </w:rPr>
              <w:fldChar w:fldCharType="end"/>
            </w:r>
          </w:hyperlink>
        </w:p>
        <w:p w14:paraId="24585AB2" w14:textId="77777777" w:rsidR="001872DF" w:rsidRPr="00570195" w:rsidRDefault="00000000" w:rsidP="00570195">
          <w:pPr>
            <w:pStyle w:val="TOC2"/>
            <w:tabs>
              <w:tab w:val="right" w:leader="dot" w:pos="9350"/>
            </w:tabs>
            <w:spacing w:line="360" w:lineRule="auto"/>
            <w:jc w:val="both"/>
            <w:rPr>
              <w:rFonts w:ascii="Times New Roman" w:hAnsi="Times New Roman" w:cs="Times New Roman"/>
              <w:noProof/>
            </w:rPr>
          </w:pPr>
          <w:hyperlink w:anchor="_Toc233486397" w:history="1">
            <w:r w:rsidR="001872DF" w:rsidRPr="00570195">
              <w:rPr>
                <w:rStyle w:val="Hyperlink"/>
                <w:rFonts w:ascii="Times New Roman" w:hAnsi="Times New Roman" w:cs="Times New Roman"/>
                <w:noProof/>
              </w:rPr>
              <w:t>6.2 Critical Evaluation of AI Output</w:t>
            </w:r>
            <w:r w:rsidR="001872DF" w:rsidRPr="00570195">
              <w:rPr>
                <w:rFonts w:ascii="Times New Roman" w:hAnsi="Times New Roman" w:cs="Times New Roman"/>
                <w:noProof/>
              </w:rPr>
              <w:tab/>
            </w:r>
            <w:r w:rsidR="001872DF" w:rsidRPr="00570195">
              <w:rPr>
                <w:rFonts w:ascii="Times New Roman" w:hAnsi="Times New Roman" w:cs="Times New Roman"/>
                <w:noProof/>
              </w:rPr>
              <w:fldChar w:fldCharType="begin"/>
            </w:r>
            <w:r w:rsidR="001872DF" w:rsidRPr="00570195">
              <w:rPr>
                <w:rFonts w:ascii="Times New Roman" w:hAnsi="Times New Roman" w:cs="Times New Roman"/>
                <w:noProof/>
              </w:rPr>
              <w:instrText xml:space="preserve"> PAGEREF _Toc233486397 \h </w:instrText>
            </w:r>
            <w:r w:rsidR="001872DF" w:rsidRPr="00570195">
              <w:rPr>
                <w:rFonts w:ascii="Times New Roman" w:hAnsi="Times New Roman" w:cs="Times New Roman"/>
                <w:noProof/>
              </w:rPr>
            </w:r>
            <w:r w:rsidR="001872DF" w:rsidRPr="00570195">
              <w:rPr>
                <w:rFonts w:ascii="Times New Roman" w:hAnsi="Times New Roman" w:cs="Times New Roman"/>
                <w:noProof/>
              </w:rPr>
              <w:fldChar w:fldCharType="separate"/>
            </w:r>
            <w:r w:rsidR="001872DF" w:rsidRPr="00570195">
              <w:rPr>
                <w:rFonts w:ascii="Times New Roman" w:hAnsi="Times New Roman" w:cs="Times New Roman"/>
                <w:noProof/>
              </w:rPr>
              <w:t>1</w:t>
            </w:r>
            <w:r w:rsidR="001872DF" w:rsidRPr="00570195">
              <w:rPr>
                <w:rFonts w:ascii="Times New Roman" w:hAnsi="Times New Roman" w:cs="Times New Roman"/>
                <w:noProof/>
              </w:rPr>
              <w:fldChar w:fldCharType="end"/>
            </w:r>
          </w:hyperlink>
        </w:p>
        <w:p w14:paraId="6C9C2372" w14:textId="77777777" w:rsidR="001872DF" w:rsidRPr="00570195" w:rsidRDefault="00000000" w:rsidP="00570195">
          <w:pPr>
            <w:pStyle w:val="TOC2"/>
            <w:tabs>
              <w:tab w:val="right" w:leader="dot" w:pos="9350"/>
            </w:tabs>
            <w:spacing w:line="360" w:lineRule="auto"/>
            <w:jc w:val="both"/>
            <w:rPr>
              <w:rFonts w:ascii="Times New Roman" w:hAnsi="Times New Roman" w:cs="Times New Roman"/>
              <w:noProof/>
            </w:rPr>
          </w:pPr>
          <w:hyperlink w:anchor="_Toc233486398" w:history="1">
            <w:r w:rsidR="001872DF" w:rsidRPr="00570195">
              <w:rPr>
                <w:rStyle w:val="Hyperlink"/>
                <w:rFonts w:ascii="Times New Roman" w:hAnsi="Times New Roman" w:cs="Times New Roman"/>
                <w:noProof/>
              </w:rPr>
              <w:t>6.3 Contribution Analysis</w:t>
            </w:r>
            <w:r w:rsidR="001872DF" w:rsidRPr="00570195">
              <w:rPr>
                <w:rFonts w:ascii="Times New Roman" w:hAnsi="Times New Roman" w:cs="Times New Roman"/>
                <w:noProof/>
              </w:rPr>
              <w:tab/>
            </w:r>
            <w:r w:rsidR="001872DF" w:rsidRPr="00570195">
              <w:rPr>
                <w:rFonts w:ascii="Times New Roman" w:hAnsi="Times New Roman" w:cs="Times New Roman"/>
                <w:noProof/>
              </w:rPr>
              <w:fldChar w:fldCharType="begin"/>
            </w:r>
            <w:r w:rsidR="001872DF" w:rsidRPr="00570195">
              <w:rPr>
                <w:rFonts w:ascii="Times New Roman" w:hAnsi="Times New Roman" w:cs="Times New Roman"/>
                <w:noProof/>
              </w:rPr>
              <w:instrText xml:space="preserve"> PAGEREF _Toc233486398 \h </w:instrText>
            </w:r>
            <w:r w:rsidR="001872DF" w:rsidRPr="00570195">
              <w:rPr>
                <w:rFonts w:ascii="Times New Roman" w:hAnsi="Times New Roman" w:cs="Times New Roman"/>
                <w:noProof/>
              </w:rPr>
            </w:r>
            <w:r w:rsidR="001872DF" w:rsidRPr="00570195">
              <w:rPr>
                <w:rFonts w:ascii="Times New Roman" w:hAnsi="Times New Roman" w:cs="Times New Roman"/>
                <w:noProof/>
              </w:rPr>
              <w:fldChar w:fldCharType="separate"/>
            </w:r>
            <w:r w:rsidR="001872DF" w:rsidRPr="00570195">
              <w:rPr>
                <w:rFonts w:ascii="Times New Roman" w:hAnsi="Times New Roman" w:cs="Times New Roman"/>
                <w:noProof/>
              </w:rPr>
              <w:t>1</w:t>
            </w:r>
            <w:r w:rsidR="001872DF" w:rsidRPr="00570195">
              <w:rPr>
                <w:rFonts w:ascii="Times New Roman" w:hAnsi="Times New Roman" w:cs="Times New Roman"/>
                <w:noProof/>
              </w:rPr>
              <w:fldChar w:fldCharType="end"/>
            </w:r>
          </w:hyperlink>
        </w:p>
        <w:p w14:paraId="3D08C2E0" w14:textId="77777777" w:rsidR="001872DF" w:rsidRPr="00570195" w:rsidRDefault="00000000" w:rsidP="00570195">
          <w:pPr>
            <w:pStyle w:val="TOC2"/>
            <w:tabs>
              <w:tab w:val="right" w:leader="dot" w:pos="9350"/>
            </w:tabs>
            <w:spacing w:line="360" w:lineRule="auto"/>
            <w:jc w:val="both"/>
            <w:rPr>
              <w:rFonts w:ascii="Times New Roman" w:hAnsi="Times New Roman" w:cs="Times New Roman"/>
              <w:noProof/>
            </w:rPr>
          </w:pPr>
          <w:hyperlink w:anchor="_Toc233486399" w:history="1">
            <w:r w:rsidR="001872DF" w:rsidRPr="00570195">
              <w:rPr>
                <w:rStyle w:val="Hyperlink"/>
                <w:rFonts w:ascii="Times New Roman" w:hAnsi="Times New Roman" w:cs="Times New Roman"/>
                <w:noProof/>
              </w:rPr>
              <w:t>6.4 Ethical and Professional Reflection</w:t>
            </w:r>
            <w:r w:rsidR="001872DF" w:rsidRPr="00570195">
              <w:rPr>
                <w:rFonts w:ascii="Times New Roman" w:hAnsi="Times New Roman" w:cs="Times New Roman"/>
                <w:noProof/>
              </w:rPr>
              <w:tab/>
            </w:r>
            <w:r w:rsidR="001872DF" w:rsidRPr="00570195">
              <w:rPr>
                <w:rFonts w:ascii="Times New Roman" w:hAnsi="Times New Roman" w:cs="Times New Roman"/>
                <w:noProof/>
              </w:rPr>
              <w:fldChar w:fldCharType="begin"/>
            </w:r>
            <w:r w:rsidR="001872DF" w:rsidRPr="00570195">
              <w:rPr>
                <w:rFonts w:ascii="Times New Roman" w:hAnsi="Times New Roman" w:cs="Times New Roman"/>
                <w:noProof/>
              </w:rPr>
              <w:instrText xml:space="preserve"> PAGEREF _Toc233486399 \h </w:instrText>
            </w:r>
            <w:r w:rsidR="001872DF" w:rsidRPr="00570195">
              <w:rPr>
                <w:rFonts w:ascii="Times New Roman" w:hAnsi="Times New Roman" w:cs="Times New Roman"/>
                <w:noProof/>
              </w:rPr>
            </w:r>
            <w:r w:rsidR="001872DF" w:rsidRPr="00570195">
              <w:rPr>
                <w:rFonts w:ascii="Times New Roman" w:hAnsi="Times New Roman" w:cs="Times New Roman"/>
                <w:noProof/>
              </w:rPr>
              <w:fldChar w:fldCharType="separate"/>
            </w:r>
            <w:r w:rsidR="001872DF" w:rsidRPr="00570195">
              <w:rPr>
                <w:rFonts w:ascii="Times New Roman" w:hAnsi="Times New Roman" w:cs="Times New Roman"/>
                <w:noProof/>
              </w:rPr>
              <w:t>1</w:t>
            </w:r>
            <w:r w:rsidR="001872DF" w:rsidRPr="00570195">
              <w:rPr>
                <w:rFonts w:ascii="Times New Roman" w:hAnsi="Times New Roman" w:cs="Times New Roman"/>
                <w:noProof/>
              </w:rPr>
              <w:fldChar w:fldCharType="end"/>
            </w:r>
          </w:hyperlink>
        </w:p>
        <w:p w14:paraId="1428EBF6" w14:textId="77777777" w:rsidR="001872DF" w:rsidRPr="00570195" w:rsidRDefault="00000000" w:rsidP="00570195">
          <w:pPr>
            <w:pStyle w:val="TOC1"/>
            <w:tabs>
              <w:tab w:val="right" w:leader="dot" w:pos="9350"/>
            </w:tabs>
            <w:spacing w:line="360" w:lineRule="auto"/>
            <w:jc w:val="both"/>
            <w:rPr>
              <w:rFonts w:ascii="Times New Roman" w:hAnsi="Times New Roman" w:cs="Times New Roman"/>
              <w:noProof/>
            </w:rPr>
          </w:pPr>
          <w:hyperlink w:anchor="_Toc233486400" w:history="1">
            <w:r w:rsidR="001872DF" w:rsidRPr="00570195">
              <w:rPr>
                <w:rStyle w:val="Hyperlink"/>
                <w:rFonts w:ascii="Times New Roman" w:hAnsi="Times New Roman" w:cs="Times New Roman"/>
                <w:noProof/>
              </w:rPr>
              <w:t>7. Conclusion</w:t>
            </w:r>
            <w:r w:rsidR="001872DF" w:rsidRPr="00570195">
              <w:rPr>
                <w:rFonts w:ascii="Times New Roman" w:hAnsi="Times New Roman" w:cs="Times New Roman"/>
                <w:noProof/>
              </w:rPr>
              <w:tab/>
            </w:r>
            <w:r w:rsidR="001872DF" w:rsidRPr="00570195">
              <w:rPr>
                <w:rFonts w:ascii="Times New Roman" w:hAnsi="Times New Roman" w:cs="Times New Roman"/>
                <w:noProof/>
              </w:rPr>
              <w:fldChar w:fldCharType="begin"/>
            </w:r>
            <w:r w:rsidR="001872DF" w:rsidRPr="00570195">
              <w:rPr>
                <w:rFonts w:ascii="Times New Roman" w:hAnsi="Times New Roman" w:cs="Times New Roman"/>
                <w:noProof/>
              </w:rPr>
              <w:instrText xml:space="preserve"> PAGEREF _Toc233486400 \h </w:instrText>
            </w:r>
            <w:r w:rsidR="001872DF" w:rsidRPr="00570195">
              <w:rPr>
                <w:rFonts w:ascii="Times New Roman" w:hAnsi="Times New Roman" w:cs="Times New Roman"/>
                <w:noProof/>
              </w:rPr>
            </w:r>
            <w:r w:rsidR="001872DF" w:rsidRPr="00570195">
              <w:rPr>
                <w:rFonts w:ascii="Times New Roman" w:hAnsi="Times New Roman" w:cs="Times New Roman"/>
                <w:noProof/>
              </w:rPr>
              <w:fldChar w:fldCharType="separate"/>
            </w:r>
            <w:r w:rsidR="001872DF" w:rsidRPr="00570195">
              <w:rPr>
                <w:rFonts w:ascii="Times New Roman" w:hAnsi="Times New Roman" w:cs="Times New Roman"/>
                <w:noProof/>
              </w:rPr>
              <w:t>1</w:t>
            </w:r>
            <w:r w:rsidR="001872DF" w:rsidRPr="00570195">
              <w:rPr>
                <w:rFonts w:ascii="Times New Roman" w:hAnsi="Times New Roman" w:cs="Times New Roman"/>
                <w:noProof/>
              </w:rPr>
              <w:fldChar w:fldCharType="end"/>
            </w:r>
          </w:hyperlink>
        </w:p>
        <w:p w14:paraId="00F0F504" w14:textId="77777777" w:rsidR="001872DF" w:rsidRPr="00570195" w:rsidRDefault="00000000" w:rsidP="00570195">
          <w:pPr>
            <w:pStyle w:val="TOC1"/>
            <w:tabs>
              <w:tab w:val="right" w:leader="dot" w:pos="9350"/>
            </w:tabs>
            <w:spacing w:line="360" w:lineRule="auto"/>
            <w:jc w:val="both"/>
            <w:rPr>
              <w:rFonts w:ascii="Times New Roman" w:hAnsi="Times New Roman" w:cs="Times New Roman"/>
              <w:noProof/>
            </w:rPr>
          </w:pPr>
          <w:hyperlink w:anchor="_Toc233486401" w:history="1">
            <w:r w:rsidR="001872DF" w:rsidRPr="00570195">
              <w:rPr>
                <w:rStyle w:val="Hyperlink"/>
                <w:rFonts w:ascii="Times New Roman" w:hAnsi="Times New Roman" w:cs="Times New Roman"/>
                <w:noProof/>
              </w:rPr>
              <w:t>Reference List</w:t>
            </w:r>
            <w:r w:rsidR="001872DF" w:rsidRPr="00570195">
              <w:rPr>
                <w:rFonts w:ascii="Times New Roman" w:hAnsi="Times New Roman" w:cs="Times New Roman"/>
                <w:noProof/>
              </w:rPr>
              <w:tab/>
            </w:r>
            <w:r w:rsidR="001872DF" w:rsidRPr="00570195">
              <w:rPr>
                <w:rFonts w:ascii="Times New Roman" w:hAnsi="Times New Roman" w:cs="Times New Roman"/>
                <w:noProof/>
              </w:rPr>
              <w:fldChar w:fldCharType="begin"/>
            </w:r>
            <w:r w:rsidR="001872DF" w:rsidRPr="00570195">
              <w:rPr>
                <w:rFonts w:ascii="Times New Roman" w:hAnsi="Times New Roman" w:cs="Times New Roman"/>
                <w:noProof/>
              </w:rPr>
              <w:instrText xml:space="preserve"> PAGEREF _Toc233486401 \h </w:instrText>
            </w:r>
            <w:r w:rsidR="001872DF" w:rsidRPr="00570195">
              <w:rPr>
                <w:rFonts w:ascii="Times New Roman" w:hAnsi="Times New Roman" w:cs="Times New Roman"/>
                <w:noProof/>
              </w:rPr>
            </w:r>
            <w:r w:rsidR="001872DF" w:rsidRPr="00570195">
              <w:rPr>
                <w:rFonts w:ascii="Times New Roman" w:hAnsi="Times New Roman" w:cs="Times New Roman"/>
                <w:noProof/>
              </w:rPr>
              <w:fldChar w:fldCharType="separate"/>
            </w:r>
            <w:r w:rsidR="001872DF" w:rsidRPr="00570195">
              <w:rPr>
                <w:rFonts w:ascii="Times New Roman" w:hAnsi="Times New Roman" w:cs="Times New Roman"/>
                <w:noProof/>
              </w:rPr>
              <w:t>1</w:t>
            </w:r>
            <w:r w:rsidR="001872DF" w:rsidRPr="00570195">
              <w:rPr>
                <w:rFonts w:ascii="Times New Roman" w:hAnsi="Times New Roman" w:cs="Times New Roman"/>
                <w:noProof/>
              </w:rPr>
              <w:fldChar w:fldCharType="end"/>
            </w:r>
          </w:hyperlink>
        </w:p>
        <w:p w14:paraId="36F45A38" w14:textId="77777777" w:rsidR="001872DF" w:rsidRPr="00570195" w:rsidRDefault="00000000" w:rsidP="00570195">
          <w:pPr>
            <w:pStyle w:val="TOC1"/>
            <w:tabs>
              <w:tab w:val="right" w:leader="dot" w:pos="9350"/>
            </w:tabs>
            <w:spacing w:line="360" w:lineRule="auto"/>
            <w:jc w:val="both"/>
            <w:rPr>
              <w:rFonts w:ascii="Times New Roman" w:hAnsi="Times New Roman" w:cs="Times New Roman"/>
              <w:noProof/>
            </w:rPr>
          </w:pPr>
          <w:hyperlink w:anchor="_Toc233486402" w:history="1">
            <w:r w:rsidR="001872DF" w:rsidRPr="00570195">
              <w:rPr>
                <w:rStyle w:val="Hyperlink"/>
                <w:rFonts w:ascii="Times New Roman" w:hAnsi="Times New Roman" w:cs="Times New Roman"/>
                <w:noProof/>
              </w:rPr>
              <w:t>Appendix A: Ratio Analysis and Balance Sheet Workings</w:t>
            </w:r>
            <w:r w:rsidR="001872DF" w:rsidRPr="00570195">
              <w:rPr>
                <w:rFonts w:ascii="Times New Roman" w:hAnsi="Times New Roman" w:cs="Times New Roman"/>
                <w:noProof/>
              </w:rPr>
              <w:tab/>
            </w:r>
            <w:r w:rsidR="001872DF" w:rsidRPr="00570195">
              <w:rPr>
                <w:rFonts w:ascii="Times New Roman" w:hAnsi="Times New Roman" w:cs="Times New Roman"/>
                <w:noProof/>
              </w:rPr>
              <w:fldChar w:fldCharType="begin"/>
            </w:r>
            <w:r w:rsidR="001872DF" w:rsidRPr="00570195">
              <w:rPr>
                <w:rFonts w:ascii="Times New Roman" w:hAnsi="Times New Roman" w:cs="Times New Roman"/>
                <w:noProof/>
              </w:rPr>
              <w:instrText xml:space="preserve"> PAGEREF _Toc233486402 \h </w:instrText>
            </w:r>
            <w:r w:rsidR="001872DF" w:rsidRPr="00570195">
              <w:rPr>
                <w:rFonts w:ascii="Times New Roman" w:hAnsi="Times New Roman" w:cs="Times New Roman"/>
                <w:noProof/>
              </w:rPr>
            </w:r>
            <w:r w:rsidR="001872DF" w:rsidRPr="00570195">
              <w:rPr>
                <w:rFonts w:ascii="Times New Roman" w:hAnsi="Times New Roman" w:cs="Times New Roman"/>
                <w:noProof/>
              </w:rPr>
              <w:fldChar w:fldCharType="separate"/>
            </w:r>
            <w:r w:rsidR="001872DF" w:rsidRPr="00570195">
              <w:rPr>
                <w:rFonts w:ascii="Times New Roman" w:hAnsi="Times New Roman" w:cs="Times New Roman"/>
                <w:noProof/>
              </w:rPr>
              <w:t>1</w:t>
            </w:r>
            <w:r w:rsidR="001872DF" w:rsidRPr="00570195">
              <w:rPr>
                <w:rFonts w:ascii="Times New Roman" w:hAnsi="Times New Roman" w:cs="Times New Roman"/>
                <w:noProof/>
              </w:rPr>
              <w:fldChar w:fldCharType="end"/>
            </w:r>
          </w:hyperlink>
        </w:p>
        <w:p w14:paraId="5735DFEC" w14:textId="77777777" w:rsidR="001872DF" w:rsidRPr="00570195" w:rsidRDefault="00000000" w:rsidP="00570195">
          <w:pPr>
            <w:pStyle w:val="TOC1"/>
            <w:tabs>
              <w:tab w:val="right" w:leader="dot" w:pos="9350"/>
            </w:tabs>
            <w:spacing w:line="360" w:lineRule="auto"/>
            <w:jc w:val="both"/>
            <w:rPr>
              <w:rFonts w:ascii="Times New Roman" w:hAnsi="Times New Roman" w:cs="Times New Roman"/>
              <w:noProof/>
            </w:rPr>
          </w:pPr>
          <w:hyperlink w:anchor="_Toc233486403" w:history="1">
            <w:r w:rsidR="001872DF" w:rsidRPr="00570195">
              <w:rPr>
                <w:rStyle w:val="Hyperlink"/>
                <w:rFonts w:ascii="Times New Roman" w:hAnsi="Times New Roman" w:cs="Times New Roman"/>
                <w:noProof/>
              </w:rPr>
              <w:t>Appendix B: Investment Appraisal Workings</w:t>
            </w:r>
            <w:r w:rsidR="001872DF" w:rsidRPr="00570195">
              <w:rPr>
                <w:rFonts w:ascii="Times New Roman" w:hAnsi="Times New Roman" w:cs="Times New Roman"/>
                <w:noProof/>
              </w:rPr>
              <w:tab/>
            </w:r>
            <w:r w:rsidR="001872DF" w:rsidRPr="00570195">
              <w:rPr>
                <w:rFonts w:ascii="Times New Roman" w:hAnsi="Times New Roman" w:cs="Times New Roman"/>
                <w:noProof/>
              </w:rPr>
              <w:fldChar w:fldCharType="begin"/>
            </w:r>
            <w:r w:rsidR="001872DF" w:rsidRPr="00570195">
              <w:rPr>
                <w:rFonts w:ascii="Times New Roman" w:hAnsi="Times New Roman" w:cs="Times New Roman"/>
                <w:noProof/>
              </w:rPr>
              <w:instrText xml:space="preserve"> PAGEREF _Toc233486403 \h </w:instrText>
            </w:r>
            <w:r w:rsidR="001872DF" w:rsidRPr="00570195">
              <w:rPr>
                <w:rFonts w:ascii="Times New Roman" w:hAnsi="Times New Roman" w:cs="Times New Roman"/>
                <w:noProof/>
              </w:rPr>
            </w:r>
            <w:r w:rsidR="001872DF" w:rsidRPr="00570195">
              <w:rPr>
                <w:rFonts w:ascii="Times New Roman" w:hAnsi="Times New Roman" w:cs="Times New Roman"/>
                <w:noProof/>
              </w:rPr>
              <w:fldChar w:fldCharType="separate"/>
            </w:r>
            <w:r w:rsidR="001872DF" w:rsidRPr="00570195">
              <w:rPr>
                <w:rFonts w:ascii="Times New Roman" w:hAnsi="Times New Roman" w:cs="Times New Roman"/>
                <w:noProof/>
              </w:rPr>
              <w:t>1</w:t>
            </w:r>
            <w:r w:rsidR="001872DF" w:rsidRPr="00570195">
              <w:rPr>
                <w:rFonts w:ascii="Times New Roman" w:hAnsi="Times New Roman" w:cs="Times New Roman"/>
                <w:noProof/>
              </w:rPr>
              <w:fldChar w:fldCharType="end"/>
            </w:r>
          </w:hyperlink>
        </w:p>
        <w:p w14:paraId="48DC5446"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rPr>
            <w:fldChar w:fldCharType="end"/>
          </w:r>
        </w:p>
      </w:sdtContent>
    </w:sdt>
    <w:p w14:paraId="4799DEB7"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rPr>
        <w:br w:type="page"/>
      </w:r>
    </w:p>
    <w:p w14:paraId="7501F1C9" w14:textId="77777777" w:rsidR="009C3288" w:rsidRPr="00570195" w:rsidRDefault="00000000" w:rsidP="00570195">
      <w:pPr>
        <w:pStyle w:val="Heading1"/>
        <w:spacing w:line="360" w:lineRule="auto"/>
        <w:jc w:val="both"/>
        <w:rPr>
          <w:rFonts w:ascii="Times New Roman" w:hAnsi="Times New Roman" w:cs="Times New Roman"/>
        </w:rPr>
      </w:pPr>
      <w:bookmarkStart w:id="1" w:name="_Toc233486371"/>
      <w:r w:rsidRPr="00570195">
        <w:rPr>
          <w:rFonts w:ascii="Times New Roman" w:hAnsi="Times New Roman" w:cs="Times New Roman"/>
        </w:rPr>
        <w:lastRenderedPageBreak/>
        <w:t>List of Tables and Figures</w:t>
      </w:r>
      <w:bookmarkEnd w:id="1"/>
    </w:p>
    <w:p w14:paraId="66A5AE05" w14:textId="77777777" w:rsidR="009C3288" w:rsidRPr="00570195" w:rsidRDefault="00000000" w:rsidP="00570195">
      <w:pPr>
        <w:spacing w:after="120" w:line="360" w:lineRule="auto"/>
        <w:jc w:val="both"/>
        <w:rPr>
          <w:rFonts w:ascii="Times New Roman" w:hAnsi="Times New Roman" w:cs="Times New Roman"/>
        </w:rPr>
      </w:pPr>
      <w:r w:rsidRPr="00570195">
        <w:rPr>
          <w:rFonts w:ascii="Times New Roman" w:hAnsi="Times New Roman" w:cs="Times New Roman"/>
        </w:rPr>
        <w:t>Table 1. IHG Group income statement summary, 2021-2025 ($m) ........................ Section 2.1</w:t>
      </w:r>
    </w:p>
    <w:p w14:paraId="7D11D559" w14:textId="77777777" w:rsidR="009C3288" w:rsidRPr="00570195" w:rsidRDefault="00000000" w:rsidP="00570195">
      <w:pPr>
        <w:spacing w:after="120" w:line="360" w:lineRule="auto"/>
        <w:jc w:val="both"/>
        <w:rPr>
          <w:rFonts w:ascii="Times New Roman" w:hAnsi="Times New Roman" w:cs="Times New Roman"/>
        </w:rPr>
      </w:pPr>
      <w:r w:rsidRPr="00570195">
        <w:rPr>
          <w:rFonts w:ascii="Times New Roman" w:hAnsi="Times New Roman" w:cs="Times New Roman"/>
        </w:rPr>
        <w:t>Table 2. Project cash flow profiles (£m) ........................................................ Section 5.1</w:t>
      </w:r>
    </w:p>
    <w:p w14:paraId="3032A7E0" w14:textId="77777777" w:rsidR="009C3288" w:rsidRPr="00570195" w:rsidRDefault="00000000" w:rsidP="00570195">
      <w:pPr>
        <w:spacing w:after="120" w:line="360" w:lineRule="auto"/>
        <w:jc w:val="both"/>
        <w:rPr>
          <w:rFonts w:ascii="Times New Roman" w:hAnsi="Times New Roman" w:cs="Times New Roman"/>
        </w:rPr>
      </w:pPr>
      <w:r w:rsidRPr="00570195">
        <w:rPr>
          <w:rFonts w:ascii="Times New Roman" w:hAnsi="Times New Roman" w:cs="Times New Roman"/>
        </w:rPr>
        <w:t>Table 3. Summary of investment appraisal results ........................................... Section 5.2</w:t>
      </w:r>
    </w:p>
    <w:p w14:paraId="225F0F9F" w14:textId="77777777" w:rsidR="009C3288" w:rsidRPr="00570195" w:rsidRDefault="00000000" w:rsidP="00570195">
      <w:pPr>
        <w:spacing w:after="120" w:line="360" w:lineRule="auto"/>
        <w:jc w:val="both"/>
        <w:rPr>
          <w:rFonts w:ascii="Times New Roman" w:hAnsi="Times New Roman" w:cs="Times New Roman"/>
        </w:rPr>
      </w:pPr>
      <w:r w:rsidRPr="00570195">
        <w:rPr>
          <w:rFonts w:ascii="Times New Roman" w:hAnsi="Times New Roman" w:cs="Times New Roman"/>
        </w:rPr>
        <w:t>Table A1. Five-year ratio analysis summary, 2021-2025 ................................... Appendix A</w:t>
      </w:r>
    </w:p>
    <w:p w14:paraId="33E71909" w14:textId="77777777" w:rsidR="009C3288" w:rsidRPr="00570195" w:rsidRDefault="00000000" w:rsidP="00570195">
      <w:pPr>
        <w:spacing w:after="120" w:line="360" w:lineRule="auto"/>
        <w:jc w:val="both"/>
        <w:rPr>
          <w:rFonts w:ascii="Times New Roman" w:hAnsi="Times New Roman" w:cs="Times New Roman"/>
        </w:rPr>
      </w:pPr>
      <w:r w:rsidRPr="00570195">
        <w:rPr>
          <w:rFonts w:ascii="Times New Roman" w:hAnsi="Times New Roman" w:cs="Times New Roman"/>
        </w:rPr>
        <w:t>Table A2. Group statement of financial position summary, 2020-2025 ($m) .......... Appendix A</w:t>
      </w:r>
    </w:p>
    <w:p w14:paraId="43B832AE" w14:textId="77777777" w:rsidR="009C3288" w:rsidRPr="00570195" w:rsidRDefault="00000000" w:rsidP="00570195">
      <w:pPr>
        <w:spacing w:after="120" w:line="360" w:lineRule="auto"/>
        <w:jc w:val="both"/>
        <w:rPr>
          <w:rFonts w:ascii="Times New Roman" w:hAnsi="Times New Roman" w:cs="Times New Roman"/>
        </w:rPr>
      </w:pPr>
      <w:r w:rsidRPr="00570195">
        <w:rPr>
          <w:rFonts w:ascii="Times New Roman" w:hAnsi="Times New Roman" w:cs="Times New Roman"/>
        </w:rPr>
        <w:t>Table B1. Discounted cash flow workings, Projects A-C .................................... Appendix B</w:t>
      </w:r>
    </w:p>
    <w:p w14:paraId="0C7D10D6" w14:textId="77777777" w:rsidR="009C3288" w:rsidRPr="00570195" w:rsidRDefault="00000000" w:rsidP="00570195">
      <w:pPr>
        <w:spacing w:after="120" w:line="360" w:lineRule="auto"/>
        <w:jc w:val="both"/>
        <w:rPr>
          <w:rFonts w:ascii="Times New Roman" w:hAnsi="Times New Roman" w:cs="Times New Roman"/>
        </w:rPr>
      </w:pPr>
      <w:r w:rsidRPr="00570195">
        <w:rPr>
          <w:rFonts w:ascii="Times New Roman" w:hAnsi="Times New Roman" w:cs="Times New Roman"/>
        </w:rPr>
        <w:t>Table B2. Capital rationing ranking by Profitability Index ................................. Appendix B</w:t>
      </w:r>
    </w:p>
    <w:p w14:paraId="34FB8A21" w14:textId="77777777" w:rsidR="009C3288" w:rsidRPr="00570195" w:rsidRDefault="00000000" w:rsidP="00570195">
      <w:pPr>
        <w:spacing w:after="120" w:line="360" w:lineRule="auto"/>
        <w:jc w:val="both"/>
        <w:rPr>
          <w:rFonts w:ascii="Times New Roman" w:hAnsi="Times New Roman" w:cs="Times New Roman"/>
        </w:rPr>
      </w:pPr>
      <w:r w:rsidRPr="00570195">
        <w:rPr>
          <w:rFonts w:ascii="Times New Roman" w:hAnsi="Times New Roman" w:cs="Times New Roman"/>
        </w:rPr>
        <w:t>Figure 1. IHG revenue and operating profit, 2021-2025 ..................................... Section 2.1</w:t>
      </w:r>
    </w:p>
    <w:p w14:paraId="30EEEA28"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rPr>
        <w:br w:type="page"/>
      </w:r>
    </w:p>
    <w:p w14:paraId="5899D606" w14:textId="77777777" w:rsidR="009C3288" w:rsidRPr="00570195" w:rsidRDefault="00000000" w:rsidP="00570195">
      <w:pPr>
        <w:pStyle w:val="Heading1"/>
        <w:spacing w:line="360" w:lineRule="auto"/>
        <w:jc w:val="both"/>
        <w:rPr>
          <w:rFonts w:ascii="Times New Roman" w:hAnsi="Times New Roman" w:cs="Times New Roman"/>
        </w:rPr>
      </w:pPr>
      <w:bookmarkStart w:id="2" w:name="_Toc233486372"/>
      <w:r w:rsidRPr="00570195">
        <w:rPr>
          <w:rFonts w:ascii="Times New Roman" w:hAnsi="Times New Roman" w:cs="Times New Roman"/>
        </w:rPr>
        <w:t>1. Introduction</w:t>
      </w:r>
      <w:bookmarkEnd w:id="2"/>
    </w:p>
    <w:p w14:paraId="57683433" w14:textId="7A06AD11" w:rsidR="001872DF" w:rsidRPr="00570195" w:rsidRDefault="001872DF" w:rsidP="00570195">
      <w:pPr>
        <w:spacing w:line="360" w:lineRule="auto"/>
        <w:jc w:val="both"/>
        <w:rPr>
          <w:rFonts w:ascii="Times New Roman" w:hAnsi="Times New Roman" w:cs="Times New Roman"/>
        </w:rPr>
      </w:pPr>
      <w:r w:rsidRPr="00570195">
        <w:rPr>
          <w:rFonts w:ascii="Times New Roman" w:hAnsi="Times New Roman" w:cs="Times New Roman"/>
        </w:rPr>
        <w:t>This report addresses the Board's request for a detailed financial performance review for the last five years of the Group's operations (2021-2025), the working capital position of the Group, a strategic financial restructuring plan and an assessment of three investment projects. IHG is one of the world's biggest hotel companies that has a predominantly asset-light, franchise- and management-fee based business model, operating over 6,300 hotels in over 100 countries (IHG, 2026). The analysis is based on the Group's audited Annual Reports and Form 20-F for 2020-2025 and supplemented with academic and industry literature. The report has four analytical sections, each followed by a critical reflection on the application of artificial intelligence (AI) in preparing the report, and appendices detailing ratio calculations and investment appraisal workings.</w:t>
      </w:r>
    </w:p>
    <w:p w14:paraId="48C626CE" w14:textId="77777777" w:rsidR="009C3288" w:rsidRPr="00570195" w:rsidRDefault="00000000" w:rsidP="00570195">
      <w:pPr>
        <w:pStyle w:val="Heading1"/>
        <w:spacing w:line="360" w:lineRule="auto"/>
        <w:jc w:val="both"/>
        <w:rPr>
          <w:rFonts w:ascii="Times New Roman" w:hAnsi="Times New Roman" w:cs="Times New Roman"/>
        </w:rPr>
      </w:pPr>
      <w:bookmarkStart w:id="3" w:name="_Toc233486373"/>
      <w:r w:rsidRPr="00570195">
        <w:rPr>
          <w:rFonts w:ascii="Times New Roman" w:hAnsi="Times New Roman" w:cs="Times New Roman"/>
        </w:rPr>
        <w:t>2. Financial Health Check</w:t>
      </w:r>
      <w:bookmarkEnd w:id="3"/>
    </w:p>
    <w:p w14:paraId="74CB8BB1" w14:textId="77777777" w:rsidR="009C3288" w:rsidRPr="00570195" w:rsidRDefault="00000000" w:rsidP="00570195">
      <w:pPr>
        <w:pStyle w:val="Heading2"/>
        <w:spacing w:line="360" w:lineRule="auto"/>
        <w:jc w:val="both"/>
        <w:rPr>
          <w:rFonts w:ascii="Times New Roman" w:hAnsi="Times New Roman" w:cs="Times New Roman"/>
        </w:rPr>
      </w:pPr>
      <w:bookmarkStart w:id="4" w:name="_Toc233486374"/>
      <w:r w:rsidRPr="00570195">
        <w:rPr>
          <w:rFonts w:ascii="Times New Roman" w:hAnsi="Times New Roman" w:cs="Times New Roman"/>
        </w:rPr>
        <w:t>2.1 Overview of Financial Performance, 2021-2025</w:t>
      </w:r>
      <w:bookmarkEnd w:id="4"/>
    </w:p>
    <w:p w14:paraId="19A90478" w14:textId="19FC8215" w:rsidR="001872DF" w:rsidRPr="00570195" w:rsidRDefault="001872DF" w:rsidP="00570195">
      <w:pPr>
        <w:spacing w:line="360" w:lineRule="auto"/>
        <w:jc w:val="both"/>
        <w:rPr>
          <w:rFonts w:ascii="Times New Roman" w:hAnsi="Times New Roman" w:cs="Times New Roman"/>
        </w:rPr>
      </w:pPr>
      <w:r w:rsidRPr="00570195">
        <w:rPr>
          <w:rFonts w:ascii="Times New Roman" w:hAnsi="Times New Roman" w:cs="Times New Roman"/>
        </w:rPr>
        <w:t>The company's five-year financial results showcase a significant recovery from the Covid-19 pandemic accompanied by steady and profitable expansion. Total revenue rose from $2,907m in 2021 to $5,189m in 2025, while operating profit more than doubled from $494m to $1,198m over the same period (IHG, 2022; IHG, 2026) (see Table 1 and Appendix A). The curve shows IHG's fee-based, franchise-dominated business model, which has emerged as a major reason why asset-light hospitality firms have stayed relatively stable in the face of demand shocks, as royalty and managament fees do not require IHG to invest in and operate assets, but rather merely scale with the system-wide hotel revenue (Li and Singal, 2019; and more recently, Poretti and Heo, 2022).</w:t>
      </w:r>
    </w:p>
    <w:p w14:paraId="048FBA76" w14:textId="77777777" w:rsidR="009C3288" w:rsidRPr="00570195" w:rsidRDefault="00000000" w:rsidP="00570195">
      <w:pPr>
        <w:spacing w:before="80" w:after="240" w:line="360" w:lineRule="auto"/>
        <w:jc w:val="center"/>
        <w:rPr>
          <w:rFonts w:ascii="Times New Roman" w:hAnsi="Times New Roman" w:cs="Times New Roman"/>
          <w:b/>
          <w:bCs/>
        </w:rPr>
      </w:pPr>
      <w:r w:rsidRPr="00570195">
        <w:rPr>
          <w:rFonts w:ascii="Times New Roman" w:hAnsi="Times New Roman" w:cs="Times New Roman"/>
          <w:b/>
          <w:bCs/>
          <w:i/>
          <w:iCs/>
          <w:sz w:val="20"/>
          <w:szCs w:val="20"/>
        </w:rPr>
        <w:t>Table 1. IHG Group income statement summary, 2021-2025 ($m). Source: IHG plc Annual Report and Form 20-F, 2021-2025 (IHG, 2022; 2024; 2026).</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960"/>
        <w:gridCol w:w="1280"/>
        <w:gridCol w:w="1280"/>
        <w:gridCol w:w="1280"/>
        <w:gridCol w:w="1280"/>
        <w:gridCol w:w="1280"/>
      </w:tblGrid>
      <w:tr w:rsidR="009C3288" w:rsidRPr="00570195" w14:paraId="11D3B756" w14:textId="77777777">
        <w:tc>
          <w:tcPr>
            <w:tcW w:w="296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18F0E270" w14:textId="77777777" w:rsidR="009C3288" w:rsidRPr="00570195" w:rsidRDefault="009C3288" w:rsidP="00570195">
            <w:pPr>
              <w:spacing w:line="360" w:lineRule="auto"/>
              <w:jc w:val="both"/>
              <w:rPr>
                <w:rFonts w:ascii="Times New Roman" w:hAnsi="Times New Roman" w:cs="Times New Roman"/>
              </w:rPr>
            </w:pPr>
          </w:p>
        </w:tc>
        <w:tc>
          <w:tcPr>
            <w:tcW w:w="128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6C2BA48C"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2021</w:t>
            </w:r>
          </w:p>
        </w:tc>
        <w:tc>
          <w:tcPr>
            <w:tcW w:w="128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61548219"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2022</w:t>
            </w:r>
          </w:p>
        </w:tc>
        <w:tc>
          <w:tcPr>
            <w:tcW w:w="128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020FE103"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2023</w:t>
            </w:r>
          </w:p>
        </w:tc>
        <w:tc>
          <w:tcPr>
            <w:tcW w:w="128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3637E118"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2024</w:t>
            </w:r>
          </w:p>
        </w:tc>
        <w:tc>
          <w:tcPr>
            <w:tcW w:w="128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18C3279F"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2025</w:t>
            </w:r>
          </w:p>
        </w:tc>
      </w:tr>
      <w:tr w:rsidR="009C3288" w:rsidRPr="00570195" w14:paraId="6C7CBC6D" w14:textId="77777777">
        <w:tc>
          <w:tcPr>
            <w:tcW w:w="296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022D170B"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Total revenue</w:t>
            </w:r>
          </w:p>
        </w:tc>
        <w:tc>
          <w:tcPr>
            <w:tcW w:w="12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16D9A856"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2,907</w:t>
            </w:r>
          </w:p>
        </w:tc>
        <w:tc>
          <w:tcPr>
            <w:tcW w:w="12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371BAC95"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3,892</w:t>
            </w:r>
          </w:p>
        </w:tc>
        <w:tc>
          <w:tcPr>
            <w:tcW w:w="12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3BB8A998"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4,624</w:t>
            </w:r>
          </w:p>
        </w:tc>
        <w:tc>
          <w:tcPr>
            <w:tcW w:w="12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364F016A"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4,923</w:t>
            </w:r>
          </w:p>
        </w:tc>
        <w:tc>
          <w:tcPr>
            <w:tcW w:w="12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0FF60724"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5,189</w:t>
            </w:r>
          </w:p>
        </w:tc>
      </w:tr>
      <w:tr w:rsidR="009C3288" w:rsidRPr="00570195" w14:paraId="24C3326A" w14:textId="77777777">
        <w:tc>
          <w:tcPr>
            <w:tcW w:w="296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0855A553"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Operating profit</w:t>
            </w:r>
          </w:p>
        </w:tc>
        <w:tc>
          <w:tcPr>
            <w:tcW w:w="12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58B42137"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494</w:t>
            </w:r>
          </w:p>
        </w:tc>
        <w:tc>
          <w:tcPr>
            <w:tcW w:w="12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116B2070"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628</w:t>
            </w:r>
          </w:p>
        </w:tc>
        <w:tc>
          <w:tcPr>
            <w:tcW w:w="12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55C819EA"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1,066</w:t>
            </w:r>
          </w:p>
        </w:tc>
        <w:tc>
          <w:tcPr>
            <w:tcW w:w="12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8970CCE"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1,041</w:t>
            </w:r>
          </w:p>
        </w:tc>
        <w:tc>
          <w:tcPr>
            <w:tcW w:w="12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55D34321"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1,198</w:t>
            </w:r>
          </w:p>
        </w:tc>
      </w:tr>
      <w:tr w:rsidR="009C3288" w:rsidRPr="00570195" w14:paraId="7A5B1C72" w14:textId="77777777">
        <w:tc>
          <w:tcPr>
            <w:tcW w:w="296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6F71D5C9"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Profit before tax</w:t>
            </w:r>
          </w:p>
        </w:tc>
        <w:tc>
          <w:tcPr>
            <w:tcW w:w="12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D237295"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361</w:t>
            </w:r>
          </w:p>
        </w:tc>
        <w:tc>
          <w:tcPr>
            <w:tcW w:w="12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53EFB3FD"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540</w:t>
            </w:r>
          </w:p>
        </w:tc>
        <w:tc>
          <w:tcPr>
            <w:tcW w:w="12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2DD8E679"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1,010</w:t>
            </w:r>
          </w:p>
        </w:tc>
        <w:tc>
          <w:tcPr>
            <w:tcW w:w="12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50E8991"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897</w:t>
            </w:r>
          </w:p>
        </w:tc>
        <w:tc>
          <w:tcPr>
            <w:tcW w:w="12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49C0892B"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1,074</w:t>
            </w:r>
          </w:p>
        </w:tc>
      </w:tr>
      <w:tr w:rsidR="009C3288" w:rsidRPr="00570195" w14:paraId="1915A19A" w14:textId="77777777">
        <w:tc>
          <w:tcPr>
            <w:tcW w:w="296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145F3BDA"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Profit for the year</w:t>
            </w:r>
          </w:p>
        </w:tc>
        <w:tc>
          <w:tcPr>
            <w:tcW w:w="12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2487C62E"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265</w:t>
            </w:r>
          </w:p>
        </w:tc>
        <w:tc>
          <w:tcPr>
            <w:tcW w:w="12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07CA9E18"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376</w:t>
            </w:r>
          </w:p>
        </w:tc>
        <w:tc>
          <w:tcPr>
            <w:tcW w:w="12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031FA7DC"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750</w:t>
            </w:r>
          </w:p>
        </w:tc>
        <w:tc>
          <w:tcPr>
            <w:tcW w:w="12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0774BAE"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628</w:t>
            </w:r>
          </w:p>
        </w:tc>
        <w:tc>
          <w:tcPr>
            <w:tcW w:w="12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2B9F4B39"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759</w:t>
            </w:r>
          </w:p>
        </w:tc>
      </w:tr>
      <w:tr w:rsidR="009C3288" w:rsidRPr="00570195" w14:paraId="2F3AF321" w14:textId="77777777">
        <w:tc>
          <w:tcPr>
            <w:tcW w:w="296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6DE546E4"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Basic EPS (cents)</w:t>
            </w:r>
          </w:p>
        </w:tc>
        <w:tc>
          <w:tcPr>
            <w:tcW w:w="12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0FDD90A4"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145.4</w:t>
            </w:r>
          </w:p>
        </w:tc>
        <w:tc>
          <w:tcPr>
            <w:tcW w:w="12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4202A823"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207.2</w:t>
            </w:r>
          </w:p>
        </w:tc>
        <w:tc>
          <w:tcPr>
            <w:tcW w:w="12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AF92845"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443.8</w:t>
            </w:r>
          </w:p>
        </w:tc>
        <w:tc>
          <w:tcPr>
            <w:tcW w:w="12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438ACBF0"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389.6</w:t>
            </w:r>
          </w:p>
        </w:tc>
        <w:tc>
          <w:tcPr>
            <w:tcW w:w="12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3EBE8D2E"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490.9</w:t>
            </w:r>
          </w:p>
        </w:tc>
      </w:tr>
    </w:tbl>
    <w:p w14:paraId="038E1587" w14:textId="77777777" w:rsidR="009C3288" w:rsidRPr="00570195" w:rsidRDefault="009C3288" w:rsidP="00570195">
      <w:pPr>
        <w:spacing w:after="100" w:line="360" w:lineRule="auto"/>
        <w:jc w:val="both"/>
        <w:rPr>
          <w:rFonts w:ascii="Times New Roman" w:hAnsi="Times New Roman" w:cs="Times New Roman"/>
        </w:rPr>
      </w:pPr>
    </w:p>
    <w:p w14:paraId="23896557" w14:textId="7C613A03" w:rsidR="001872DF" w:rsidRPr="00570195" w:rsidRDefault="001872DF" w:rsidP="00570195">
      <w:pPr>
        <w:spacing w:after="100" w:line="360" w:lineRule="auto"/>
        <w:jc w:val="both"/>
        <w:rPr>
          <w:rFonts w:ascii="Times New Roman" w:hAnsi="Times New Roman" w:cs="Times New Roman"/>
        </w:rPr>
      </w:pPr>
      <w:r w:rsidRPr="00570195">
        <w:rPr>
          <w:rFonts w:ascii="Times New Roman" w:hAnsi="Times New Roman" w:cs="Times New Roman"/>
        </w:rPr>
        <w:t>There are two striking features. Growth has not been linear, however, with 2023 being an inflection year for which operating profit was greater than $1 billion (helped by the easing of Greater China travel restrictions and a normalising System Fund result) and a temporary decline in operating profit to $1,041m in 2024 as a result of the planned reduction in System Fund surplus, not weakness in the underlying trading (IHG, 2025a). Second, profitability growth has consistently outpaced revenue growth, with net profit margin rising from 9.1% in 2021 to 14.6% in 2025 (Appendix A, Table A1), confirming the high incremental margins in the franchise model is a characteristic of asset-light hospitality companies, consistent with the broader finding that net profit margins in the system-wide are high as a result of converting system-wide revenue growth into fee income (Chambers and Cifter, 2022).</w:t>
      </w:r>
    </w:p>
    <w:p w14:paraId="365ABD64" w14:textId="77777777" w:rsidR="009C3288" w:rsidRPr="00570195" w:rsidRDefault="00000000" w:rsidP="00570195">
      <w:pPr>
        <w:spacing w:before="100" w:after="80" w:line="360" w:lineRule="auto"/>
        <w:jc w:val="center"/>
        <w:rPr>
          <w:rFonts w:ascii="Times New Roman" w:hAnsi="Times New Roman" w:cs="Times New Roman"/>
        </w:rPr>
      </w:pPr>
      <w:r w:rsidRPr="00570195">
        <w:rPr>
          <w:rFonts w:ascii="Times New Roman" w:hAnsi="Times New Roman" w:cs="Times New Roman"/>
          <w:noProof/>
        </w:rPr>
        <w:drawing>
          <wp:inline distT="0" distB="0" distL="0" distR="0" wp14:anchorId="036F0EA5" wp14:editId="2A0AF42E">
            <wp:extent cx="4934946" cy="3460408"/>
            <wp:effectExtent l="0" t="0" r="0" b="6985"/>
            <wp:docPr id="1" name="Figure 1" descr="IHG Revenue and Operating Profit 2021-2025" title="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duotone>
                        <a:prstClr val="black"/>
                        <a:schemeClr val="accent4">
                          <a:tint val="45000"/>
                          <a:satMod val="400000"/>
                        </a:schemeClr>
                      </a:duotone>
                    </a:blip>
                    <a:srcRect/>
                    <a:stretch>
                      <a:fillRect/>
                    </a:stretch>
                  </pic:blipFill>
                  <pic:spPr bwMode="auto">
                    <a:xfrm>
                      <a:off x="0" y="0"/>
                      <a:ext cx="4944345" cy="3466999"/>
                    </a:xfrm>
                    <a:prstGeom prst="rect">
                      <a:avLst/>
                    </a:prstGeom>
                  </pic:spPr>
                </pic:pic>
              </a:graphicData>
            </a:graphic>
          </wp:inline>
        </w:drawing>
      </w:r>
    </w:p>
    <w:p w14:paraId="5220811D" w14:textId="77777777" w:rsidR="009C3288" w:rsidRPr="00570195" w:rsidRDefault="00000000" w:rsidP="00570195">
      <w:pPr>
        <w:spacing w:before="80" w:after="240" w:line="360" w:lineRule="auto"/>
        <w:jc w:val="center"/>
        <w:rPr>
          <w:rFonts w:ascii="Times New Roman" w:hAnsi="Times New Roman" w:cs="Times New Roman"/>
        </w:rPr>
      </w:pPr>
      <w:r w:rsidRPr="00570195">
        <w:rPr>
          <w:rFonts w:ascii="Times New Roman" w:hAnsi="Times New Roman" w:cs="Times New Roman"/>
          <w:i/>
          <w:iCs/>
          <w:sz w:val="20"/>
          <w:szCs w:val="20"/>
        </w:rPr>
        <w:t>Figure 1. IHG revenue and operating profit, 2021-2025 ($m). Source: Author's chart, based on data in Table 1 (IHG, 2022; 2024; 2026).</w:t>
      </w:r>
    </w:p>
    <w:p w14:paraId="440622EE" w14:textId="77777777" w:rsidR="009C3288" w:rsidRPr="00570195" w:rsidRDefault="00000000" w:rsidP="00570195">
      <w:pPr>
        <w:pStyle w:val="Heading2"/>
        <w:spacing w:line="360" w:lineRule="auto"/>
        <w:jc w:val="both"/>
        <w:rPr>
          <w:rFonts w:ascii="Times New Roman" w:hAnsi="Times New Roman" w:cs="Times New Roman"/>
        </w:rPr>
      </w:pPr>
      <w:bookmarkStart w:id="5" w:name="_Toc233486375"/>
      <w:r w:rsidRPr="00570195">
        <w:rPr>
          <w:rFonts w:ascii="Times New Roman" w:hAnsi="Times New Roman" w:cs="Times New Roman"/>
        </w:rPr>
        <w:t>2.2 Profitability Analysis</w:t>
      </w:r>
      <w:bookmarkEnd w:id="5"/>
    </w:p>
    <w:p w14:paraId="2C72019E" w14:textId="3A91D08F" w:rsidR="001872DF" w:rsidRPr="00570195" w:rsidRDefault="001872DF" w:rsidP="00570195">
      <w:pPr>
        <w:spacing w:line="360" w:lineRule="auto"/>
        <w:jc w:val="both"/>
        <w:rPr>
          <w:rFonts w:ascii="Times New Roman" w:hAnsi="Times New Roman" w:cs="Times New Roman"/>
        </w:rPr>
      </w:pPr>
      <w:r w:rsidRPr="00570195">
        <w:rPr>
          <w:rFonts w:ascii="Times New Roman" w:hAnsi="Times New Roman" w:cs="Times New Roman"/>
        </w:rPr>
        <w:t xml:space="preserve">The margin on operating profit for IHG was 17.0% in 2021, whereas it was 23.1% in 2025. Moreover, ROCE increased significantly from 16.0% in 2021 to 36.9% in 2025. There are three reasons for this positive trend. First, there was the recovery in global RevPAR (revenue per available room) after the pandemic, where in 2021, there was an increase of 46%, and then in 2022 there was another 36.6% increase, after which the growth rate became </w:t>
      </w:r>
      <w:r w:rsidR="00570195" w:rsidRPr="00570195">
        <w:rPr>
          <w:rFonts w:ascii="Times New Roman" w:hAnsi="Times New Roman" w:cs="Times New Roman"/>
        </w:rPr>
        <w:t>single digit</w:t>
      </w:r>
      <w:r w:rsidRPr="00570195">
        <w:rPr>
          <w:rFonts w:ascii="Times New Roman" w:hAnsi="Times New Roman" w:cs="Times New Roman"/>
        </w:rPr>
        <w:t xml:space="preserve"> from 2024 to 2025 (IHG, 2023; 2025a). Second, there is growth in fee business revenue, which increased from $1,153m in 2021 to $1,897m in 2025. Third, there is effective cost control as administrative expense grew much slower than the revenue. The fee margin, which is an important performance indicator for the company, increased from below 50% in 2021 to over 61% in 2023 (IHG, 2024).</w:t>
      </w:r>
    </w:p>
    <w:p w14:paraId="0FA30EBA" w14:textId="77777777" w:rsidR="001872DF" w:rsidRPr="00570195" w:rsidRDefault="001872DF" w:rsidP="00570195">
      <w:pPr>
        <w:spacing w:line="360" w:lineRule="auto"/>
        <w:jc w:val="both"/>
        <w:rPr>
          <w:rFonts w:ascii="Times New Roman" w:hAnsi="Times New Roman" w:cs="Times New Roman"/>
        </w:rPr>
      </w:pPr>
    </w:p>
    <w:p w14:paraId="02EA9E59" w14:textId="7EA81023" w:rsidR="001872DF" w:rsidRPr="00570195" w:rsidRDefault="001872DF" w:rsidP="00570195">
      <w:pPr>
        <w:spacing w:line="360" w:lineRule="auto"/>
        <w:jc w:val="both"/>
        <w:rPr>
          <w:rFonts w:ascii="Times New Roman" w:hAnsi="Times New Roman" w:cs="Times New Roman"/>
        </w:rPr>
      </w:pPr>
      <w:r w:rsidRPr="00570195">
        <w:rPr>
          <w:rFonts w:ascii="Times New Roman" w:hAnsi="Times New Roman" w:cs="Times New Roman"/>
        </w:rPr>
        <w:t xml:space="preserve">IHG's profitability profile stacks up quite well compared to other comparable peers. Marriott International and Hilton Worldwide, two companies following an equally light asset model, usually record operating margins of high-20s to low-30s (Hilton Worldwide Holdings, 2024). It is worth noting that IHG's operating margin does not fairly reflect the profitability of its fee business, since its operating margin is diluted with the pass-through System Fund revenue, which has a margin of zero (it is not included in gross revenue). </w:t>
      </w:r>
    </w:p>
    <w:p w14:paraId="6F3C4D65" w14:textId="77777777" w:rsidR="009C3288" w:rsidRPr="00570195" w:rsidRDefault="00000000" w:rsidP="00570195">
      <w:pPr>
        <w:pStyle w:val="Heading2"/>
        <w:spacing w:line="360" w:lineRule="auto"/>
        <w:jc w:val="both"/>
        <w:rPr>
          <w:rFonts w:ascii="Times New Roman" w:hAnsi="Times New Roman" w:cs="Times New Roman"/>
        </w:rPr>
      </w:pPr>
      <w:bookmarkStart w:id="6" w:name="_Toc233486376"/>
      <w:r w:rsidRPr="00570195">
        <w:rPr>
          <w:rFonts w:ascii="Times New Roman" w:hAnsi="Times New Roman" w:cs="Times New Roman"/>
        </w:rPr>
        <w:t>2.3 Liquidity Analysis and Industry Benchmarking</w:t>
      </w:r>
      <w:bookmarkEnd w:id="6"/>
    </w:p>
    <w:p w14:paraId="6DC7C767" w14:textId="0C27B732" w:rsidR="009C3288" w:rsidRPr="00570195" w:rsidRDefault="001872DF" w:rsidP="00570195">
      <w:pPr>
        <w:spacing w:after="200" w:line="360" w:lineRule="auto"/>
        <w:jc w:val="both"/>
        <w:rPr>
          <w:rFonts w:ascii="Times New Roman" w:hAnsi="Times New Roman" w:cs="Times New Roman"/>
        </w:rPr>
      </w:pPr>
      <w:r w:rsidRPr="00570195">
        <w:rPr>
          <w:rFonts w:ascii="Times New Roman" w:hAnsi="Times New Roman" w:cs="Times New Roman"/>
        </w:rPr>
        <w:t xml:space="preserve">The ratio of IHG’s current ratio reduced from 1.27x in 2021 to 0.98x in 2025 (Appendix A, Table A1). The above trend shows that current liabilities have increased and are greater than current assets. A ratio below 1.0x is normally considered to show the firm’s liquidity issue. However, it should be </w:t>
      </w:r>
      <w:r w:rsidR="00570195" w:rsidRPr="00570195">
        <w:rPr>
          <w:rFonts w:ascii="Times New Roman" w:hAnsi="Times New Roman" w:cs="Times New Roman"/>
        </w:rPr>
        <w:t>analysed</w:t>
      </w:r>
      <w:r w:rsidRPr="00570195">
        <w:rPr>
          <w:rFonts w:ascii="Times New Roman" w:hAnsi="Times New Roman" w:cs="Times New Roman"/>
        </w:rPr>
        <w:t xml:space="preserve"> under the </w:t>
      </w:r>
      <w:r w:rsidR="00570195" w:rsidRPr="00570195">
        <w:rPr>
          <w:rFonts w:ascii="Times New Roman" w:hAnsi="Times New Roman" w:cs="Times New Roman"/>
        </w:rPr>
        <w:t>scenario</w:t>
      </w:r>
      <w:r w:rsidRPr="00570195">
        <w:rPr>
          <w:rFonts w:ascii="Times New Roman" w:hAnsi="Times New Roman" w:cs="Times New Roman"/>
        </w:rPr>
        <w:t xml:space="preserve"> of the hospitality sector since the current liability of the company includes revenue that will not lead to cash outflow.</w:t>
      </w:r>
      <w:r w:rsidRPr="00570195">
        <w:rPr>
          <w:rFonts w:ascii="Times New Roman" w:hAnsi="Times New Roman" w:cs="Times New Roman"/>
        </w:rPr>
        <w:br/>
        <w:t>Comparing to the direct competition, the current ratio of IHG falls into the normal range for the industry. Hilton Worldwide, for instance, recorded the current ratio of approximately 0.70x as of December 31, 2023 (Hilton Worldwide Holdings, 2024), whereas the current ratio of Marriott International has been ranging between 0.4x-0.5x over the past few years (MacroTrends, 2026). Similarly, as found by Radivojević et al. (2023) in their analysis of the five biggest hotel operators across the world in terms of revenue for the period of 2017-2022, including IHG, all the hotel chains under consideration demonstrated extremely low levels of liquidity, as their current liabilities have exceeded current assets, which was intentional, as they preferred returning excess cash to the stockholders rather than maintaining precautionary balances. Thus, although the current ratio of IHG falls short of the 'ideal' ratio range of 1.5x-2.0x, it is quite acceptable from the industry perspective.</w:t>
      </w:r>
    </w:p>
    <w:p w14:paraId="2C826BB2" w14:textId="5610CC80" w:rsidR="001872DF" w:rsidRPr="00570195" w:rsidRDefault="001872DF" w:rsidP="00570195">
      <w:pPr>
        <w:spacing w:after="200" w:line="360" w:lineRule="auto"/>
        <w:jc w:val="both"/>
        <w:rPr>
          <w:rFonts w:ascii="Times New Roman" w:hAnsi="Times New Roman" w:cs="Times New Roman"/>
        </w:rPr>
      </w:pPr>
      <w:r w:rsidRPr="00570195">
        <w:rPr>
          <w:rFonts w:ascii="Times New Roman" w:hAnsi="Times New Roman" w:cs="Times New Roman"/>
        </w:rPr>
        <w:t xml:space="preserve">The cash ratio, on the other hand, provides a much more reassuring picture: for 2025, IHG had cash and equivalents equivalent to 53.8% of current liabilities, compared to 89.3% in 2021, although even that suggests a very sizeable liquidity cushion (Appendix A, Table A1). Overall liquidity cushion, </w:t>
      </w:r>
      <w:r w:rsidR="00570195" w:rsidRPr="00570195">
        <w:rPr>
          <w:rFonts w:ascii="Times New Roman" w:hAnsi="Times New Roman" w:cs="Times New Roman"/>
        </w:rPr>
        <w:t>considering</w:t>
      </w:r>
      <w:r w:rsidRPr="00570195">
        <w:rPr>
          <w:rFonts w:ascii="Times New Roman" w:hAnsi="Times New Roman" w:cs="Times New Roman"/>
        </w:rPr>
        <w:t xml:space="preserve"> also the undrawn lines of credit, was $2,655m in 2021 (IHG, 2022).</w:t>
      </w:r>
    </w:p>
    <w:p w14:paraId="55BEF740" w14:textId="77777777" w:rsidR="009C3288" w:rsidRPr="00570195" w:rsidRDefault="00000000" w:rsidP="00570195">
      <w:pPr>
        <w:pStyle w:val="Heading2"/>
        <w:spacing w:line="360" w:lineRule="auto"/>
        <w:jc w:val="both"/>
        <w:rPr>
          <w:rFonts w:ascii="Times New Roman" w:hAnsi="Times New Roman" w:cs="Times New Roman"/>
        </w:rPr>
      </w:pPr>
      <w:bookmarkStart w:id="7" w:name="_Toc233486377"/>
      <w:r w:rsidRPr="00570195">
        <w:rPr>
          <w:rFonts w:ascii="Times New Roman" w:hAnsi="Times New Roman" w:cs="Times New Roman"/>
        </w:rPr>
        <w:t>2.4 Efficiency and Cash Flow</w:t>
      </w:r>
      <w:bookmarkEnd w:id="7"/>
    </w:p>
    <w:p w14:paraId="7988074E" w14:textId="66A47929" w:rsidR="001872DF" w:rsidRPr="00570195" w:rsidRDefault="001872DF" w:rsidP="00570195">
      <w:pPr>
        <w:spacing w:line="360" w:lineRule="auto"/>
        <w:jc w:val="both"/>
        <w:rPr>
          <w:rFonts w:ascii="Times New Roman" w:hAnsi="Times New Roman" w:cs="Times New Roman"/>
        </w:rPr>
      </w:pPr>
      <w:r w:rsidRPr="00570195">
        <w:rPr>
          <w:rFonts w:ascii="Times New Roman" w:hAnsi="Times New Roman" w:cs="Times New Roman"/>
        </w:rPr>
        <w:t xml:space="preserve">The asset turnover ratio has increased from 0.62x in 2021 to about 1.0x in 2023-2025, </w:t>
      </w:r>
      <w:r w:rsidR="00570195" w:rsidRPr="00570195">
        <w:rPr>
          <w:rFonts w:ascii="Times New Roman" w:hAnsi="Times New Roman" w:cs="Times New Roman"/>
        </w:rPr>
        <w:t>because of</w:t>
      </w:r>
      <w:r w:rsidRPr="00570195">
        <w:rPr>
          <w:rFonts w:ascii="Times New Roman" w:hAnsi="Times New Roman" w:cs="Times New Roman"/>
        </w:rPr>
        <w:t xml:space="preserve"> both post-COVID revenue recovery as well as an intentionally streamlined asset portfolio. There have been significant improvements in the cash operating cycle of the company which is now estimated at around 63 days in 2025 compared to 95 days in 2021, as the collection of receivables improved after the liquidity challenges experienced during the pandemic which was reflected in the company's own provisioning data (IHG, 2022). Cash flow from operating activities has increased from $636m in 2021 to $898m in 2025, while operating cash flow ratio which is cash flow from operations divided by current liabilities remains above 0.35x.</w:t>
      </w:r>
    </w:p>
    <w:p w14:paraId="5F062300" w14:textId="77777777" w:rsidR="009C3288" w:rsidRPr="00570195" w:rsidRDefault="00000000" w:rsidP="00570195">
      <w:pPr>
        <w:pStyle w:val="Heading2"/>
        <w:spacing w:line="360" w:lineRule="auto"/>
        <w:jc w:val="both"/>
        <w:rPr>
          <w:rFonts w:ascii="Times New Roman" w:hAnsi="Times New Roman" w:cs="Times New Roman"/>
        </w:rPr>
      </w:pPr>
      <w:bookmarkStart w:id="8" w:name="_Toc233486378"/>
      <w:r w:rsidRPr="00570195">
        <w:rPr>
          <w:rFonts w:ascii="Times New Roman" w:hAnsi="Times New Roman" w:cs="Times New Roman"/>
        </w:rPr>
        <w:t>2.5 Gearing and Capital Structure</w:t>
      </w:r>
      <w:bookmarkEnd w:id="8"/>
    </w:p>
    <w:p w14:paraId="064DB06B" w14:textId="77777777" w:rsidR="001872DF" w:rsidRPr="00570195" w:rsidRDefault="001872DF" w:rsidP="00570195">
      <w:pPr>
        <w:spacing w:line="360" w:lineRule="auto"/>
        <w:jc w:val="both"/>
        <w:rPr>
          <w:rFonts w:ascii="Times New Roman" w:hAnsi="Times New Roman" w:cs="Times New Roman"/>
        </w:rPr>
      </w:pPr>
      <w:r w:rsidRPr="00570195">
        <w:rPr>
          <w:rFonts w:ascii="Times New Roman" w:hAnsi="Times New Roman" w:cs="Times New Roman"/>
        </w:rPr>
        <w:t>IHG's gearing position is fundamentally different as the Group had recorded net liabilities (negative shareholders' equity) in all the years since 2019, increasing to $(2,736)m at the end of 2025 (Appendix A, Table A2). This is not of itself a sign of financial difficulties. Instead, it is the direct and intended result of IHG's asset-light, fee-based structure, under which IHG owns very few hotels directly, plus a long history of paying out returns to shareholders that exceed retained earnings - with $897m of buybacks alone in 2025 (IHG, 2026). It is well established that many hotel groups, such as the one studied here, are owner-light, fee-oriented (ALFO) and that ALFO hotel groups are characterized by negative or minimal book equity as they aim to replace assets with debt-funded working capital and continuous fee income rather than fixed-asset ownership (Li and Singal, 2019; literature cited herein).</w:t>
      </w:r>
    </w:p>
    <w:p w14:paraId="7888055F" w14:textId="4D34E961" w:rsidR="001872DF" w:rsidRPr="00570195" w:rsidRDefault="001872DF" w:rsidP="00570195">
      <w:pPr>
        <w:spacing w:line="360" w:lineRule="auto"/>
        <w:jc w:val="both"/>
        <w:rPr>
          <w:rFonts w:ascii="Times New Roman" w:hAnsi="Times New Roman" w:cs="Times New Roman"/>
        </w:rPr>
      </w:pPr>
      <w:r w:rsidRPr="00570195">
        <w:rPr>
          <w:rFonts w:ascii="Times New Roman" w:hAnsi="Times New Roman" w:cs="Times New Roman"/>
        </w:rPr>
        <w:t xml:space="preserve">Despite this, interest cover, which is operating profit to financial expenses, is still adequate, at 3.4x in 2021, which is still a year affected by the pandemic and will be rising to 5.9x in 2025, higher than the covenant threshold lender's normally require, of 4.0x. </w:t>
      </w:r>
    </w:p>
    <w:p w14:paraId="044234FE" w14:textId="77777777" w:rsidR="009C3288" w:rsidRPr="00570195" w:rsidRDefault="00000000" w:rsidP="00570195">
      <w:pPr>
        <w:pStyle w:val="Heading2"/>
        <w:spacing w:line="360" w:lineRule="auto"/>
        <w:jc w:val="both"/>
        <w:rPr>
          <w:rFonts w:ascii="Times New Roman" w:hAnsi="Times New Roman" w:cs="Times New Roman"/>
        </w:rPr>
      </w:pPr>
      <w:bookmarkStart w:id="9" w:name="_Toc233486379"/>
      <w:r w:rsidRPr="00570195">
        <w:rPr>
          <w:rFonts w:ascii="Times New Roman" w:hAnsi="Times New Roman" w:cs="Times New Roman"/>
        </w:rPr>
        <w:t>2.6 Summary</w:t>
      </w:r>
      <w:bookmarkEnd w:id="9"/>
    </w:p>
    <w:p w14:paraId="5873D802" w14:textId="53AC0643" w:rsidR="001872DF" w:rsidRPr="00570195" w:rsidRDefault="001872DF" w:rsidP="00570195">
      <w:pPr>
        <w:spacing w:line="360" w:lineRule="auto"/>
        <w:jc w:val="both"/>
        <w:rPr>
          <w:rFonts w:ascii="Times New Roman" w:hAnsi="Times New Roman" w:cs="Times New Roman"/>
        </w:rPr>
      </w:pPr>
      <w:r w:rsidRPr="00570195">
        <w:rPr>
          <w:rFonts w:ascii="Times New Roman" w:hAnsi="Times New Roman" w:cs="Times New Roman"/>
        </w:rPr>
        <w:t>Combined, the five-year financial health check reflects a business that survived the pandemic, quickly recovered and has significantly improved its profitability and cash flow. The principal aspect the Board will need to be focused on is working capital and short-term liquidity management, which is a trait common to IHG's closest rivals, but not to IHG, as reflected in the current sub-1.0x working capital ratio and short-term liquidity ratio (see Section 3).</w:t>
      </w:r>
    </w:p>
    <w:p w14:paraId="09DFC2F1" w14:textId="77777777" w:rsidR="009C3288" w:rsidRPr="00570195" w:rsidRDefault="00000000" w:rsidP="00570195">
      <w:pPr>
        <w:pStyle w:val="Heading1"/>
        <w:spacing w:line="360" w:lineRule="auto"/>
        <w:jc w:val="both"/>
        <w:rPr>
          <w:rFonts w:ascii="Times New Roman" w:hAnsi="Times New Roman" w:cs="Times New Roman"/>
        </w:rPr>
      </w:pPr>
      <w:bookmarkStart w:id="10" w:name="_Toc233486380"/>
      <w:r w:rsidRPr="00570195">
        <w:rPr>
          <w:rFonts w:ascii="Times New Roman" w:hAnsi="Times New Roman" w:cs="Times New Roman"/>
        </w:rPr>
        <w:t>3. Working Capital Management Analysis</w:t>
      </w:r>
      <w:bookmarkEnd w:id="10"/>
    </w:p>
    <w:p w14:paraId="68465B35" w14:textId="77777777" w:rsidR="009C3288" w:rsidRPr="00570195" w:rsidRDefault="00000000" w:rsidP="00570195">
      <w:pPr>
        <w:pStyle w:val="Heading2"/>
        <w:spacing w:line="360" w:lineRule="auto"/>
        <w:jc w:val="both"/>
        <w:rPr>
          <w:rFonts w:ascii="Times New Roman" w:hAnsi="Times New Roman" w:cs="Times New Roman"/>
        </w:rPr>
      </w:pPr>
      <w:bookmarkStart w:id="11" w:name="_Toc233486381"/>
      <w:r w:rsidRPr="00570195">
        <w:rPr>
          <w:rFonts w:ascii="Times New Roman" w:hAnsi="Times New Roman" w:cs="Times New Roman"/>
        </w:rPr>
        <w:t>3.1 The Cash Operating Cycle</w:t>
      </w:r>
      <w:bookmarkEnd w:id="11"/>
    </w:p>
    <w:p w14:paraId="138831D7" w14:textId="616079FE" w:rsidR="001872DF" w:rsidRPr="00570195" w:rsidRDefault="001872DF" w:rsidP="00570195">
      <w:pPr>
        <w:spacing w:line="360" w:lineRule="auto"/>
        <w:jc w:val="both"/>
        <w:rPr>
          <w:rFonts w:ascii="Times New Roman" w:hAnsi="Times New Roman" w:cs="Times New Roman"/>
        </w:rPr>
      </w:pPr>
      <w:r w:rsidRPr="00570195">
        <w:rPr>
          <w:rFonts w:ascii="Times New Roman" w:hAnsi="Times New Roman" w:cs="Times New Roman"/>
        </w:rPr>
        <w:t xml:space="preserve">The cash operating cycle is the </w:t>
      </w:r>
      <w:r w:rsidR="00570195" w:rsidRPr="00570195">
        <w:rPr>
          <w:rFonts w:ascii="Times New Roman" w:hAnsi="Times New Roman" w:cs="Times New Roman"/>
        </w:rPr>
        <w:t>period</w:t>
      </w:r>
      <w:r w:rsidRPr="00570195">
        <w:rPr>
          <w:rFonts w:ascii="Times New Roman" w:hAnsi="Times New Roman" w:cs="Times New Roman"/>
        </w:rPr>
        <w:t xml:space="preserve"> from cash spent on operating expenses through to cash received from customers. It is an asset-light hotel franchisor like IHG, so this cycle is comparatively short and, in principle, can be negative because the Group takes only a percentage of underlying hotel revenue as franchise and management fees soon after the underlying hotel revenue is recognised, whereas the Group has a relatively low level of asset inventory and limited trade credit. The estimated cycle dropped from about 95 days in 2021 to about 63 days in 2025 (Appendix A, Table A1), due to increases in the speed of receivables collections as hotel owners' own liquidity bounced back during the post-pandemic era, and ongoing growth in technology and franchise fee income collected on short-term payables.</w:t>
      </w:r>
    </w:p>
    <w:p w14:paraId="5AC2C8C5" w14:textId="4780772D" w:rsidR="001872DF" w:rsidRPr="00570195" w:rsidRDefault="001872DF" w:rsidP="00570195">
      <w:pPr>
        <w:spacing w:line="360" w:lineRule="auto"/>
        <w:jc w:val="both"/>
        <w:rPr>
          <w:rFonts w:ascii="Times New Roman" w:hAnsi="Times New Roman" w:cs="Times New Roman"/>
        </w:rPr>
      </w:pPr>
      <w:r w:rsidRPr="00570195">
        <w:rPr>
          <w:rFonts w:ascii="Times New Roman" w:hAnsi="Times New Roman" w:cs="Times New Roman"/>
        </w:rPr>
        <w:t>However, IHG's own disclosures show that there is still a liquidity risk for the owners: the proportion of older trade debt was higher than in previous years before the pandemic, and provisions to cover expected credit losses were 25% of gross trade debt in 2021 (IHG, 2022). This finding aligns with the broader literature on the relationship between working capital management and firm performance in hospitality and tourism companies during times of sector stress, which indicates an inverted U-shaped pattern, with average firms with low WC performance being better, but too aggressive in reducing WC performance can also have negative consequences on commercial relationships with franchisees and owners, as reported by Chambers and Cifter (2022) in their study of global hospitality and tourism companies.</w:t>
      </w:r>
    </w:p>
    <w:p w14:paraId="6C118AE8" w14:textId="77777777" w:rsidR="001872DF" w:rsidRPr="00570195" w:rsidRDefault="001872DF" w:rsidP="00570195">
      <w:pPr>
        <w:spacing w:line="360" w:lineRule="auto"/>
        <w:jc w:val="both"/>
        <w:rPr>
          <w:rFonts w:ascii="Times New Roman" w:hAnsi="Times New Roman" w:cs="Times New Roman"/>
        </w:rPr>
      </w:pPr>
    </w:p>
    <w:p w14:paraId="3D52D69C" w14:textId="77777777" w:rsidR="009C3288" w:rsidRPr="00570195" w:rsidRDefault="00000000" w:rsidP="00570195">
      <w:pPr>
        <w:pStyle w:val="Heading2"/>
        <w:spacing w:line="360" w:lineRule="auto"/>
        <w:jc w:val="both"/>
        <w:rPr>
          <w:rFonts w:ascii="Times New Roman" w:hAnsi="Times New Roman" w:cs="Times New Roman"/>
        </w:rPr>
      </w:pPr>
      <w:bookmarkStart w:id="12" w:name="_Toc233486382"/>
      <w:r w:rsidRPr="00570195">
        <w:rPr>
          <w:rFonts w:ascii="Times New Roman" w:hAnsi="Times New Roman" w:cs="Times New Roman"/>
        </w:rPr>
        <w:t>3.2 Liquidity Reform Recommendations</w:t>
      </w:r>
      <w:bookmarkEnd w:id="12"/>
    </w:p>
    <w:p w14:paraId="2DFFF7FD" w14:textId="77777777" w:rsidR="009C3288" w:rsidRPr="00570195" w:rsidRDefault="00000000" w:rsidP="00570195">
      <w:pPr>
        <w:spacing w:after="200" w:line="360" w:lineRule="auto"/>
        <w:jc w:val="both"/>
        <w:rPr>
          <w:rFonts w:ascii="Times New Roman" w:hAnsi="Times New Roman" w:cs="Times New Roman"/>
        </w:rPr>
      </w:pPr>
      <w:r w:rsidRPr="00570195">
        <w:rPr>
          <w:rFonts w:ascii="Times New Roman" w:hAnsi="Times New Roman" w:cs="Times New Roman"/>
        </w:rPr>
        <w:t>Three working capital reforms are recommended to the Board.</w:t>
      </w:r>
    </w:p>
    <w:p w14:paraId="7ABEAEF2" w14:textId="5A814580" w:rsidR="001872DF" w:rsidRPr="00570195" w:rsidRDefault="00570195" w:rsidP="00570195">
      <w:pPr>
        <w:spacing w:after="200" w:line="360" w:lineRule="auto"/>
        <w:jc w:val="both"/>
        <w:rPr>
          <w:rFonts w:ascii="Times New Roman" w:hAnsi="Times New Roman" w:cs="Times New Roman"/>
        </w:rPr>
      </w:pPr>
      <w:r>
        <w:rPr>
          <w:rFonts w:ascii="Times New Roman" w:hAnsi="Times New Roman" w:cs="Times New Roman"/>
        </w:rPr>
        <w:t>Firstly</w:t>
      </w:r>
      <w:r w:rsidR="001872DF" w:rsidRPr="00570195">
        <w:rPr>
          <w:rFonts w:ascii="Times New Roman" w:hAnsi="Times New Roman" w:cs="Times New Roman"/>
        </w:rPr>
        <w:t>, implement an aged accounts receivables management policy for the hotel owners. Since a significant percentage of receivables of IHG pertain to franchise and management fees charged to other parties (other than customers), implementing a collection policy based on ageing coupled with the existing early warning system of credit scoring through the expected credit loss provision made by IHG will decrease the number of days in receivables without any harm to the business relationship with the hotel owners. The literature in hospitality and financial distress, such as the 2024 research paper on geopolitical risk and financial distress in Indian hospitality businesses, supports this point because liquidity and receivables management play a key role in determining the survival of hotel firms during times of economic stress.</w:t>
      </w:r>
    </w:p>
    <w:p w14:paraId="671C2053" w14:textId="4F1B3689" w:rsidR="001872DF" w:rsidRPr="00570195" w:rsidRDefault="001872DF" w:rsidP="00570195">
      <w:pPr>
        <w:spacing w:after="200" w:line="360" w:lineRule="auto"/>
        <w:jc w:val="both"/>
        <w:rPr>
          <w:rFonts w:ascii="Times New Roman" w:hAnsi="Times New Roman" w:cs="Times New Roman"/>
        </w:rPr>
      </w:pPr>
      <w:r w:rsidRPr="00570195">
        <w:rPr>
          <w:rFonts w:ascii="Times New Roman" w:hAnsi="Times New Roman" w:cs="Times New Roman"/>
        </w:rPr>
        <w:t xml:space="preserve">The second recommendation is that the System Fund cash flow should be further optimised. Since System Fund payments and reimbursements are received and paid out by the company not in its own name, but as the representative of the IHG </w:t>
      </w:r>
      <w:r w:rsidR="00570195" w:rsidRPr="00570195">
        <w:rPr>
          <w:rFonts w:ascii="Times New Roman" w:hAnsi="Times New Roman" w:cs="Times New Roman"/>
        </w:rPr>
        <w:t>system, a</w:t>
      </w:r>
      <w:r w:rsidRPr="00570195">
        <w:rPr>
          <w:rFonts w:ascii="Times New Roman" w:hAnsi="Times New Roman" w:cs="Times New Roman"/>
        </w:rPr>
        <w:t xml:space="preserve"> delay in the time frame of such activities may create distortions in the calculation of working capital, but not in the actual solvency of the firm. Synchronisation of the time periods of System Fund payment and reimbursement could provide a better view of the firm's liquidity.</w:t>
      </w:r>
    </w:p>
    <w:p w14:paraId="746F9C9C" w14:textId="48AC8368" w:rsidR="001872DF" w:rsidRPr="00570195" w:rsidRDefault="001872DF" w:rsidP="00570195">
      <w:pPr>
        <w:spacing w:after="200" w:line="360" w:lineRule="auto"/>
        <w:jc w:val="both"/>
        <w:rPr>
          <w:rFonts w:ascii="Times New Roman" w:hAnsi="Times New Roman" w:cs="Times New Roman"/>
        </w:rPr>
      </w:pPr>
      <w:r w:rsidRPr="00570195">
        <w:rPr>
          <w:rFonts w:ascii="Times New Roman" w:hAnsi="Times New Roman" w:cs="Times New Roman"/>
        </w:rPr>
        <w:t>Thirdly, preserve, as opposed to further compressing, the existing cash buffer. While a current ratio of less than 1.0x could create pressure to pay out more cash to stockholders, the inverted-U result of Chambers &amp; Cifter (2022) suggests that the company refrain from further compressing its cash buffer. At a time when $1,129m of cash is sitting on the balance sheet of the company in 2025 and with a scenario of high political and macroeconomic uncertainty prevailing, the current cash buffer should be treated as a floor rather than a goal for further reduction, especially with a negative book equity position for IHG.</w:t>
      </w:r>
    </w:p>
    <w:p w14:paraId="16C50311" w14:textId="77777777" w:rsidR="009C3288" w:rsidRPr="00570195" w:rsidRDefault="00000000" w:rsidP="00570195">
      <w:pPr>
        <w:pStyle w:val="Heading2"/>
        <w:spacing w:line="360" w:lineRule="auto"/>
        <w:jc w:val="both"/>
        <w:rPr>
          <w:rFonts w:ascii="Times New Roman" w:hAnsi="Times New Roman" w:cs="Times New Roman"/>
        </w:rPr>
      </w:pPr>
      <w:bookmarkStart w:id="13" w:name="_Toc233486383"/>
      <w:r w:rsidRPr="00570195">
        <w:rPr>
          <w:rFonts w:ascii="Times New Roman" w:hAnsi="Times New Roman" w:cs="Times New Roman"/>
        </w:rPr>
        <w:t>3.3 Short-Term versus Long-Term Financing</w:t>
      </w:r>
      <w:bookmarkEnd w:id="13"/>
    </w:p>
    <w:p w14:paraId="463A7BF5" w14:textId="6875603F" w:rsidR="009C3288" w:rsidRPr="00570195" w:rsidRDefault="001872DF" w:rsidP="00570195">
      <w:pPr>
        <w:spacing w:after="200" w:line="360" w:lineRule="auto"/>
        <w:jc w:val="both"/>
        <w:rPr>
          <w:rFonts w:ascii="Times New Roman" w:hAnsi="Times New Roman" w:cs="Times New Roman"/>
        </w:rPr>
      </w:pPr>
      <w:r w:rsidRPr="00570195">
        <w:rPr>
          <w:rFonts w:ascii="Times New Roman" w:hAnsi="Times New Roman" w:cs="Times New Roman"/>
        </w:rPr>
        <w:t>The current sources of finance for the IHG are short-term financing (the $1.35bn syndicated and bilateral revolving credit facility) and bonds (IHG, 2022). Short-term financing, such as the revolving credit facility and commercial paper, provides flexibility and cheaper nominal cost of funds, but poses refinancing and interest rate reset risks, which became obvious in 2020, when IHG had to renegotiate the terms of the bank facilities as their net debt/adjusted EBITDA exceeded the target multiple of 7.7x (IHG, 2022).</w:t>
      </w:r>
      <w:r w:rsidRPr="00570195">
        <w:rPr>
          <w:rFonts w:ascii="Times New Roman" w:hAnsi="Times New Roman" w:cs="Times New Roman"/>
        </w:rPr>
        <w:br/>
        <w:t>The long-term financing through bonds, which has been used frequently by IHG since 2020, with the firm raising $990 million in total in bonds in 2025 alone (IHG, 2026), provides certainty on financing costs and maturity structure and thus reduces risks associated with refinancing, albeit at relatively high coupon cost and low flexibility for de-leveraging fast in adverse market conditions. As observed by Siziba &amp; Hall (2021) in their review of the development of corporate capital budgeting and financing practices, mature and cash-generative businesses tend to use such a maturity structure.</w:t>
      </w:r>
    </w:p>
    <w:p w14:paraId="4E6E62F7" w14:textId="029FE09F" w:rsidR="001872DF" w:rsidRPr="00570195" w:rsidRDefault="001872DF" w:rsidP="00570195">
      <w:pPr>
        <w:spacing w:after="200" w:line="360" w:lineRule="auto"/>
        <w:jc w:val="both"/>
        <w:rPr>
          <w:rFonts w:ascii="Times New Roman" w:hAnsi="Times New Roman" w:cs="Times New Roman"/>
        </w:rPr>
      </w:pPr>
      <w:r w:rsidRPr="00570195">
        <w:rPr>
          <w:rFonts w:ascii="Times New Roman" w:hAnsi="Times New Roman" w:cs="Times New Roman"/>
        </w:rPr>
        <w:t>Taking into account IHG’s better interest coverage ratio in 2025 (5.9x) and given the cyclicality of hotel demand, the recommended strategy would be to keep maturing the profile of long-term debt by avoiding using short-dated revolving credit for its working capital requirements, while at the same time keeping the current revolving credit of $1.35 billion only as an emergency buffer. The rationale is that this is essentially what IHG did starting from 2021 when it issued a long-term bond worth $1,093 million to pay back its commercial paper, which was raised via the UK’s Covid Corporate Financing Facility (IHG, 2022).</w:t>
      </w:r>
    </w:p>
    <w:p w14:paraId="6DB54E39" w14:textId="77777777" w:rsidR="009C3288" w:rsidRPr="00570195" w:rsidRDefault="00000000" w:rsidP="00570195">
      <w:pPr>
        <w:pStyle w:val="Heading1"/>
        <w:spacing w:line="360" w:lineRule="auto"/>
        <w:jc w:val="both"/>
        <w:rPr>
          <w:rFonts w:ascii="Times New Roman" w:hAnsi="Times New Roman" w:cs="Times New Roman"/>
        </w:rPr>
      </w:pPr>
      <w:bookmarkStart w:id="14" w:name="_Toc233486384"/>
      <w:r w:rsidRPr="00570195">
        <w:rPr>
          <w:rFonts w:ascii="Times New Roman" w:hAnsi="Times New Roman" w:cs="Times New Roman"/>
        </w:rPr>
        <w:t>4. Strategic Financial Restructuring Plan</w:t>
      </w:r>
      <w:bookmarkEnd w:id="14"/>
    </w:p>
    <w:p w14:paraId="5F86DD50" w14:textId="77777777" w:rsidR="009C3288" w:rsidRPr="00570195" w:rsidRDefault="00000000" w:rsidP="00570195">
      <w:pPr>
        <w:pStyle w:val="Heading2"/>
        <w:spacing w:line="360" w:lineRule="auto"/>
        <w:jc w:val="both"/>
        <w:rPr>
          <w:rFonts w:ascii="Times New Roman" w:hAnsi="Times New Roman" w:cs="Times New Roman"/>
        </w:rPr>
      </w:pPr>
      <w:bookmarkStart w:id="15" w:name="_Toc233486385"/>
      <w:r w:rsidRPr="00570195">
        <w:rPr>
          <w:rFonts w:ascii="Times New Roman" w:hAnsi="Times New Roman" w:cs="Times New Roman"/>
        </w:rPr>
        <w:t>4.1 Rationale for Restructuring</w:t>
      </w:r>
      <w:bookmarkEnd w:id="15"/>
    </w:p>
    <w:p w14:paraId="57863A06" w14:textId="29EB7631" w:rsidR="001872DF" w:rsidRPr="00570195" w:rsidRDefault="001872DF" w:rsidP="00570195">
      <w:pPr>
        <w:spacing w:line="360" w:lineRule="auto"/>
        <w:jc w:val="both"/>
        <w:rPr>
          <w:rFonts w:ascii="Times New Roman" w:hAnsi="Times New Roman" w:cs="Times New Roman"/>
        </w:rPr>
      </w:pPr>
      <w:r w:rsidRPr="00570195">
        <w:rPr>
          <w:rFonts w:ascii="Times New Roman" w:hAnsi="Times New Roman" w:cs="Times New Roman"/>
        </w:rPr>
        <w:t>While IHG continues to maintain high levels of profitability and positive cash flow generation, there are three structural issues which require consideration by the Board: negative equity on the books, geographical focus of profits in Americas, where more often than not the entire profit from reportable segments came from, and investments in large and capital intensive projects such as resorts and luxury brands (for example, $120m spending on brand acquisition in 2025) which seem out of place for an otherwise asset light company (IHG, 2026). Thus, a targeted restructuring rather than balance sheet overhaul is suggested.</w:t>
      </w:r>
    </w:p>
    <w:p w14:paraId="186D2DF0" w14:textId="77777777" w:rsidR="009C3288" w:rsidRPr="00570195" w:rsidRDefault="00000000" w:rsidP="00570195">
      <w:pPr>
        <w:pStyle w:val="Heading2"/>
        <w:spacing w:line="360" w:lineRule="auto"/>
        <w:jc w:val="both"/>
        <w:rPr>
          <w:rFonts w:ascii="Times New Roman" w:hAnsi="Times New Roman" w:cs="Times New Roman"/>
        </w:rPr>
      </w:pPr>
      <w:bookmarkStart w:id="16" w:name="_Toc233486386"/>
      <w:r w:rsidRPr="00570195">
        <w:rPr>
          <w:rFonts w:ascii="Times New Roman" w:hAnsi="Times New Roman" w:cs="Times New Roman"/>
        </w:rPr>
        <w:t>4.2 Recommended Restructuring Options</w:t>
      </w:r>
      <w:bookmarkEnd w:id="16"/>
    </w:p>
    <w:p w14:paraId="22030538" w14:textId="415E0580" w:rsidR="001872DF" w:rsidRPr="00570195" w:rsidRDefault="001872DF" w:rsidP="00570195">
      <w:pPr>
        <w:spacing w:line="360" w:lineRule="auto"/>
        <w:jc w:val="both"/>
        <w:rPr>
          <w:rFonts w:ascii="Times New Roman" w:hAnsi="Times New Roman" w:cs="Times New Roman"/>
        </w:rPr>
      </w:pPr>
      <w:r w:rsidRPr="00570195">
        <w:rPr>
          <w:rFonts w:ascii="Times New Roman" w:hAnsi="Times New Roman" w:cs="Times New Roman"/>
        </w:rPr>
        <w:t>Focused divestment of residual owned or leased hotel properties. The portfolio of owned, leased and managed-lease properties of IHG had been reduced from more than 180 properties twenty years ago to just 16 hotels by 2022 (IHG, 2023) due to the company’s gradual strategic focus on the franchise/management model. Continuing this trend – selling off the residual portfolio of owned or leased properties, many of which create low margins compared to fee business (IHG, 2023) – would lower capital requirements and free up funds for investment in high margin fee generating operations in line with the asset-light, fee-centric approach considered value enhancing for hotel companies according to academic literature (Li and Singal, 2019; Poretti and Heo, 2022).</w:t>
      </w:r>
    </w:p>
    <w:p w14:paraId="5AC5912B" w14:textId="4F05CC13" w:rsidR="001872DF" w:rsidRPr="00570195" w:rsidRDefault="001872DF" w:rsidP="00570195">
      <w:pPr>
        <w:spacing w:line="360" w:lineRule="auto"/>
        <w:jc w:val="both"/>
        <w:rPr>
          <w:rFonts w:ascii="Times New Roman" w:hAnsi="Times New Roman" w:cs="Times New Roman"/>
        </w:rPr>
      </w:pPr>
      <w:r w:rsidRPr="00570195">
        <w:rPr>
          <w:rFonts w:ascii="Times New Roman" w:hAnsi="Times New Roman" w:cs="Times New Roman"/>
        </w:rPr>
        <w:t xml:space="preserve">Equity infusion selectively is not advised in this case for now. Considering the high interest coverage ratio (5.9x) and the positive cash flow from operations throughout, adding fresh equity would dilute the current shareholders’ share without solving any problem since there is no solvency problem but rather the negative book-equity is an inherent part of the model and has shown sustainability based on the analyzed data. </w:t>
      </w:r>
    </w:p>
    <w:p w14:paraId="078C5B49" w14:textId="2002D6D3" w:rsidR="001872DF" w:rsidRPr="00570195" w:rsidRDefault="001872DF" w:rsidP="00570195">
      <w:pPr>
        <w:spacing w:line="360" w:lineRule="auto"/>
        <w:jc w:val="both"/>
        <w:rPr>
          <w:rFonts w:ascii="Times New Roman" w:hAnsi="Times New Roman" w:cs="Times New Roman"/>
        </w:rPr>
      </w:pPr>
      <w:r w:rsidRPr="00570195">
        <w:rPr>
          <w:rFonts w:ascii="Times New Roman" w:hAnsi="Times New Roman" w:cs="Times New Roman"/>
        </w:rPr>
        <w:t xml:space="preserve">However, brand acquisitions should keep going but within the confines of being ring-fenced and </w:t>
      </w:r>
      <w:r w:rsidR="00570195" w:rsidRPr="00570195">
        <w:rPr>
          <w:rFonts w:ascii="Times New Roman" w:hAnsi="Times New Roman" w:cs="Times New Roman"/>
        </w:rPr>
        <w:t>capital disciplined</w:t>
      </w:r>
      <w:r w:rsidRPr="00570195">
        <w:rPr>
          <w:rFonts w:ascii="Times New Roman" w:hAnsi="Times New Roman" w:cs="Times New Roman"/>
        </w:rPr>
        <w:t>. The acquisition in 2025 of brand intellectual property worth $120m and the long-term commercial agreement between Iberostar Beachfront Resorts and IHG in 2022 show a workable alternative route to M&amp;A which doesn't require as much investment upfront: whereas traditional M&amp;A involves buying up hotels or competitors, IHG could grow its system and expand its brand portfolio via commercial and franchise agreements without spending as much money. This approach should keep being the main restructuring tool of choice by the Group, in light of the results of previous hotel-sector M&amp;A.</w:t>
      </w:r>
    </w:p>
    <w:p w14:paraId="504B8A7E" w14:textId="77777777" w:rsidR="009C3288" w:rsidRPr="00570195" w:rsidRDefault="00000000" w:rsidP="00570195">
      <w:pPr>
        <w:pStyle w:val="Heading2"/>
        <w:spacing w:line="360" w:lineRule="auto"/>
        <w:jc w:val="both"/>
        <w:rPr>
          <w:rFonts w:ascii="Times New Roman" w:hAnsi="Times New Roman" w:cs="Times New Roman"/>
        </w:rPr>
      </w:pPr>
      <w:bookmarkStart w:id="17" w:name="_Toc233486387"/>
      <w:r w:rsidRPr="00570195">
        <w:rPr>
          <w:rFonts w:ascii="Times New Roman" w:hAnsi="Times New Roman" w:cs="Times New Roman"/>
        </w:rPr>
        <w:t>4.3 Impact on Shareholder Value, Debt Structure and Operational Flexibility</w:t>
      </w:r>
      <w:bookmarkEnd w:id="17"/>
    </w:p>
    <w:p w14:paraId="6A354CA7" w14:textId="16DF5B77" w:rsidR="001872DF" w:rsidRPr="00570195" w:rsidRDefault="001872DF" w:rsidP="00570195">
      <w:pPr>
        <w:spacing w:line="360" w:lineRule="auto"/>
        <w:jc w:val="both"/>
        <w:rPr>
          <w:rFonts w:ascii="Times New Roman" w:hAnsi="Times New Roman" w:cs="Times New Roman"/>
        </w:rPr>
      </w:pPr>
      <w:r w:rsidRPr="00570195">
        <w:rPr>
          <w:rFonts w:ascii="Times New Roman" w:hAnsi="Times New Roman" w:cs="Times New Roman"/>
        </w:rPr>
        <w:t xml:space="preserve">Following on with the course of divestment and franchise expansion will help create value for the shareholders mainly via continuous share repurchases (totaling $897m in 2025 alone) and dividends growing at 10% y/y in 2024 and 2025, from fees-based cash flow as opposed to proceeds from asset sales (IHG, 2026). </w:t>
      </w:r>
    </w:p>
    <w:p w14:paraId="04DAB403" w14:textId="3B1DE782" w:rsidR="001872DF" w:rsidRPr="00570195" w:rsidRDefault="001872DF" w:rsidP="00570195">
      <w:pPr>
        <w:spacing w:line="360" w:lineRule="auto"/>
        <w:jc w:val="both"/>
        <w:rPr>
          <w:rFonts w:ascii="Times New Roman" w:hAnsi="Times New Roman" w:cs="Times New Roman"/>
        </w:rPr>
      </w:pPr>
      <w:r w:rsidRPr="00570195">
        <w:rPr>
          <w:rFonts w:ascii="Times New Roman" w:hAnsi="Times New Roman" w:cs="Times New Roman"/>
        </w:rPr>
        <w:t>In relation to the debt structure, the completion of the divestiture program will lead to a small reduction in gross debt requirements due to the need for capital investment in owned hotels becoming smaller, as well as in risk concentration in the balance sheet, with improved flexibility resulting from focusing all efforts on high-margin franchises and management agreements which scale up at a significantly reduced capital investment per hotel.</w:t>
      </w:r>
    </w:p>
    <w:p w14:paraId="016E0D6D" w14:textId="77777777" w:rsidR="009C3288" w:rsidRPr="00570195" w:rsidRDefault="00000000" w:rsidP="00570195">
      <w:pPr>
        <w:pStyle w:val="Heading2"/>
        <w:spacing w:line="360" w:lineRule="auto"/>
        <w:jc w:val="both"/>
        <w:rPr>
          <w:rFonts w:ascii="Times New Roman" w:hAnsi="Times New Roman" w:cs="Times New Roman"/>
        </w:rPr>
      </w:pPr>
      <w:bookmarkStart w:id="18" w:name="_Toc233486388"/>
      <w:r w:rsidRPr="00570195">
        <w:rPr>
          <w:rFonts w:ascii="Times New Roman" w:hAnsi="Times New Roman" w:cs="Times New Roman"/>
        </w:rPr>
        <w:t>4.4 International and Ethical Considerations</w:t>
      </w:r>
      <w:bookmarkEnd w:id="18"/>
    </w:p>
    <w:p w14:paraId="5C303841" w14:textId="7549DA60" w:rsidR="001872DF" w:rsidRPr="00570195" w:rsidRDefault="001872DF" w:rsidP="00570195">
      <w:pPr>
        <w:spacing w:line="360" w:lineRule="auto"/>
        <w:jc w:val="both"/>
        <w:rPr>
          <w:rFonts w:ascii="Times New Roman" w:hAnsi="Times New Roman" w:cs="Times New Roman"/>
        </w:rPr>
      </w:pPr>
      <w:r w:rsidRPr="00570195">
        <w:rPr>
          <w:rFonts w:ascii="Times New Roman" w:hAnsi="Times New Roman" w:cs="Times New Roman"/>
        </w:rPr>
        <w:t>Taxation. Being a UK incorporated company and having an international presence, IHG is subject to changing international taxation systems, one of which is the OECD global minimum tax (Pillar Two) rules, which elevate the effective tax rate floor of multinational companies. The tax charge of IHG has increased roughly at the same pace with the growth of its profits, from $96 million in 2021 to $315 million in 2025, and the Board needs to keep monitoring the risk of Pillar Two as a potential restructuring risk.</w:t>
      </w:r>
    </w:p>
    <w:p w14:paraId="40CB6B27" w14:textId="77777777" w:rsidR="001872DF" w:rsidRPr="00570195" w:rsidRDefault="001872DF" w:rsidP="00570195">
      <w:pPr>
        <w:spacing w:line="360" w:lineRule="auto"/>
        <w:jc w:val="both"/>
        <w:rPr>
          <w:rFonts w:ascii="Times New Roman" w:hAnsi="Times New Roman" w:cs="Times New Roman"/>
        </w:rPr>
      </w:pPr>
    </w:p>
    <w:p w14:paraId="1A27C955" w14:textId="78484D9B" w:rsidR="001872DF" w:rsidRPr="00570195" w:rsidRDefault="001872DF" w:rsidP="00570195">
      <w:pPr>
        <w:spacing w:line="360" w:lineRule="auto"/>
        <w:jc w:val="both"/>
        <w:rPr>
          <w:rFonts w:ascii="Times New Roman" w:hAnsi="Times New Roman" w:cs="Times New Roman"/>
        </w:rPr>
      </w:pPr>
      <w:r w:rsidRPr="00570195">
        <w:rPr>
          <w:rFonts w:ascii="Times New Roman" w:hAnsi="Times New Roman" w:cs="Times New Roman"/>
        </w:rPr>
        <w:t>Foreign currency risk. IHG’s reporting currency is US dollar; however, its income is generated through several foreign currencies including sterling and euro. There exists a body of academic work concerning the currency risk faced by lodging companies, which indicates that a larger foreign sales share increases the foreign currency risk of an internationalised hotel chain, however, operational hedging and a high level of franchise operations – two characteristics of the IHG’s business model – lower this risk as compared to the owners/operators model.</w:t>
      </w:r>
    </w:p>
    <w:p w14:paraId="5F845814" w14:textId="77777777" w:rsidR="001872DF" w:rsidRPr="00570195" w:rsidRDefault="001872DF" w:rsidP="00570195">
      <w:pPr>
        <w:spacing w:line="360" w:lineRule="auto"/>
        <w:jc w:val="both"/>
        <w:rPr>
          <w:rFonts w:ascii="Times New Roman" w:hAnsi="Times New Roman" w:cs="Times New Roman"/>
        </w:rPr>
      </w:pPr>
    </w:p>
    <w:p w14:paraId="2A593766" w14:textId="55FFEB22" w:rsidR="001872DF" w:rsidRPr="00570195" w:rsidRDefault="001872DF" w:rsidP="00570195">
      <w:pPr>
        <w:spacing w:line="360" w:lineRule="auto"/>
        <w:jc w:val="both"/>
        <w:rPr>
          <w:rFonts w:ascii="Times New Roman" w:hAnsi="Times New Roman" w:cs="Times New Roman"/>
        </w:rPr>
      </w:pPr>
      <w:r w:rsidRPr="00570195">
        <w:rPr>
          <w:rFonts w:ascii="Times New Roman" w:hAnsi="Times New Roman" w:cs="Times New Roman"/>
        </w:rPr>
        <w:t>Inflation. Continuous inflationary pressures in labor costs and construction have frequently been highlighted in IHG's own strategic statements (IHG, 2023), while the restructuring proposed is an effective hedge against such pressure since it involves increased reliance on fees, which rise automatically due to inflation of hotel room charges.</w:t>
      </w:r>
    </w:p>
    <w:p w14:paraId="48AB661D" w14:textId="77777777" w:rsidR="001872DF" w:rsidRPr="00570195" w:rsidRDefault="001872DF" w:rsidP="00570195">
      <w:pPr>
        <w:spacing w:line="360" w:lineRule="auto"/>
        <w:jc w:val="both"/>
        <w:rPr>
          <w:rFonts w:ascii="Times New Roman" w:hAnsi="Times New Roman" w:cs="Times New Roman"/>
        </w:rPr>
      </w:pPr>
    </w:p>
    <w:p w14:paraId="40AE972E" w14:textId="40D47ED0" w:rsidR="001872DF" w:rsidRPr="00570195" w:rsidRDefault="001872DF" w:rsidP="00570195">
      <w:pPr>
        <w:spacing w:line="360" w:lineRule="auto"/>
        <w:jc w:val="both"/>
        <w:rPr>
          <w:rFonts w:ascii="Times New Roman" w:hAnsi="Times New Roman" w:cs="Times New Roman"/>
        </w:rPr>
      </w:pPr>
      <w:r w:rsidRPr="00570195">
        <w:rPr>
          <w:rFonts w:ascii="Times New Roman" w:hAnsi="Times New Roman" w:cs="Times New Roman"/>
        </w:rPr>
        <w:t>CSR / ESG factors. The 2030 'Journey to Tomorrow' responsible business strategy and carbon reduction goals, which include a 3.4% reduction in absolute terms from a base year of 2019 reached by 2022, must continue to be an integral part of the restructuring plan, rather than something outside it. Lu et al. (2025) find, in their study of the correlation between ESG scores and firm financial performance for the hospitality industries in 16 countries from 2005 to 2022, that there is a positive relationship between ESG performance and firm financial performance within the industry, while CBRE (2023) observes that hotel owners and managers are facing growing pressure both from regulators and the capital markets to show that they have credible decarbonisation strategies.</w:t>
      </w:r>
    </w:p>
    <w:p w14:paraId="19081520" w14:textId="77777777" w:rsidR="009C3288" w:rsidRPr="00570195" w:rsidRDefault="00000000" w:rsidP="00570195">
      <w:pPr>
        <w:pStyle w:val="Heading1"/>
        <w:spacing w:line="360" w:lineRule="auto"/>
        <w:jc w:val="both"/>
        <w:rPr>
          <w:rFonts w:ascii="Times New Roman" w:hAnsi="Times New Roman" w:cs="Times New Roman"/>
        </w:rPr>
      </w:pPr>
      <w:bookmarkStart w:id="19" w:name="_Toc233486389"/>
      <w:r w:rsidRPr="00570195">
        <w:rPr>
          <w:rFonts w:ascii="Times New Roman" w:hAnsi="Times New Roman" w:cs="Times New Roman"/>
        </w:rPr>
        <w:t>5. Investment Appraisal and Capital Budgeting</w:t>
      </w:r>
      <w:bookmarkEnd w:id="19"/>
    </w:p>
    <w:p w14:paraId="661F305C" w14:textId="77777777" w:rsidR="009C3288" w:rsidRPr="00570195" w:rsidRDefault="00000000" w:rsidP="00570195">
      <w:pPr>
        <w:pStyle w:val="Heading2"/>
        <w:spacing w:line="360" w:lineRule="auto"/>
        <w:jc w:val="both"/>
        <w:rPr>
          <w:rFonts w:ascii="Times New Roman" w:hAnsi="Times New Roman" w:cs="Times New Roman"/>
        </w:rPr>
      </w:pPr>
      <w:bookmarkStart w:id="20" w:name="_Toc233486390"/>
      <w:r w:rsidRPr="00570195">
        <w:rPr>
          <w:rFonts w:ascii="Times New Roman" w:hAnsi="Times New Roman" w:cs="Times New Roman"/>
        </w:rPr>
        <w:t>5.1 Methodology</w:t>
      </w:r>
      <w:bookmarkEnd w:id="20"/>
    </w:p>
    <w:p w14:paraId="654B8005" w14:textId="73EF6E87" w:rsidR="001872DF" w:rsidRPr="00570195" w:rsidRDefault="001872DF" w:rsidP="00570195">
      <w:pPr>
        <w:spacing w:line="360" w:lineRule="auto"/>
        <w:jc w:val="both"/>
        <w:rPr>
          <w:rFonts w:ascii="Times New Roman" w:hAnsi="Times New Roman" w:cs="Times New Roman"/>
        </w:rPr>
      </w:pPr>
      <w:r w:rsidRPr="00570195">
        <w:rPr>
          <w:rFonts w:ascii="Times New Roman" w:hAnsi="Times New Roman" w:cs="Times New Roman"/>
        </w:rPr>
        <w:t>Three mutually exclusive investment projects have been suggested by the board, which would need an initial outlay of £50m each. The details regarding their cash flow pattern can be found in Table 2. They are evaluated on the basis of an 8% interest rate through five methods, such as Payback Period (PBP), Average Rate of Return (ARR), Net Present Value (NPV), Profitability Index (PI), and Internal Rate of Return (IRR).</w:t>
      </w:r>
    </w:p>
    <w:p w14:paraId="6E0DB58F" w14:textId="77777777" w:rsidR="009C3288" w:rsidRPr="00570195" w:rsidRDefault="00000000" w:rsidP="00570195">
      <w:pPr>
        <w:spacing w:before="80" w:after="240" w:line="360" w:lineRule="auto"/>
        <w:jc w:val="both"/>
        <w:rPr>
          <w:rFonts w:ascii="Times New Roman" w:hAnsi="Times New Roman" w:cs="Times New Roman"/>
        </w:rPr>
      </w:pPr>
      <w:r w:rsidRPr="00570195">
        <w:rPr>
          <w:rFonts w:ascii="Times New Roman" w:hAnsi="Times New Roman" w:cs="Times New Roman"/>
          <w:i/>
          <w:iCs/>
          <w:sz w:val="20"/>
          <w:szCs w:val="20"/>
        </w:rPr>
        <w:t>Table 2. Project cash flow profiles (£m). Source: Assessment brief.</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60"/>
        <w:gridCol w:w="1250"/>
        <w:gridCol w:w="1250"/>
        <w:gridCol w:w="1250"/>
        <w:gridCol w:w="1250"/>
        <w:gridCol w:w="1250"/>
        <w:gridCol w:w="1250"/>
      </w:tblGrid>
      <w:tr w:rsidR="009C3288" w:rsidRPr="00570195" w14:paraId="25EB55FD" w14:textId="77777777">
        <w:tc>
          <w:tcPr>
            <w:tcW w:w="186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1EFB281C" w14:textId="77777777" w:rsidR="009C3288" w:rsidRPr="00570195" w:rsidRDefault="009C3288" w:rsidP="00570195">
            <w:pPr>
              <w:spacing w:line="360" w:lineRule="auto"/>
              <w:jc w:val="both"/>
              <w:rPr>
                <w:rFonts w:ascii="Times New Roman" w:hAnsi="Times New Roman" w:cs="Times New Roman"/>
              </w:rPr>
            </w:pPr>
          </w:p>
        </w:tc>
        <w:tc>
          <w:tcPr>
            <w:tcW w:w="125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243E8913"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Year 0</w:t>
            </w:r>
          </w:p>
        </w:tc>
        <w:tc>
          <w:tcPr>
            <w:tcW w:w="125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0E1D5BA6"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Year 1</w:t>
            </w:r>
          </w:p>
        </w:tc>
        <w:tc>
          <w:tcPr>
            <w:tcW w:w="125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17519632"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Year 2</w:t>
            </w:r>
          </w:p>
        </w:tc>
        <w:tc>
          <w:tcPr>
            <w:tcW w:w="125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2FFBBA0E"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Year 3</w:t>
            </w:r>
          </w:p>
        </w:tc>
        <w:tc>
          <w:tcPr>
            <w:tcW w:w="125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671D8646"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Year 4</w:t>
            </w:r>
          </w:p>
        </w:tc>
        <w:tc>
          <w:tcPr>
            <w:tcW w:w="125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72B50770"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Year 5</w:t>
            </w:r>
          </w:p>
        </w:tc>
      </w:tr>
      <w:tr w:rsidR="009C3288" w:rsidRPr="00570195" w14:paraId="17F08D73" w14:textId="77777777">
        <w:tc>
          <w:tcPr>
            <w:tcW w:w="186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504E9FF4"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Project A</w:t>
            </w:r>
          </w:p>
        </w:tc>
        <w:tc>
          <w:tcPr>
            <w:tcW w:w="125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35B33B2"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(50)</w:t>
            </w:r>
          </w:p>
        </w:tc>
        <w:tc>
          <w:tcPr>
            <w:tcW w:w="125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0CDB2EA0"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10</w:t>
            </w:r>
          </w:p>
        </w:tc>
        <w:tc>
          <w:tcPr>
            <w:tcW w:w="125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4F986673"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12</w:t>
            </w:r>
          </w:p>
        </w:tc>
        <w:tc>
          <w:tcPr>
            <w:tcW w:w="125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249F17B4"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14</w:t>
            </w:r>
          </w:p>
        </w:tc>
        <w:tc>
          <w:tcPr>
            <w:tcW w:w="125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065D2AA3"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10</w:t>
            </w:r>
          </w:p>
        </w:tc>
        <w:tc>
          <w:tcPr>
            <w:tcW w:w="125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3F396550"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8</w:t>
            </w:r>
          </w:p>
        </w:tc>
      </w:tr>
      <w:tr w:rsidR="009C3288" w:rsidRPr="00570195" w14:paraId="2BA7AF65" w14:textId="77777777">
        <w:tc>
          <w:tcPr>
            <w:tcW w:w="186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026F3106"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Project B</w:t>
            </w:r>
          </w:p>
        </w:tc>
        <w:tc>
          <w:tcPr>
            <w:tcW w:w="125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EB86827"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(50)</w:t>
            </w:r>
          </w:p>
        </w:tc>
        <w:tc>
          <w:tcPr>
            <w:tcW w:w="125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03808A1F"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11</w:t>
            </w:r>
          </w:p>
        </w:tc>
        <w:tc>
          <w:tcPr>
            <w:tcW w:w="125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53F8BAB"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11</w:t>
            </w:r>
          </w:p>
        </w:tc>
        <w:tc>
          <w:tcPr>
            <w:tcW w:w="125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21DE191B"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11</w:t>
            </w:r>
          </w:p>
        </w:tc>
        <w:tc>
          <w:tcPr>
            <w:tcW w:w="125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6075EF8E"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11</w:t>
            </w:r>
          </w:p>
        </w:tc>
        <w:tc>
          <w:tcPr>
            <w:tcW w:w="125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2774171E"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11</w:t>
            </w:r>
          </w:p>
        </w:tc>
      </w:tr>
      <w:tr w:rsidR="009C3288" w:rsidRPr="00570195" w14:paraId="401F8637" w14:textId="77777777">
        <w:tc>
          <w:tcPr>
            <w:tcW w:w="186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5B0072D5"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Project C</w:t>
            </w:r>
          </w:p>
        </w:tc>
        <w:tc>
          <w:tcPr>
            <w:tcW w:w="125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3B42379C"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(50)</w:t>
            </w:r>
          </w:p>
        </w:tc>
        <w:tc>
          <w:tcPr>
            <w:tcW w:w="125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65C3A87"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5</w:t>
            </w:r>
          </w:p>
        </w:tc>
        <w:tc>
          <w:tcPr>
            <w:tcW w:w="125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4B3E4B99"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10</w:t>
            </w:r>
          </w:p>
        </w:tc>
        <w:tc>
          <w:tcPr>
            <w:tcW w:w="125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2FE6FE7B"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20</w:t>
            </w:r>
          </w:p>
        </w:tc>
        <w:tc>
          <w:tcPr>
            <w:tcW w:w="125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4BBD7C9D"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25</w:t>
            </w:r>
          </w:p>
        </w:tc>
        <w:tc>
          <w:tcPr>
            <w:tcW w:w="125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3F627B43"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5</w:t>
            </w:r>
          </w:p>
        </w:tc>
      </w:tr>
    </w:tbl>
    <w:p w14:paraId="146CD3C2" w14:textId="77777777" w:rsidR="009C3288" w:rsidRPr="00570195" w:rsidRDefault="009C3288" w:rsidP="00570195">
      <w:pPr>
        <w:spacing w:after="100" w:line="360" w:lineRule="auto"/>
        <w:jc w:val="both"/>
        <w:rPr>
          <w:rFonts w:ascii="Times New Roman" w:hAnsi="Times New Roman" w:cs="Times New Roman"/>
        </w:rPr>
      </w:pPr>
    </w:p>
    <w:p w14:paraId="2E0482E8" w14:textId="77777777" w:rsidR="009C3288" w:rsidRPr="00570195" w:rsidRDefault="00000000" w:rsidP="00570195">
      <w:pPr>
        <w:pStyle w:val="Heading2"/>
        <w:spacing w:line="360" w:lineRule="auto"/>
        <w:jc w:val="both"/>
        <w:rPr>
          <w:rFonts w:ascii="Times New Roman" w:hAnsi="Times New Roman" w:cs="Times New Roman"/>
        </w:rPr>
      </w:pPr>
      <w:bookmarkStart w:id="21" w:name="_Toc233486391"/>
      <w:r w:rsidRPr="00570195">
        <w:rPr>
          <w:rFonts w:ascii="Times New Roman" w:hAnsi="Times New Roman" w:cs="Times New Roman"/>
        </w:rPr>
        <w:t>5.2 Results</w:t>
      </w:r>
      <w:bookmarkEnd w:id="21"/>
    </w:p>
    <w:p w14:paraId="7E1ED86B" w14:textId="77777777" w:rsidR="009C3288" w:rsidRPr="00570195" w:rsidRDefault="00000000" w:rsidP="00570195">
      <w:pPr>
        <w:spacing w:before="80" w:after="240" w:line="360" w:lineRule="auto"/>
        <w:jc w:val="both"/>
        <w:rPr>
          <w:rFonts w:ascii="Times New Roman" w:hAnsi="Times New Roman" w:cs="Times New Roman"/>
        </w:rPr>
      </w:pPr>
      <w:r w:rsidRPr="00570195">
        <w:rPr>
          <w:rFonts w:ascii="Times New Roman" w:hAnsi="Times New Roman" w:cs="Times New Roman"/>
          <w:i/>
          <w:iCs/>
          <w:sz w:val="20"/>
          <w:szCs w:val="20"/>
        </w:rPr>
        <w:t>Table 3. Summary of investment appraisal results. Source: Author's calculations (see Appendix B and accompanying Excel workbook).</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60"/>
        <w:gridCol w:w="2170"/>
        <w:gridCol w:w="2170"/>
        <w:gridCol w:w="2160"/>
      </w:tblGrid>
      <w:tr w:rsidR="009C3288" w:rsidRPr="00570195" w14:paraId="350C60E8" w14:textId="77777777">
        <w:tc>
          <w:tcPr>
            <w:tcW w:w="286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00616E6C"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Metric</w:t>
            </w:r>
          </w:p>
        </w:tc>
        <w:tc>
          <w:tcPr>
            <w:tcW w:w="217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34D5C7ED"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Project A</w:t>
            </w:r>
          </w:p>
        </w:tc>
        <w:tc>
          <w:tcPr>
            <w:tcW w:w="217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0863ACC3"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Project B</w:t>
            </w:r>
          </w:p>
        </w:tc>
        <w:tc>
          <w:tcPr>
            <w:tcW w:w="216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72E778A6"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Project C</w:t>
            </w:r>
          </w:p>
        </w:tc>
      </w:tr>
      <w:tr w:rsidR="009C3288" w:rsidRPr="00570195" w14:paraId="76F189C5" w14:textId="77777777">
        <w:tc>
          <w:tcPr>
            <w:tcW w:w="286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36EE6DA3"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Payback Period</w:t>
            </w:r>
          </w:p>
        </w:tc>
        <w:tc>
          <w:tcPr>
            <w:tcW w:w="217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3F0D962"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4.50 years</w:t>
            </w:r>
          </w:p>
        </w:tc>
        <w:tc>
          <w:tcPr>
            <w:tcW w:w="217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9D07644"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4.55 years</w:t>
            </w:r>
          </w:p>
        </w:tc>
        <w:tc>
          <w:tcPr>
            <w:tcW w:w="216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4D55FDAC"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3.60 years</w:t>
            </w:r>
          </w:p>
        </w:tc>
      </w:tr>
      <w:tr w:rsidR="009C3288" w:rsidRPr="00570195" w14:paraId="77A09C48" w14:textId="77777777">
        <w:tc>
          <w:tcPr>
            <w:tcW w:w="286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2B3F460D"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ARR</w:t>
            </w:r>
          </w:p>
        </w:tc>
        <w:tc>
          <w:tcPr>
            <w:tcW w:w="217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356F2163"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3.2%</w:t>
            </w:r>
          </w:p>
        </w:tc>
        <w:tc>
          <w:tcPr>
            <w:tcW w:w="217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0360A371"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4.0%</w:t>
            </w:r>
          </w:p>
        </w:tc>
        <w:tc>
          <w:tcPr>
            <w:tcW w:w="216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2D6ADCAD"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12.0%</w:t>
            </w:r>
          </w:p>
        </w:tc>
      </w:tr>
      <w:tr w:rsidR="009C3288" w:rsidRPr="00570195" w14:paraId="37D6CD1F" w14:textId="77777777">
        <w:tc>
          <w:tcPr>
            <w:tcW w:w="286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67986247"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NPV (8%)</w:t>
            </w:r>
          </w:p>
        </w:tc>
        <w:tc>
          <w:tcPr>
            <w:tcW w:w="217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5BFF1BD4"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£(6.54)m</w:t>
            </w:r>
          </w:p>
        </w:tc>
        <w:tc>
          <w:tcPr>
            <w:tcW w:w="217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64DB6C47"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£(6.08)m</w:t>
            </w:r>
          </w:p>
        </w:tc>
        <w:tc>
          <w:tcPr>
            <w:tcW w:w="216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50D5DEF2"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£0.86m</w:t>
            </w:r>
          </w:p>
        </w:tc>
      </w:tr>
      <w:tr w:rsidR="009C3288" w:rsidRPr="00570195" w14:paraId="2F0D95FD" w14:textId="77777777">
        <w:tc>
          <w:tcPr>
            <w:tcW w:w="286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4687E49F"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Profitability Index</w:t>
            </w:r>
          </w:p>
        </w:tc>
        <w:tc>
          <w:tcPr>
            <w:tcW w:w="217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665A70BD"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0.87x</w:t>
            </w:r>
          </w:p>
        </w:tc>
        <w:tc>
          <w:tcPr>
            <w:tcW w:w="217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36A3FFB7"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0.88x</w:t>
            </w:r>
          </w:p>
        </w:tc>
        <w:tc>
          <w:tcPr>
            <w:tcW w:w="216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4C95EF63"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1.02x</w:t>
            </w:r>
          </w:p>
        </w:tc>
      </w:tr>
      <w:tr w:rsidR="009C3288" w:rsidRPr="00570195" w14:paraId="75343DC3" w14:textId="77777777">
        <w:tc>
          <w:tcPr>
            <w:tcW w:w="286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373FC967"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IRR</w:t>
            </w:r>
          </w:p>
        </w:tc>
        <w:tc>
          <w:tcPr>
            <w:tcW w:w="217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251E3AA1"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2.7%</w:t>
            </w:r>
          </w:p>
        </w:tc>
        <w:tc>
          <w:tcPr>
            <w:tcW w:w="217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13BBED89"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3.3%</w:t>
            </w:r>
          </w:p>
        </w:tc>
        <w:tc>
          <w:tcPr>
            <w:tcW w:w="216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2B945958"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8.6%</w:t>
            </w:r>
          </w:p>
        </w:tc>
      </w:tr>
    </w:tbl>
    <w:p w14:paraId="15CC96FC" w14:textId="77777777" w:rsidR="00570195" w:rsidRPr="00570195" w:rsidRDefault="00570195" w:rsidP="00570195">
      <w:pPr>
        <w:spacing w:after="200" w:line="360" w:lineRule="auto"/>
        <w:jc w:val="both"/>
        <w:rPr>
          <w:rFonts w:ascii="Times New Roman" w:hAnsi="Times New Roman" w:cs="Times New Roman"/>
        </w:rPr>
      </w:pPr>
      <w:r w:rsidRPr="00570195">
        <w:rPr>
          <w:rFonts w:ascii="Times New Roman" w:hAnsi="Times New Roman" w:cs="Times New Roman"/>
        </w:rPr>
        <w:t>This finding is consistent no matter what method we use: Project C is the only project that adds value to IHG using an 8% discount rate. In particular, while Projects A and B create NPV and IRR of -£(6.54)m and 2.7%, as well as -£(6.08)m and 3.3% correspondingly, and hence do not add any value to the firm even though both projects create positive accounting cash flows during the 5 years, Project C has a marginal positive NPV of £0.86m, PI slightly higher than 1.0x, and IRR of 8.6%.</w:t>
      </w:r>
    </w:p>
    <w:p w14:paraId="44395BE7" w14:textId="764E0F30" w:rsidR="00570195" w:rsidRPr="00570195" w:rsidRDefault="00570195" w:rsidP="00570195">
      <w:pPr>
        <w:spacing w:after="200" w:line="360" w:lineRule="auto"/>
        <w:jc w:val="both"/>
        <w:rPr>
          <w:rFonts w:ascii="Times New Roman" w:hAnsi="Times New Roman" w:cs="Times New Roman"/>
        </w:rPr>
      </w:pPr>
      <w:r w:rsidRPr="00570195">
        <w:rPr>
          <w:rFonts w:ascii="Times New Roman" w:hAnsi="Times New Roman" w:cs="Times New Roman"/>
        </w:rPr>
        <w:t>This outcome reflects an established fact from the capital budgeting literature: when there is a high degree of front-end loading (Project A) or equal distribution of cash flows (Project B), the effect of the time value of money discounted at 8% will eat away a greater proportion of total nominal cash flows compared to the case where the larger portion of cash flows comes a bit late but in absolute terms is higher (Project C; where £45m of the total £65m nominal cash flow comes in years 3 and 4). Sureka et al. (2022) in their systematic review of fifty years of capital budgeting literature observe that it is the exact reason why NPV and IRR are better than PBP and ARR which do not consider the time value of money.</w:t>
      </w:r>
      <w:r w:rsidRPr="00570195">
        <w:rPr>
          <w:rFonts w:ascii="Times New Roman" w:hAnsi="Times New Roman" w:cs="Times New Roman"/>
        </w:rPr>
        <w:br/>
        <w:t>In fact, had payback period rankings been used, project C would have been ranked first anyway (it has the shortest payback period of all, at 3.60 years), but for the wrong reasons as far as value creation is concerned – payback period does not account for cash flows occurring beyond the payback period and does not employ any discounting, which makes it impossible to use PBP alone to tell the difference between value creating and value destroying investments.</w:t>
      </w:r>
    </w:p>
    <w:p w14:paraId="0D9336FF" w14:textId="77777777" w:rsidR="009C3288" w:rsidRPr="00570195" w:rsidRDefault="00000000" w:rsidP="00570195">
      <w:pPr>
        <w:pStyle w:val="Heading2"/>
        <w:spacing w:line="360" w:lineRule="auto"/>
        <w:jc w:val="both"/>
        <w:rPr>
          <w:rFonts w:ascii="Times New Roman" w:hAnsi="Times New Roman" w:cs="Times New Roman"/>
        </w:rPr>
      </w:pPr>
      <w:bookmarkStart w:id="22" w:name="_Toc233486392"/>
      <w:r w:rsidRPr="00570195">
        <w:rPr>
          <w:rFonts w:ascii="Times New Roman" w:hAnsi="Times New Roman" w:cs="Times New Roman"/>
        </w:rPr>
        <w:t>5.3 Recommendation: Single Project Selection</w:t>
      </w:r>
      <w:bookmarkEnd w:id="22"/>
    </w:p>
    <w:p w14:paraId="35BA3E28" w14:textId="0166BEBB" w:rsidR="00570195" w:rsidRPr="00570195" w:rsidRDefault="00570195" w:rsidP="00570195">
      <w:pPr>
        <w:spacing w:line="360" w:lineRule="auto"/>
        <w:jc w:val="both"/>
        <w:rPr>
          <w:rFonts w:ascii="Times New Roman" w:hAnsi="Times New Roman" w:cs="Times New Roman"/>
        </w:rPr>
      </w:pPr>
      <w:r w:rsidRPr="00570195">
        <w:rPr>
          <w:rFonts w:ascii="Times New Roman" w:hAnsi="Times New Roman" w:cs="Times New Roman"/>
        </w:rPr>
        <w:t xml:space="preserve">Recommendation for project C from a finance perspective is justified as this is the only project where the net present value is positive and the internal rate of return is higher than the cost of capital for IHG, at 8%, along with the least payback period and the highest accounting rate of return among the three alternatives. </w:t>
      </w:r>
    </w:p>
    <w:p w14:paraId="6A2B295D" w14:textId="1B5854F7" w:rsidR="00570195" w:rsidRPr="00570195" w:rsidRDefault="00570195" w:rsidP="00570195">
      <w:pPr>
        <w:spacing w:line="360" w:lineRule="auto"/>
        <w:jc w:val="both"/>
        <w:rPr>
          <w:rFonts w:ascii="Times New Roman" w:hAnsi="Times New Roman" w:cs="Times New Roman"/>
        </w:rPr>
      </w:pPr>
      <w:r w:rsidRPr="00570195">
        <w:rPr>
          <w:rFonts w:ascii="Times New Roman" w:hAnsi="Times New Roman" w:cs="Times New Roman"/>
        </w:rPr>
        <w:t>However, such an analysis needs to consider the financial results and the risk exposure of IHG in the form of non-financial risks. Indeed, financially, with the current profitability of the company (over 23% of the operating margin and ROCE of almost 37%) and its strong liquidity (see Section 2), it is evident that the company will easily cover the £50m expenditure from the internal funds flow without having to seek additional external funding (the 2025 net cash flow from operating activities was $898m).</w:t>
      </w:r>
    </w:p>
    <w:p w14:paraId="4FDC7D2B" w14:textId="320CDF5D" w:rsidR="00570195" w:rsidRPr="00570195" w:rsidRDefault="00570195" w:rsidP="00570195">
      <w:pPr>
        <w:spacing w:line="360" w:lineRule="auto"/>
        <w:jc w:val="both"/>
        <w:rPr>
          <w:rFonts w:ascii="Times New Roman" w:hAnsi="Times New Roman" w:cs="Times New Roman"/>
        </w:rPr>
      </w:pPr>
      <w:r w:rsidRPr="00570195">
        <w:rPr>
          <w:rFonts w:ascii="Times New Roman" w:hAnsi="Times New Roman" w:cs="Times New Roman"/>
        </w:rPr>
        <w:t>From the non-financial standpoint, the cash flow profile associated with Project C, being back-loaded with most of the inflows coming in Year 4, entails somewhat higher risk relating to political and macroeconomic issues as compared to Projects A or B, where returns are relatively evenly distributed or front-loaded. Taking into account the geographic diversity of the operations performed by IHG across different regions, together with the fact that geopolitical risks impact negatively on the investment performance and financial stability of hospitality companies, the Board should consider this back-loaded profile as one requiring close monitoring, e.g., via scenario analysis based on the currency and political risks of the relevant markets of operation, instead of being an indicator for discarding the highest NPV project. From the standpoint of customer loyalty risk, there is little risk in this regard because of the company's IHG One Rewards loyalty program and brand recognition worldwide (IHG, 2026).</w:t>
      </w:r>
    </w:p>
    <w:p w14:paraId="46A1B72C" w14:textId="77777777" w:rsidR="009C3288" w:rsidRPr="00570195" w:rsidRDefault="00000000" w:rsidP="00570195">
      <w:pPr>
        <w:pStyle w:val="Heading2"/>
        <w:spacing w:line="360" w:lineRule="auto"/>
        <w:jc w:val="both"/>
        <w:rPr>
          <w:rFonts w:ascii="Times New Roman" w:hAnsi="Times New Roman" w:cs="Times New Roman"/>
        </w:rPr>
      </w:pPr>
      <w:bookmarkStart w:id="23" w:name="_Toc233486393"/>
      <w:r w:rsidRPr="00570195">
        <w:rPr>
          <w:rFonts w:ascii="Times New Roman" w:hAnsi="Times New Roman" w:cs="Times New Roman"/>
        </w:rPr>
        <w:t>5.4 Capital Rationing: Combination Analysis</w:t>
      </w:r>
      <w:bookmarkEnd w:id="23"/>
    </w:p>
    <w:p w14:paraId="20CC6AE7" w14:textId="64E278CF" w:rsidR="00570195" w:rsidRPr="00570195" w:rsidRDefault="00570195" w:rsidP="00570195">
      <w:pPr>
        <w:spacing w:line="360" w:lineRule="auto"/>
        <w:jc w:val="both"/>
        <w:rPr>
          <w:rFonts w:ascii="Times New Roman" w:hAnsi="Times New Roman" w:cs="Times New Roman"/>
        </w:rPr>
      </w:pPr>
      <w:r w:rsidRPr="00570195">
        <w:rPr>
          <w:rFonts w:ascii="Times New Roman" w:hAnsi="Times New Roman" w:cs="Times New Roman"/>
        </w:rPr>
        <w:t>The Board has further enquired regarding what combination of these projects would be most suitable if the total budget of £100 million is at disposal for investments – enough only for funding two of the projects but not all three, since each project costs £50 million in its entirety.</w:t>
      </w:r>
    </w:p>
    <w:p w14:paraId="729BFA6A" w14:textId="77777777" w:rsidR="00570195" w:rsidRPr="00570195" w:rsidRDefault="00570195" w:rsidP="00570195">
      <w:pPr>
        <w:spacing w:line="360" w:lineRule="auto"/>
        <w:jc w:val="both"/>
        <w:rPr>
          <w:rFonts w:ascii="Times New Roman" w:hAnsi="Times New Roman" w:cs="Times New Roman"/>
        </w:rPr>
      </w:pPr>
    </w:p>
    <w:p w14:paraId="6619546F" w14:textId="54CF8893" w:rsidR="00570195" w:rsidRPr="00570195" w:rsidRDefault="00570195" w:rsidP="00570195">
      <w:pPr>
        <w:spacing w:line="360" w:lineRule="auto"/>
        <w:jc w:val="both"/>
        <w:rPr>
          <w:rFonts w:ascii="Times New Roman" w:hAnsi="Times New Roman" w:cs="Times New Roman"/>
        </w:rPr>
      </w:pPr>
      <w:r w:rsidRPr="00570195">
        <w:rPr>
          <w:rFonts w:ascii="Times New Roman" w:hAnsi="Times New Roman" w:cs="Times New Roman"/>
        </w:rPr>
        <w:t>Arranging the projects according to their Profitability Indices – the theoretically correct arrangement criterion for capital rationing when facing projects with indivisibility and single-period limitations – yields the sequence: Project C (PI 1.02x), Project B (PI 0.88x), Project A (PI 0.87x) (Appendix B, Table B2). In fact, according to Mota and Moreira (2023) who conducted a review on the capital budgeting practice, PI rather than NPV should be used as the ranking method especially in cases where capital is limited, because PI measures the value added per pound invested and not in absolute terms.</w:t>
      </w:r>
    </w:p>
    <w:p w14:paraId="513A9F5D" w14:textId="77777777" w:rsidR="00570195" w:rsidRPr="00570195" w:rsidRDefault="00570195" w:rsidP="00570195">
      <w:pPr>
        <w:spacing w:line="360" w:lineRule="auto"/>
        <w:jc w:val="both"/>
        <w:rPr>
          <w:rFonts w:ascii="Times New Roman" w:hAnsi="Times New Roman" w:cs="Times New Roman"/>
        </w:rPr>
      </w:pPr>
    </w:p>
    <w:p w14:paraId="1E86F7A2" w14:textId="638998F1" w:rsidR="00570195" w:rsidRPr="00570195" w:rsidRDefault="00570195" w:rsidP="00570195">
      <w:pPr>
        <w:spacing w:line="360" w:lineRule="auto"/>
        <w:jc w:val="both"/>
        <w:rPr>
          <w:rFonts w:ascii="Times New Roman" w:hAnsi="Times New Roman" w:cs="Times New Roman"/>
        </w:rPr>
      </w:pPr>
      <w:r w:rsidRPr="00570195">
        <w:rPr>
          <w:rFonts w:ascii="Times New Roman" w:hAnsi="Times New Roman" w:cs="Times New Roman"/>
        </w:rPr>
        <w:t>Accordingly, the optimal combination using the ranking approach, subject to the budget of £100m, would be Project C and B with a total NPV of about £(5.22)m (see Appendix B, Table B2). Again, this combination generates negative total NPV since the negative NPV of Project B dominates the slight positive contribution from Project C. This leads to the key strategic implication: given the capital constraint of £100m, the most value-maximizing action would be to invest only in Project C and use or reallocate the leftover £50m elsewhere (for instance, for further share repurchase, debt reduction, etc., which are not mentioned in the case) than simply allocate the entire budget of £100m in two projects. Neither Project A nor Project B individually adds value to the Group with the cost of capital of 8%; thus, combining either of them with Project C will not affect the basic implication that they should be rejected based on capital rationing.</w:t>
      </w:r>
    </w:p>
    <w:p w14:paraId="714F0076" w14:textId="77777777" w:rsidR="00570195" w:rsidRPr="00570195" w:rsidRDefault="00570195" w:rsidP="00570195">
      <w:pPr>
        <w:spacing w:line="360" w:lineRule="auto"/>
        <w:jc w:val="both"/>
        <w:rPr>
          <w:rFonts w:ascii="Times New Roman" w:hAnsi="Times New Roman" w:cs="Times New Roman"/>
        </w:rPr>
      </w:pPr>
    </w:p>
    <w:p w14:paraId="7A6D821E" w14:textId="5B9CCBB4" w:rsidR="00570195" w:rsidRPr="00570195" w:rsidRDefault="00570195" w:rsidP="00570195">
      <w:pPr>
        <w:spacing w:line="360" w:lineRule="auto"/>
        <w:jc w:val="both"/>
        <w:rPr>
          <w:rFonts w:ascii="Times New Roman" w:hAnsi="Times New Roman" w:cs="Times New Roman"/>
        </w:rPr>
      </w:pPr>
      <w:r w:rsidRPr="00570195">
        <w:rPr>
          <w:rFonts w:ascii="Times New Roman" w:hAnsi="Times New Roman" w:cs="Times New Roman"/>
        </w:rPr>
        <w:t>This finding is supported by the corporate finance concept stated in various articles on capital budgeting discussed above (Siziba &amp; Hall, 2021; Sureka et al., 2022) according to which capital limitations need to narrow down the list of profitable investments rather than be the reason for unprofitable investment implementation.</w:t>
      </w:r>
    </w:p>
    <w:p w14:paraId="72380DD4" w14:textId="77777777" w:rsidR="009C3288" w:rsidRPr="00570195" w:rsidRDefault="00000000" w:rsidP="00570195">
      <w:pPr>
        <w:pStyle w:val="Heading2"/>
        <w:spacing w:line="360" w:lineRule="auto"/>
        <w:jc w:val="both"/>
        <w:rPr>
          <w:rFonts w:ascii="Times New Roman" w:hAnsi="Times New Roman" w:cs="Times New Roman"/>
        </w:rPr>
      </w:pPr>
      <w:bookmarkStart w:id="24" w:name="_Toc233486394"/>
      <w:r w:rsidRPr="00570195">
        <w:rPr>
          <w:rFonts w:ascii="Times New Roman" w:hAnsi="Times New Roman" w:cs="Times New Roman"/>
        </w:rPr>
        <w:t>5.5 Sensitivity and Limitations</w:t>
      </w:r>
      <w:bookmarkEnd w:id="24"/>
    </w:p>
    <w:p w14:paraId="5F19A27A" w14:textId="6192C6F9" w:rsidR="00570195" w:rsidRPr="00570195" w:rsidRDefault="00570195" w:rsidP="00570195">
      <w:pPr>
        <w:spacing w:line="360" w:lineRule="auto"/>
        <w:jc w:val="both"/>
        <w:rPr>
          <w:rFonts w:ascii="Times New Roman" w:hAnsi="Times New Roman" w:cs="Times New Roman"/>
        </w:rPr>
      </w:pPr>
      <w:r w:rsidRPr="00570195">
        <w:rPr>
          <w:rFonts w:ascii="Times New Roman" w:hAnsi="Times New Roman" w:cs="Times New Roman"/>
        </w:rPr>
        <w:t>The 8% discounting rate is taken as constant based on the assumptions provided by the case study; however, in reality, the board needs to consider how sensitive the recommendation is to a higher hurdle rate considering the Group’s actual weighted average cost of capital, which could be higher than 8% considering the negative book equity position and borrowing-based finance structure of the firm, and the variation in cash flows generated from Project C in the latter years due to the risks identified above. Straight-line depreciation to a zero residual value has been used throughout as part of ARR calculation; it will not impact NPV/PI/IRR computations.</w:t>
      </w:r>
    </w:p>
    <w:p w14:paraId="603DD297" w14:textId="77777777" w:rsidR="009C3288" w:rsidRPr="00570195" w:rsidRDefault="00000000" w:rsidP="00570195">
      <w:pPr>
        <w:pStyle w:val="Heading1"/>
        <w:spacing w:line="360" w:lineRule="auto"/>
        <w:jc w:val="both"/>
        <w:rPr>
          <w:rFonts w:ascii="Times New Roman" w:hAnsi="Times New Roman" w:cs="Times New Roman"/>
        </w:rPr>
      </w:pPr>
      <w:bookmarkStart w:id="25" w:name="_Toc233486395"/>
      <w:r w:rsidRPr="00570195">
        <w:rPr>
          <w:rFonts w:ascii="Times New Roman" w:hAnsi="Times New Roman" w:cs="Times New Roman"/>
        </w:rPr>
        <w:t>6. Critical Reflection on AI Usage</w:t>
      </w:r>
      <w:bookmarkEnd w:id="25"/>
    </w:p>
    <w:p w14:paraId="3EC4E5D0" w14:textId="77777777" w:rsidR="009C3288" w:rsidRPr="00570195" w:rsidRDefault="00000000" w:rsidP="00570195">
      <w:pPr>
        <w:pStyle w:val="Heading2"/>
        <w:spacing w:line="360" w:lineRule="auto"/>
        <w:jc w:val="both"/>
        <w:rPr>
          <w:rFonts w:ascii="Times New Roman" w:hAnsi="Times New Roman" w:cs="Times New Roman"/>
        </w:rPr>
      </w:pPr>
      <w:bookmarkStart w:id="26" w:name="_Toc233486396"/>
      <w:r w:rsidRPr="00570195">
        <w:rPr>
          <w:rFonts w:ascii="Times New Roman" w:hAnsi="Times New Roman" w:cs="Times New Roman"/>
        </w:rPr>
        <w:t>6.1 Tool Disclosure</w:t>
      </w:r>
      <w:bookmarkEnd w:id="26"/>
    </w:p>
    <w:p w14:paraId="19BD9EDB" w14:textId="10D78ECC" w:rsidR="00570195" w:rsidRPr="00570195" w:rsidRDefault="00570195" w:rsidP="00570195">
      <w:pPr>
        <w:spacing w:line="360" w:lineRule="auto"/>
        <w:jc w:val="both"/>
        <w:rPr>
          <w:rFonts w:ascii="Times New Roman" w:hAnsi="Times New Roman" w:cs="Times New Roman"/>
        </w:rPr>
      </w:pPr>
      <w:r w:rsidRPr="00570195">
        <w:rPr>
          <w:rFonts w:ascii="Times New Roman" w:hAnsi="Times New Roman" w:cs="Times New Roman"/>
        </w:rPr>
        <w:t>In relation to the creation of this report, AI, more precisely an AI-based research and drafting assistant, was utilized at three distinct phases, which included: retrieval of primary source information from IHG's Annual Report and Form 20-F reports from 2020 to 2025; identification of pertinent peer-reviewed academic articles on financial management of the hospitality sector, capital budgeting, ESG, and AI ethics between 2020 and 2025; and computation of the ratios and investment appraisal calculations (Section 2 and 5) using Excel formulas and not hard coded numbers, ensuring complete auditability and recalculation ability of all workings. In keeping with the AI use declaration included in this submission, there was no AI tool employed in forming the strategic analysis, recommendations, and critical evaluation offered in Sections 3, 4, and 5.4 respectively.</w:t>
      </w:r>
    </w:p>
    <w:p w14:paraId="03EB3A4F" w14:textId="77777777" w:rsidR="009C3288" w:rsidRPr="00570195" w:rsidRDefault="00000000" w:rsidP="00570195">
      <w:pPr>
        <w:pStyle w:val="Heading2"/>
        <w:spacing w:line="360" w:lineRule="auto"/>
        <w:jc w:val="both"/>
        <w:rPr>
          <w:rFonts w:ascii="Times New Roman" w:hAnsi="Times New Roman" w:cs="Times New Roman"/>
        </w:rPr>
      </w:pPr>
      <w:bookmarkStart w:id="27" w:name="_Toc233486397"/>
      <w:r w:rsidRPr="00570195">
        <w:rPr>
          <w:rFonts w:ascii="Times New Roman" w:hAnsi="Times New Roman" w:cs="Times New Roman"/>
        </w:rPr>
        <w:t>6.2 Critical Evaluation of AI Output</w:t>
      </w:r>
      <w:bookmarkEnd w:id="27"/>
    </w:p>
    <w:p w14:paraId="7E86F0AE" w14:textId="0A8E7A83" w:rsidR="00570195" w:rsidRPr="00570195" w:rsidRDefault="00570195" w:rsidP="00570195">
      <w:pPr>
        <w:spacing w:line="360" w:lineRule="auto"/>
        <w:jc w:val="both"/>
        <w:rPr>
          <w:rFonts w:ascii="Times New Roman" w:hAnsi="Times New Roman" w:cs="Times New Roman"/>
        </w:rPr>
      </w:pPr>
      <w:r w:rsidRPr="00570195">
        <w:rPr>
          <w:rFonts w:ascii="Times New Roman" w:hAnsi="Times New Roman" w:cs="Times New Roman"/>
        </w:rPr>
        <w:t>All numbers obtained from financial statements of IHG were verified against the source Annual Report or Form 20-F page before being included in the work instead of simply accepting them as is from the AI model’s first attempt. It was necessary due to the fact that large language models tend to hallucinate by generating false figures and citations. The studies into AI use in financial research found that models can invent false references in many cases if requested to do so to cite literature related to financial research. The Financial Industry Regulatory Authority (FINRA) identified this problem as a specific type of hallucination for AI-enabled financial research as well. Corrections had to be made when preparing the assignment: the first attempt to present the balance sheet items split into current and non-current assets in certain intermediary years which were not disclosed separately by IHG in the reviewed sections had to be rephrased as an estimate, not a reported figure; also one of the drafted citations had to be checked and fixed in terms of the publication year.</w:t>
      </w:r>
    </w:p>
    <w:p w14:paraId="1B105B1E" w14:textId="77777777" w:rsidR="009C3288" w:rsidRPr="00570195" w:rsidRDefault="00000000" w:rsidP="00570195">
      <w:pPr>
        <w:pStyle w:val="Heading2"/>
        <w:spacing w:line="360" w:lineRule="auto"/>
        <w:jc w:val="both"/>
        <w:rPr>
          <w:rFonts w:ascii="Times New Roman" w:hAnsi="Times New Roman" w:cs="Times New Roman"/>
        </w:rPr>
      </w:pPr>
      <w:bookmarkStart w:id="28" w:name="_Toc233486398"/>
      <w:r w:rsidRPr="00570195">
        <w:rPr>
          <w:rFonts w:ascii="Times New Roman" w:hAnsi="Times New Roman" w:cs="Times New Roman"/>
        </w:rPr>
        <w:t>6.3 Contribution Analysis</w:t>
      </w:r>
      <w:bookmarkEnd w:id="28"/>
    </w:p>
    <w:p w14:paraId="2DA8BEC9" w14:textId="0B878494" w:rsidR="00570195" w:rsidRPr="00570195" w:rsidRDefault="00570195" w:rsidP="00570195">
      <w:pPr>
        <w:spacing w:line="360" w:lineRule="auto"/>
        <w:jc w:val="both"/>
        <w:rPr>
          <w:rFonts w:ascii="Times New Roman" w:hAnsi="Times New Roman" w:cs="Times New Roman"/>
        </w:rPr>
      </w:pPr>
      <w:r w:rsidRPr="00570195">
        <w:rPr>
          <w:rFonts w:ascii="Times New Roman" w:hAnsi="Times New Roman" w:cs="Times New Roman"/>
        </w:rPr>
        <w:t>The role of AI in producing this report was that of a research and analysis tool, namely document sourcing, extraction of numerical data from the source documents for entry into the financial model, and identification of appropriate academic literature for further analysis. The original contribution of the author is made in terms of deciding on the choice of relevant ratios and trends in terms of decision usefulness for the Board (Section 2), in working capital improvement proposals and supporting these proposals based on the relevant cash operating cycle literature (Section 3), in restructuring proposals, prioritisation of such and assessment of international and ethical risks (Section 4), in investment proposal and rationing of capital, especially making the strategic decision that the entire budget of £100m does not need to be invested if the value is destroyed (Section 5).</w:t>
      </w:r>
    </w:p>
    <w:p w14:paraId="372B81C5" w14:textId="77777777" w:rsidR="009C3288" w:rsidRPr="00570195" w:rsidRDefault="00000000" w:rsidP="00570195">
      <w:pPr>
        <w:pStyle w:val="Heading2"/>
        <w:spacing w:line="360" w:lineRule="auto"/>
        <w:jc w:val="both"/>
        <w:rPr>
          <w:rFonts w:ascii="Times New Roman" w:hAnsi="Times New Roman" w:cs="Times New Roman"/>
        </w:rPr>
      </w:pPr>
      <w:bookmarkStart w:id="29" w:name="_Toc233486399"/>
      <w:r w:rsidRPr="00570195">
        <w:rPr>
          <w:rFonts w:ascii="Times New Roman" w:hAnsi="Times New Roman" w:cs="Times New Roman"/>
        </w:rPr>
        <w:t>6.4 Ethical and Professional Reflection</w:t>
      </w:r>
      <w:bookmarkEnd w:id="29"/>
    </w:p>
    <w:p w14:paraId="2C2A66D4" w14:textId="535B43FB" w:rsidR="00570195" w:rsidRPr="00570195" w:rsidRDefault="00570195" w:rsidP="00570195">
      <w:pPr>
        <w:spacing w:line="360" w:lineRule="auto"/>
        <w:jc w:val="both"/>
        <w:rPr>
          <w:rFonts w:ascii="Times New Roman" w:hAnsi="Times New Roman" w:cs="Times New Roman"/>
        </w:rPr>
      </w:pPr>
      <w:r w:rsidRPr="00570195">
        <w:rPr>
          <w:rFonts w:ascii="Times New Roman" w:hAnsi="Times New Roman" w:cs="Times New Roman"/>
        </w:rPr>
        <w:t>There are three ethical implications that are directly relevant to a CFO that arise when using AI in financial analysis. Transparency: This disclosure is an example of applying the principle that is gaining traction in financial-services AI governance frameworks, namely, stakeholders should be informed where AI has materially influenced an analysis. Second, data privacy – only publicly available information, which had already been disclosed to the public was processed; there was no transfer of confidential or non-public IHG data to any AI tools, as this practice aligns with the principles of good practice, while data handling and retention policies are an area of constant regulatory focus. Thirdly, the danger of over-reliance in executive decision-making: AI in strategic decision-making among entrepreneurs and investors highlights the potential for AI to reduce rather than expand the scope of decision-making when used in place of human judgment. In the CFO context this risk is especially severe when it comes to irreversible capital allocation decisions of the type discussed in Section 5: this investment recommendation is therefore made by the author on the basis of his own application of known appraisal theory to the data verified by AI and not on any recommendation made by AI and the Board is encouraged to apply the same discipline: treat the AI as a tool for gathering and verifying data, not a substitute for fiduciary judgement.</w:t>
      </w:r>
    </w:p>
    <w:p w14:paraId="7153BB36" w14:textId="77777777" w:rsidR="009C3288" w:rsidRPr="00570195" w:rsidRDefault="00000000" w:rsidP="00570195">
      <w:pPr>
        <w:pStyle w:val="Heading1"/>
        <w:spacing w:line="360" w:lineRule="auto"/>
        <w:jc w:val="both"/>
        <w:rPr>
          <w:rFonts w:ascii="Times New Roman" w:hAnsi="Times New Roman" w:cs="Times New Roman"/>
        </w:rPr>
      </w:pPr>
      <w:bookmarkStart w:id="30" w:name="_Toc233486400"/>
      <w:r w:rsidRPr="00570195">
        <w:rPr>
          <w:rFonts w:ascii="Times New Roman" w:hAnsi="Times New Roman" w:cs="Times New Roman"/>
        </w:rPr>
        <w:t>7. Conclusion</w:t>
      </w:r>
      <w:bookmarkEnd w:id="30"/>
    </w:p>
    <w:p w14:paraId="60CADD8A" w14:textId="2FCA5D36" w:rsidR="009C3288" w:rsidRPr="00570195" w:rsidRDefault="00570195" w:rsidP="00570195">
      <w:pPr>
        <w:spacing w:line="360" w:lineRule="auto"/>
        <w:jc w:val="both"/>
        <w:rPr>
          <w:rFonts w:ascii="Times New Roman" w:hAnsi="Times New Roman" w:cs="Times New Roman"/>
        </w:rPr>
      </w:pPr>
      <w:r w:rsidRPr="00570195">
        <w:rPr>
          <w:rFonts w:ascii="Times New Roman" w:hAnsi="Times New Roman" w:cs="Times New Roman"/>
        </w:rPr>
        <w:t>The conclusions drawn from this report suggest that IHG finds itself in a fundamentally sound financial situation heading into 2026: profitability and cash flow have been dramatically improved since the 2021 low point due to the pandemic, and interest coverage is healthy despite the Group's persistently negative book equity, which is characteristic of its light asset strategy, not a red flag. The main focus points for the Board include the below 1.0x current ratio, which should be handled with the specific improvements to working capital management in Section 3, as well as continuing to divest residual owned hotels to complete the transition towards franchise revenue. In terms of capital allocation, out of three suggested projects only Project C generates shareholder value for the Group at an 8% cost of capital. Within the £100m cap as specified by the case scenario, the Board should invest in Project C only, rather than spending all the hypothetical budget in a mechanical way.</w:t>
      </w:r>
      <w:r w:rsidRPr="00570195">
        <w:rPr>
          <w:rFonts w:ascii="Times New Roman" w:hAnsi="Times New Roman" w:cs="Times New Roman"/>
        </w:rPr>
        <w:br w:type="page"/>
      </w:r>
    </w:p>
    <w:p w14:paraId="61A1DD55" w14:textId="77777777" w:rsidR="009C3288" w:rsidRPr="00570195" w:rsidRDefault="00000000" w:rsidP="00570195">
      <w:pPr>
        <w:pStyle w:val="Heading1"/>
        <w:spacing w:line="360" w:lineRule="auto"/>
        <w:jc w:val="both"/>
        <w:rPr>
          <w:rFonts w:ascii="Times New Roman" w:hAnsi="Times New Roman" w:cs="Times New Roman"/>
        </w:rPr>
      </w:pPr>
      <w:bookmarkStart w:id="31" w:name="_Toc233486401"/>
      <w:r w:rsidRPr="00570195">
        <w:rPr>
          <w:rFonts w:ascii="Times New Roman" w:hAnsi="Times New Roman" w:cs="Times New Roman"/>
        </w:rPr>
        <w:t>Reference List</w:t>
      </w:r>
      <w:bookmarkEnd w:id="31"/>
    </w:p>
    <w:p w14:paraId="19B4FCCB" w14:textId="77777777" w:rsidR="009C3288" w:rsidRPr="00570195" w:rsidRDefault="00000000" w:rsidP="00570195">
      <w:pPr>
        <w:spacing w:after="160" w:line="360" w:lineRule="auto"/>
        <w:ind w:left="720" w:hanging="720"/>
        <w:jc w:val="both"/>
        <w:rPr>
          <w:rFonts w:ascii="Times New Roman" w:hAnsi="Times New Roman" w:cs="Times New Roman"/>
        </w:rPr>
      </w:pPr>
      <w:r w:rsidRPr="00570195">
        <w:rPr>
          <w:rFonts w:ascii="Times New Roman" w:hAnsi="Times New Roman" w:cs="Times New Roman"/>
          <w:sz w:val="22"/>
          <w:szCs w:val="22"/>
        </w:rPr>
        <w:t>CBRE (2023) Sustainability and ESG Adoption in the Hotel Industry: A Global Status Update. Los Angeles: CBRE. Available at: https://www.cbre.com/insights/reports/sustainability-and-esg-adoption-in-the-hotel-industry (Accessed: 26 June 2026).</w:t>
      </w:r>
    </w:p>
    <w:p w14:paraId="4F52B556" w14:textId="77777777" w:rsidR="009C3288" w:rsidRPr="00570195" w:rsidRDefault="00000000" w:rsidP="00570195">
      <w:pPr>
        <w:spacing w:after="160" w:line="360" w:lineRule="auto"/>
        <w:ind w:left="720" w:hanging="720"/>
        <w:jc w:val="both"/>
        <w:rPr>
          <w:rFonts w:ascii="Times New Roman" w:hAnsi="Times New Roman" w:cs="Times New Roman"/>
        </w:rPr>
      </w:pPr>
      <w:r w:rsidRPr="00570195">
        <w:rPr>
          <w:rFonts w:ascii="Times New Roman" w:hAnsi="Times New Roman" w:cs="Times New Roman"/>
          <w:sz w:val="22"/>
          <w:szCs w:val="22"/>
        </w:rPr>
        <w:t>Chambers, N. and Cifter, A. (2022) Working capital management and firm performance in the hospitality and tourism industry. International Journal of Hospitality Management, 102, p.103144.</w:t>
      </w:r>
    </w:p>
    <w:p w14:paraId="330389EC" w14:textId="77777777" w:rsidR="009C3288" w:rsidRPr="00570195" w:rsidRDefault="00000000" w:rsidP="00570195">
      <w:pPr>
        <w:spacing w:after="160" w:line="360" w:lineRule="auto"/>
        <w:ind w:left="720" w:hanging="720"/>
        <w:jc w:val="both"/>
        <w:rPr>
          <w:rFonts w:ascii="Times New Roman" w:hAnsi="Times New Roman" w:cs="Times New Roman"/>
        </w:rPr>
      </w:pPr>
      <w:r w:rsidRPr="00570195">
        <w:rPr>
          <w:rFonts w:ascii="Times New Roman" w:hAnsi="Times New Roman" w:cs="Times New Roman"/>
          <w:sz w:val="22"/>
          <w:szCs w:val="22"/>
        </w:rPr>
        <w:t>Csaszar, F.A., Ketkar, H. and Kim, H. (2024) Artificial Intelligence and Strategic Decision-Making: Evidence from Entrepreneurs and Investors. arXiv preprint. Available at: https://arxiv.org/pdf/2408.08811 (Accessed: 26 June 2026).</w:t>
      </w:r>
    </w:p>
    <w:p w14:paraId="29CEE8DE" w14:textId="77777777" w:rsidR="009C3288" w:rsidRPr="00570195" w:rsidRDefault="00000000" w:rsidP="00570195">
      <w:pPr>
        <w:spacing w:after="160" w:line="360" w:lineRule="auto"/>
        <w:ind w:left="720" w:hanging="720"/>
        <w:jc w:val="both"/>
        <w:rPr>
          <w:rFonts w:ascii="Times New Roman" w:hAnsi="Times New Roman" w:cs="Times New Roman"/>
        </w:rPr>
      </w:pPr>
      <w:r w:rsidRPr="00570195">
        <w:rPr>
          <w:rFonts w:ascii="Times New Roman" w:hAnsi="Times New Roman" w:cs="Times New Roman"/>
          <w:sz w:val="22"/>
          <w:szCs w:val="22"/>
        </w:rPr>
        <w:t>Hilton Worldwide Holdings Inc. (2024) Form 10-K, fiscal year 2023. Washington, DC: U.S. Securities and Exchange Commission.</w:t>
      </w:r>
    </w:p>
    <w:p w14:paraId="01C86717" w14:textId="77777777" w:rsidR="009C3288" w:rsidRPr="00570195" w:rsidRDefault="00000000" w:rsidP="00570195">
      <w:pPr>
        <w:spacing w:after="160" w:line="360" w:lineRule="auto"/>
        <w:ind w:left="720" w:hanging="720"/>
        <w:jc w:val="both"/>
        <w:rPr>
          <w:rFonts w:ascii="Times New Roman" w:hAnsi="Times New Roman" w:cs="Times New Roman"/>
        </w:rPr>
      </w:pPr>
      <w:r w:rsidRPr="00570195">
        <w:rPr>
          <w:rFonts w:ascii="Times New Roman" w:hAnsi="Times New Roman" w:cs="Times New Roman"/>
          <w:sz w:val="22"/>
          <w:szCs w:val="22"/>
        </w:rPr>
        <w:t>InterContinental Hotels Group plc (2022) Annual Report and Form 20-F 2021. Windsor: IHG plc.</w:t>
      </w:r>
    </w:p>
    <w:p w14:paraId="00279A0D" w14:textId="77777777" w:rsidR="009C3288" w:rsidRPr="00570195" w:rsidRDefault="00000000" w:rsidP="00570195">
      <w:pPr>
        <w:spacing w:after="160" w:line="360" w:lineRule="auto"/>
        <w:ind w:left="720" w:hanging="720"/>
        <w:jc w:val="both"/>
        <w:rPr>
          <w:rFonts w:ascii="Times New Roman" w:hAnsi="Times New Roman" w:cs="Times New Roman"/>
        </w:rPr>
      </w:pPr>
      <w:r w:rsidRPr="00570195">
        <w:rPr>
          <w:rFonts w:ascii="Times New Roman" w:hAnsi="Times New Roman" w:cs="Times New Roman"/>
          <w:sz w:val="22"/>
          <w:szCs w:val="22"/>
        </w:rPr>
        <w:t>InterContinental Hotels Group plc (2023) Annual Report and Form 20-F 2022. Windsor: IHG plc.</w:t>
      </w:r>
    </w:p>
    <w:p w14:paraId="0A4D9D26" w14:textId="77777777" w:rsidR="009C3288" w:rsidRPr="00570195" w:rsidRDefault="00000000" w:rsidP="00570195">
      <w:pPr>
        <w:spacing w:after="160" w:line="360" w:lineRule="auto"/>
        <w:ind w:left="720" w:hanging="720"/>
        <w:jc w:val="both"/>
        <w:rPr>
          <w:rFonts w:ascii="Times New Roman" w:hAnsi="Times New Roman" w:cs="Times New Roman"/>
        </w:rPr>
      </w:pPr>
      <w:r w:rsidRPr="00570195">
        <w:rPr>
          <w:rFonts w:ascii="Times New Roman" w:hAnsi="Times New Roman" w:cs="Times New Roman"/>
          <w:sz w:val="22"/>
          <w:szCs w:val="22"/>
        </w:rPr>
        <w:t>InterContinental Hotels Group plc (2024) Annual Report and Form 20-F 2023. Windsor: IHG plc.</w:t>
      </w:r>
    </w:p>
    <w:p w14:paraId="5E927CA9" w14:textId="77777777" w:rsidR="009C3288" w:rsidRPr="00570195" w:rsidRDefault="00000000" w:rsidP="00570195">
      <w:pPr>
        <w:spacing w:after="160" w:line="360" w:lineRule="auto"/>
        <w:ind w:left="720" w:hanging="720"/>
        <w:jc w:val="both"/>
        <w:rPr>
          <w:rFonts w:ascii="Times New Roman" w:hAnsi="Times New Roman" w:cs="Times New Roman"/>
        </w:rPr>
      </w:pPr>
      <w:r w:rsidRPr="00570195">
        <w:rPr>
          <w:rFonts w:ascii="Times New Roman" w:hAnsi="Times New Roman" w:cs="Times New Roman"/>
          <w:sz w:val="22"/>
          <w:szCs w:val="22"/>
        </w:rPr>
        <w:t>InterContinental Hotels Group plc (2025a) Full Year Results for the year to 31 December 2024. Windsor: IHG plc.</w:t>
      </w:r>
    </w:p>
    <w:p w14:paraId="34C54263" w14:textId="77777777" w:rsidR="009C3288" w:rsidRPr="00570195" w:rsidRDefault="00000000" w:rsidP="00570195">
      <w:pPr>
        <w:spacing w:after="160" w:line="360" w:lineRule="auto"/>
        <w:ind w:left="720" w:hanging="720"/>
        <w:jc w:val="both"/>
        <w:rPr>
          <w:rFonts w:ascii="Times New Roman" w:hAnsi="Times New Roman" w:cs="Times New Roman"/>
        </w:rPr>
      </w:pPr>
      <w:r w:rsidRPr="00570195">
        <w:rPr>
          <w:rFonts w:ascii="Times New Roman" w:hAnsi="Times New Roman" w:cs="Times New Roman"/>
          <w:sz w:val="22"/>
          <w:szCs w:val="22"/>
        </w:rPr>
        <w:t>InterContinental Hotels Group plc (2026) Annual Report and Form 20-F 2025. Windsor: IHG plc. Available at: https://www.ihgplc.com/en/investors/annual-report (Accessed: 26 June 2026).</w:t>
      </w:r>
    </w:p>
    <w:p w14:paraId="0E9090B5" w14:textId="77777777" w:rsidR="009C3288" w:rsidRPr="00570195" w:rsidRDefault="00000000" w:rsidP="00570195">
      <w:pPr>
        <w:spacing w:after="160" w:line="360" w:lineRule="auto"/>
        <w:ind w:left="720" w:hanging="720"/>
        <w:jc w:val="both"/>
        <w:rPr>
          <w:rFonts w:ascii="Times New Roman" w:hAnsi="Times New Roman" w:cs="Times New Roman"/>
        </w:rPr>
      </w:pPr>
      <w:r w:rsidRPr="00570195">
        <w:rPr>
          <w:rFonts w:ascii="Times New Roman" w:hAnsi="Times New Roman" w:cs="Times New Roman"/>
          <w:sz w:val="22"/>
          <w:szCs w:val="22"/>
        </w:rPr>
        <w:t>Kim, S.D. (2023) The valuation effects of hotel mergers. Tourism Economics, 29(8), pp.1-20.</w:t>
      </w:r>
    </w:p>
    <w:p w14:paraId="5B0C20D5" w14:textId="77777777" w:rsidR="009C3288" w:rsidRPr="00570195" w:rsidRDefault="00000000" w:rsidP="00570195">
      <w:pPr>
        <w:spacing w:after="160" w:line="360" w:lineRule="auto"/>
        <w:ind w:left="720" w:hanging="720"/>
        <w:jc w:val="both"/>
        <w:rPr>
          <w:rFonts w:ascii="Times New Roman" w:hAnsi="Times New Roman" w:cs="Times New Roman"/>
        </w:rPr>
      </w:pPr>
      <w:r w:rsidRPr="00570195">
        <w:rPr>
          <w:rFonts w:ascii="Times New Roman" w:hAnsi="Times New Roman" w:cs="Times New Roman"/>
          <w:sz w:val="22"/>
          <w:szCs w:val="22"/>
        </w:rPr>
        <w:t>Li, Y. and Singal, M. (2019) Capital structure in the hospitality industry: the role of the asset-light and fee-oriented strategy. Tourism Management, 70, pp.124-133.</w:t>
      </w:r>
    </w:p>
    <w:p w14:paraId="7B54643E" w14:textId="77777777" w:rsidR="009C3288" w:rsidRPr="00570195" w:rsidRDefault="00000000" w:rsidP="00570195">
      <w:pPr>
        <w:spacing w:after="160" w:line="360" w:lineRule="auto"/>
        <w:ind w:left="720" w:hanging="720"/>
        <w:jc w:val="both"/>
        <w:rPr>
          <w:rFonts w:ascii="Times New Roman" w:hAnsi="Times New Roman" w:cs="Times New Roman"/>
        </w:rPr>
      </w:pPr>
      <w:r w:rsidRPr="00570195">
        <w:rPr>
          <w:rFonts w:ascii="Times New Roman" w:hAnsi="Times New Roman" w:cs="Times New Roman"/>
          <w:sz w:val="22"/>
          <w:szCs w:val="22"/>
        </w:rPr>
        <w:t>Lu, K., Onuk, C.B., Xia, Y. and Zhang, J. (2025) ESG ratings and financial performance in the global hospitality industry. Journal of Risk and Financial Management, 18(1), p.24.</w:t>
      </w:r>
    </w:p>
    <w:p w14:paraId="6F9688B2" w14:textId="77777777" w:rsidR="009C3288" w:rsidRPr="00570195" w:rsidRDefault="00000000" w:rsidP="00570195">
      <w:pPr>
        <w:spacing w:after="160" w:line="360" w:lineRule="auto"/>
        <w:ind w:left="720" w:hanging="720"/>
        <w:jc w:val="both"/>
        <w:rPr>
          <w:rFonts w:ascii="Times New Roman" w:hAnsi="Times New Roman" w:cs="Times New Roman"/>
        </w:rPr>
      </w:pPr>
      <w:r w:rsidRPr="00570195">
        <w:rPr>
          <w:rFonts w:ascii="Times New Roman" w:hAnsi="Times New Roman" w:cs="Times New Roman"/>
          <w:sz w:val="22"/>
          <w:szCs w:val="22"/>
        </w:rPr>
        <w:t>MacroTrends (2026) Marriott Current Ratio 2012-2025. Available at: https://www.macrotrends.net/stocks/charts/MAR/marriott/current-ratio (Accessed: 26 June 2026).</w:t>
      </w:r>
    </w:p>
    <w:p w14:paraId="7D06FD56" w14:textId="77777777" w:rsidR="009C3288" w:rsidRPr="00570195" w:rsidRDefault="00000000" w:rsidP="00570195">
      <w:pPr>
        <w:spacing w:after="160" w:line="360" w:lineRule="auto"/>
        <w:ind w:left="720" w:hanging="720"/>
        <w:jc w:val="both"/>
        <w:rPr>
          <w:rFonts w:ascii="Times New Roman" w:hAnsi="Times New Roman" w:cs="Times New Roman"/>
        </w:rPr>
      </w:pPr>
      <w:r w:rsidRPr="00570195">
        <w:rPr>
          <w:rFonts w:ascii="Times New Roman" w:hAnsi="Times New Roman" w:cs="Times New Roman"/>
          <w:sz w:val="22"/>
          <w:szCs w:val="22"/>
        </w:rPr>
        <w:t>Mota, J. and Moreira, A.C. (2023) Capital budgeting practices: a survey of two industries. Journal of Risk and Financial Management, 16(3), p.191.</w:t>
      </w:r>
    </w:p>
    <w:p w14:paraId="1031C302" w14:textId="77777777" w:rsidR="009C3288" w:rsidRPr="00570195" w:rsidRDefault="00000000" w:rsidP="00570195">
      <w:pPr>
        <w:spacing w:after="160" w:line="360" w:lineRule="auto"/>
        <w:ind w:left="720" w:hanging="720"/>
        <w:jc w:val="both"/>
        <w:rPr>
          <w:rFonts w:ascii="Times New Roman" w:hAnsi="Times New Roman" w:cs="Times New Roman"/>
        </w:rPr>
      </w:pPr>
      <w:r w:rsidRPr="00570195">
        <w:rPr>
          <w:rFonts w:ascii="Times New Roman" w:hAnsi="Times New Roman" w:cs="Times New Roman"/>
          <w:sz w:val="22"/>
          <w:szCs w:val="22"/>
        </w:rPr>
        <w:t>Owolabi, O.S., Uche, P.C., Adeniken, N.T., Ihejirika, C., Islam, R.B. and Chhetri, B.J.T. (2024) Ethical implication of artificial intelligence (AI) adoption in financial decision making. Computer and Information Science, 17(1), p.49.</w:t>
      </w:r>
    </w:p>
    <w:p w14:paraId="6012D374" w14:textId="77777777" w:rsidR="009C3288" w:rsidRPr="00570195" w:rsidRDefault="00000000" w:rsidP="00570195">
      <w:pPr>
        <w:spacing w:after="160" w:line="360" w:lineRule="auto"/>
        <w:ind w:left="720" w:hanging="720"/>
        <w:jc w:val="both"/>
        <w:rPr>
          <w:rFonts w:ascii="Times New Roman" w:hAnsi="Times New Roman" w:cs="Times New Roman"/>
        </w:rPr>
      </w:pPr>
      <w:r w:rsidRPr="00570195">
        <w:rPr>
          <w:rFonts w:ascii="Times New Roman" w:hAnsi="Times New Roman" w:cs="Times New Roman"/>
          <w:sz w:val="22"/>
          <w:szCs w:val="22"/>
        </w:rPr>
        <w:t>Poretti, C. and Heo, C.Y. (2022) Asset-light strategies and stock market reactions to COVID-19's pandemic announcement: the case of hospitality firms. Tourism Economics, 28(6), pp.1692-1701.</w:t>
      </w:r>
    </w:p>
    <w:p w14:paraId="4D46FE07" w14:textId="77777777" w:rsidR="009C3288" w:rsidRPr="00570195" w:rsidRDefault="00000000" w:rsidP="00570195">
      <w:pPr>
        <w:spacing w:after="160" w:line="360" w:lineRule="auto"/>
        <w:ind w:left="720" w:hanging="720"/>
        <w:jc w:val="both"/>
        <w:rPr>
          <w:rFonts w:ascii="Times New Roman" w:hAnsi="Times New Roman" w:cs="Times New Roman"/>
        </w:rPr>
      </w:pPr>
      <w:r w:rsidRPr="00570195">
        <w:rPr>
          <w:rFonts w:ascii="Times New Roman" w:hAnsi="Times New Roman" w:cs="Times New Roman"/>
          <w:sz w:val="22"/>
          <w:szCs w:val="22"/>
        </w:rPr>
        <w:t>Radivojević, V., Mitrović, S. and Zekić, M. (2023) Quantifying the financial impact of COVID-19 on the largest global companies in the hotel industry. Hotel and Tourism Management, 11(1), pp.165-176.</w:t>
      </w:r>
    </w:p>
    <w:p w14:paraId="378C3A2B" w14:textId="77777777" w:rsidR="009C3288" w:rsidRPr="00570195" w:rsidRDefault="00000000" w:rsidP="00570195">
      <w:pPr>
        <w:spacing w:after="160" w:line="360" w:lineRule="auto"/>
        <w:ind w:left="720" w:hanging="720"/>
        <w:jc w:val="both"/>
        <w:rPr>
          <w:rFonts w:ascii="Times New Roman" w:hAnsi="Times New Roman" w:cs="Times New Roman"/>
        </w:rPr>
      </w:pPr>
      <w:r w:rsidRPr="00570195">
        <w:rPr>
          <w:rFonts w:ascii="Times New Roman" w:hAnsi="Times New Roman" w:cs="Times New Roman"/>
          <w:sz w:val="22"/>
          <w:szCs w:val="22"/>
        </w:rPr>
        <w:t>Siziba, S. and Hall, J.H. (2021) The evolution of the application of capital budgeting techniques in enterprises. Global Finance Journal, 47, p.100504.</w:t>
      </w:r>
    </w:p>
    <w:p w14:paraId="19A0657B" w14:textId="77777777" w:rsidR="009C3288" w:rsidRPr="00570195" w:rsidRDefault="00000000" w:rsidP="00570195">
      <w:pPr>
        <w:spacing w:after="160" w:line="360" w:lineRule="auto"/>
        <w:ind w:left="720" w:hanging="720"/>
        <w:jc w:val="both"/>
        <w:rPr>
          <w:rFonts w:ascii="Times New Roman" w:hAnsi="Times New Roman" w:cs="Times New Roman"/>
        </w:rPr>
      </w:pPr>
      <w:r w:rsidRPr="00570195">
        <w:rPr>
          <w:rFonts w:ascii="Times New Roman" w:hAnsi="Times New Roman" w:cs="Times New Roman"/>
          <w:sz w:val="22"/>
          <w:szCs w:val="22"/>
        </w:rPr>
        <w:t>Sureka, R., Kumar, S., Colombage, S. and Abedin, M.Z. (2022) Five decades of research on capital budgeting: a systematic review and future research agenda. Research in International Business and Finance, 60, p.101609.</w:t>
      </w:r>
    </w:p>
    <w:p w14:paraId="3961DBB4" w14:textId="77777777" w:rsidR="009C3288" w:rsidRPr="00570195" w:rsidRDefault="00000000" w:rsidP="00570195">
      <w:pPr>
        <w:spacing w:after="160" w:line="360" w:lineRule="auto"/>
        <w:ind w:left="720" w:hanging="720"/>
        <w:jc w:val="both"/>
        <w:rPr>
          <w:rFonts w:ascii="Times New Roman" w:hAnsi="Times New Roman" w:cs="Times New Roman"/>
        </w:rPr>
      </w:pPr>
      <w:r w:rsidRPr="00570195">
        <w:rPr>
          <w:rFonts w:ascii="Times New Roman" w:hAnsi="Times New Roman" w:cs="Times New Roman"/>
          <w:sz w:val="22"/>
          <w:szCs w:val="22"/>
        </w:rPr>
        <w:t>Wang, Y. (2024) Ethical considerations of AI in financial decision. Computing and Artificial Intelligence, 2(1), p.1290.</w:t>
      </w:r>
    </w:p>
    <w:p w14:paraId="7A364ED2"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rPr>
        <w:br w:type="page"/>
      </w:r>
    </w:p>
    <w:p w14:paraId="107AC49B" w14:textId="77777777" w:rsidR="009C3288" w:rsidRPr="00570195" w:rsidRDefault="00000000" w:rsidP="00570195">
      <w:pPr>
        <w:pStyle w:val="Heading1"/>
        <w:spacing w:line="360" w:lineRule="auto"/>
        <w:jc w:val="both"/>
        <w:rPr>
          <w:rFonts w:ascii="Times New Roman" w:hAnsi="Times New Roman" w:cs="Times New Roman"/>
        </w:rPr>
      </w:pPr>
      <w:bookmarkStart w:id="32" w:name="_Toc233486402"/>
      <w:r w:rsidRPr="00570195">
        <w:rPr>
          <w:rFonts w:ascii="Times New Roman" w:hAnsi="Times New Roman" w:cs="Times New Roman"/>
        </w:rPr>
        <w:t>Appendix A: Ratio Analysis and Balance Sheet Workings</w:t>
      </w:r>
      <w:bookmarkEnd w:id="32"/>
    </w:p>
    <w:p w14:paraId="50D51A97" w14:textId="7F5C35E6" w:rsidR="009C3288" w:rsidRPr="00570195" w:rsidRDefault="00000000" w:rsidP="00570195">
      <w:pPr>
        <w:spacing w:before="80" w:after="240" w:line="360" w:lineRule="auto"/>
        <w:jc w:val="both"/>
        <w:rPr>
          <w:rFonts w:ascii="Times New Roman" w:hAnsi="Times New Roman" w:cs="Times New Roman"/>
        </w:rPr>
      </w:pPr>
      <w:r w:rsidRPr="00570195">
        <w:rPr>
          <w:rFonts w:ascii="Times New Roman" w:hAnsi="Times New Roman" w:cs="Times New Roman"/>
          <w:i/>
          <w:iCs/>
          <w:sz w:val="20"/>
          <w:szCs w:val="20"/>
        </w:rPr>
        <w:t xml:space="preserve">Table A1. </w:t>
      </w:r>
      <w:r w:rsidR="00570195" w:rsidRPr="00570195">
        <w:rPr>
          <w:rFonts w:ascii="Times New Roman" w:hAnsi="Times New Roman" w:cs="Times New Roman"/>
          <w:i/>
          <w:iCs/>
          <w:sz w:val="20"/>
          <w:szCs w:val="20"/>
        </w:rPr>
        <w:t xml:space="preserve">Summary of the ratios over the next 5 years 2021-2025.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60"/>
        <w:gridCol w:w="1300"/>
        <w:gridCol w:w="1300"/>
        <w:gridCol w:w="1300"/>
        <w:gridCol w:w="1300"/>
        <w:gridCol w:w="1300"/>
      </w:tblGrid>
      <w:tr w:rsidR="009C3288" w:rsidRPr="00570195" w14:paraId="1EBE8B2B" w14:textId="77777777">
        <w:tc>
          <w:tcPr>
            <w:tcW w:w="286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1A69FA1C"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Ratio</w:t>
            </w:r>
          </w:p>
        </w:tc>
        <w:tc>
          <w:tcPr>
            <w:tcW w:w="130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6EACC32F"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2021</w:t>
            </w:r>
          </w:p>
        </w:tc>
        <w:tc>
          <w:tcPr>
            <w:tcW w:w="130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74C8D90F"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2022</w:t>
            </w:r>
          </w:p>
        </w:tc>
        <w:tc>
          <w:tcPr>
            <w:tcW w:w="130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583BFF5F"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2023</w:t>
            </w:r>
          </w:p>
        </w:tc>
        <w:tc>
          <w:tcPr>
            <w:tcW w:w="130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10C0C126"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2024</w:t>
            </w:r>
          </w:p>
        </w:tc>
        <w:tc>
          <w:tcPr>
            <w:tcW w:w="130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4DBE75EB"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2025</w:t>
            </w:r>
          </w:p>
        </w:tc>
      </w:tr>
      <w:tr w:rsidR="009C3288" w:rsidRPr="00570195" w14:paraId="5FEF5710" w14:textId="77777777">
        <w:tc>
          <w:tcPr>
            <w:tcW w:w="286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0EEDBF73"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Operating profit margin</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51D6558D"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17.0%</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269CD399"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16.1%</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696E5219"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23.1%</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485067CB"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21.1%</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4FAAA100"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23.1%</w:t>
            </w:r>
          </w:p>
        </w:tc>
      </w:tr>
      <w:tr w:rsidR="009C3288" w:rsidRPr="00570195" w14:paraId="500DACD0" w14:textId="77777777">
        <w:tc>
          <w:tcPr>
            <w:tcW w:w="286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BEBE763"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Net profit margin</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2418B45B"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9.1%</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62CBD668"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9.7%</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40ED3B55"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16.2%</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680A06C4"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12.8%</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63B273B4"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14.6%</w:t>
            </w:r>
          </w:p>
        </w:tc>
      </w:tr>
      <w:tr w:rsidR="009C3288" w:rsidRPr="00570195" w14:paraId="65558E2C" w14:textId="77777777">
        <w:tc>
          <w:tcPr>
            <w:tcW w:w="286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37AB7B09"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ROCE</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489BC915"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16.0%</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1B7E090B"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25.0%</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4D2D9960"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38.1%</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6961E26C"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36.9%</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6B382E4F"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36.9%</w:t>
            </w:r>
          </w:p>
        </w:tc>
      </w:tr>
      <w:tr w:rsidR="009C3288" w:rsidRPr="00570195" w14:paraId="7EFD60EA" w14:textId="77777777">
        <w:tc>
          <w:tcPr>
            <w:tcW w:w="286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1E3C2965"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ROA</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050CC164"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5.6%</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5563C78F"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8.9%</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6FEB958F"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16.5%</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3BD57C45"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13.2%</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080D3D82"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14.2%</w:t>
            </w:r>
          </w:p>
        </w:tc>
      </w:tr>
      <w:tr w:rsidR="009C3288" w:rsidRPr="00570195" w14:paraId="79B7439E" w14:textId="77777777">
        <w:tc>
          <w:tcPr>
            <w:tcW w:w="286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597BF627"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Current ratio</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039F2DD5"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1.27x</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0CADFAEE"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0.99x</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098038EF"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1.06x</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1714CC58"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0.97x</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13F00332"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0.98x</w:t>
            </w:r>
          </w:p>
        </w:tc>
      </w:tr>
      <w:tr w:rsidR="009C3288" w:rsidRPr="00570195" w14:paraId="1EAFBFEB" w14:textId="77777777">
        <w:tc>
          <w:tcPr>
            <w:tcW w:w="286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06A9F5EB"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Quick ratio</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414BF30A"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1.27x</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19B7A917"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0.99x</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35DEA4C2"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1.06x</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3963724E"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0.97x</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3724ED48"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0.98x</w:t>
            </w:r>
          </w:p>
        </w:tc>
      </w:tr>
      <w:tr w:rsidR="009C3288" w:rsidRPr="00570195" w14:paraId="5126514A" w14:textId="77777777">
        <w:tc>
          <w:tcPr>
            <w:tcW w:w="286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57626F44"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Cash ratio</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65355D2"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0.89x</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6105C7C"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0.57x</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6CB90358"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0.73x</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10C24261"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0.52x</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07793D03"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0.54x</w:t>
            </w:r>
          </w:p>
        </w:tc>
      </w:tr>
      <w:tr w:rsidR="009C3288" w:rsidRPr="00570195" w14:paraId="17D74CBD" w14:textId="77777777">
        <w:tc>
          <w:tcPr>
            <w:tcW w:w="286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46095C60"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Asset turnover</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0299634"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0.62x</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0674461A"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0.92x</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35B1F4A4"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1.02x</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0702FCF7"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1.04x</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18AF4ADA"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0.97x</w:t>
            </w:r>
          </w:p>
        </w:tc>
      </w:tr>
      <w:tr w:rsidR="009C3288" w:rsidRPr="00570195" w14:paraId="55B5A056" w14:textId="77777777">
        <w:tc>
          <w:tcPr>
            <w:tcW w:w="286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39A7A356"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Cash operating cycle (est., days)</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6F31E851"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95</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68AA4F9A"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78</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68BCC19A"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70</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2C5C180C"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66</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64135BCC"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63</w:t>
            </w:r>
          </w:p>
        </w:tc>
      </w:tr>
      <w:tr w:rsidR="009C3288" w:rsidRPr="00570195" w14:paraId="735F24BF" w14:textId="77777777">
        <w:tc>
          <w:tcPr>
            <w:tcW w:w="286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33D4ED6B"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Debt ratio (TL/TA)</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0AA4E41C"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131.3%</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2CFCF86"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138.1%</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29594137"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135.2%</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6027A66E"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148.6%</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6C28C6CA"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151.2%</w:t>
            </w:r>
          </w:p>
        </w:tc>
      </w:tr>
      <w:tr w:rsidR="009C3288" w:rsidRPr="00570195" w14:paraId="3805F6FF" w14:textId="77777777">
        <w:tc>
          <w:tcPr>
            <w:tcW w:w="286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2411ACD9"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Interest cover</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5520C53E"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3.4x</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653BAF24"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5.3x</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3DBAED31"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11.7x</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472A46F8"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5.8x</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3BF16D96"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5.9x</w:t>
            </w:r>
          </w:p>
        </w:tc>
      </w:tr>
      <w:tr w:rsidR="009C3288" w:rsidRPr="00570195" w14:paraId="645C53BC" w14:textId="77777777">
        <w:tc>
          <w:tcPr>
            <w:tcW w:w="286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57E176DE"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Basic EPS (cents)</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F9A0181"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145.4</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5238B06B"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207.2</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63D4CAC4"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443.8</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573AF7F"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389.6</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220835C"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490.9</w:t>
            </w:r>
          </w:p>
        </w:tc>
      </w:tr>
      <w:tr w:rsidR="009C3288" w:rsidRPr="00570195" w14:paraId="172E5C1E" w14:textId="77777777">
        <w:tc>
          <w:tcPr>
            <w:tcW w:w="286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4505421E"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Operating cash flow ratio</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5C6452C"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0.39x</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5258A5BD"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0.38x</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2DDB2E22"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0.51x</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4C85AC76"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0.38x</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3F360A1A"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0.43x</w:t>
            </w:r>
          </w:p>
        </w:tc>
      </w:tr>
    </w:tbl>
    <w:p w14:paraId="108E49BD" w14:textId="0F8CC007" w:rsidR="009C3288" w:rsidRPr="00570195" w:rsidRDefault="00570195" w:rsidP="00570195">
      <w:pPr>
        <w:spacing w:before="80" w:after="240" w:line="360" w:lineRule="auto"/>
        <w:jc w:val="both"/>
        <w:rPr>
          <w:rFonts w:ascii="Times New Roman" w:hAnsi="Times New Roman" w:cs="Times New Roman"/>
        </w:rPr>
      </w:pPr>
      <w:r w:rsidRPr="00570195">
        <w:rPr>
          <w:rFonts w:ascii="Times New Roman" w:hAnsi="Times New Roman" w:cs="Times New Roman"/>
          <w:sz w:val="20"/>
          <w:szCs w:val="20"/>
        </w:rPr>
        <w:br/>
      </w:r>
      <w:r w:rsidRPr="00570195">
        <w:rPr>
          <w:rFonts w:ascii="Times New Roman" w:hAnsi="Times New Roman" w:cs="Times New Roman"/>
          <w:i/>
          <w:iCs/>
          <w:sz w:val="20"/>
          <w:szCs w:val="20"/>
        </w:rPr>
        <w:t xml:space="preserve">Table A2. Group summary of financial position ($m), 2020-2025.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00"/>
        <w:gridCol w:w="1210"/>
        <w:gridCol w:w="1210"/>
        <w:gridCol w:w="1210"/>
        <w:gridCol w:w="1210"/>
        <w:gridCol w:w="1210"/>
        <w:gridCol w:w="1210"/>
      </w:tblGrid>
      <w:tr w:rsidR="009C3288" w:rsidRPr="00570195" w14:paraId="46827F5B" w14:textId="77777777">
        <w:tc>
          <w:tcPr>
            <w:tcW w:w="210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3DAF8C09" w14:textId="77777777" w:rsidR="009C3288" w:rsidRPr="00570195" w:rsidRDefault="009C3288" w:rsidP="00570195">
            <w:pPr>
              <w:spacing w:line="360" w:lineRule="auto"/>
              <w:jc w:val="both"/>
              <w:rPr>
                <w:rFonts w:ascii="Times New Roman" w:hAnsi="Times New Roman" w:cs="Times New Roman"/>
              </w:rPr>
            </w:pPr>
          </w:p>
        </w:tc>
        <w:tc>
          <w:tcPr>
            <w:tcW w:w="121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129C0DD6"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2020</w:t>
            </w:r>
          </w:p>
        </w:tc>
        <w:tc>
          <w:tcPr>
            <w:tcW w:w="121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07CB990C"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2021</w:t>
            </w:r>
          </w:p>
        </w:tc>
        <w:tc>
          <w:tcPr>
            <w:tcW w:w="121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28BB0DB8"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2022</w:t>
            </w:r>
          </w:p>
        </w:tc>
        <w:tc>
          <w:tcPr>
            <w:tcW w:w="121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2B0A13B4"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2023</w:t>
            </w:r>
          </w:p>
        </w:tc>
        <w:tc>
          <w:tcPr>
            <w:tcW w:w="121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3CA29B49"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2024</w:t>
            </w:r>
          </w:p>
        </w:tc>
        <w:tc>
          <w:tcPr>
            <w:tcW w:w="121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452C1084"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2025</w:t>
            </w:r>
          </w:p>
        </w:tc>
      </w:tr>
      <w:tr w:rsidR="009C3288" w:rsidRPr="00570195" w14:paraId="37CB60F1" w14:textId="77777777">
        <w:tc>
          <w:tcPr>
            <w:tcW w:w="21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175C9303"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Total assets</w:t>
            </w:r>
          </w:p>
        </w:tc>
        <w:tc>
          <w:tcPr>
            <w:tcW w:w="121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5580A278"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5,039</w:t>
            </w:r>
          </w:p>
        </w:tc>
        <w:tc>
          <w:tcPr>
            <w:tcW w:w="121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42E5C144"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4,716</w:t>
            </w:r>
          </w:p>
        </w:tc>
        <w:tc>
          <w:tcPr>
            <w:tcW w:w="121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03342838"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4,216</w:t>
            </w:r>
          </w:p>
        </w:tc>
        <w:tc>
          <w:tcPr>
            <w:tcW w:w="121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02F7B002"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4,550</w:t>
            </w:r>
          </w:p>
        </w:tc>
        <w:tc>
          <w:tcPr>
            <w:tcW w:w="121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327F107"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4,748</w:t>
            </w:r>
          </w:p>
        </w:tc>
        <w:tc>
          <w:tcPr>
            <w:tcW w:w="121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5E568223"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5,345</w:t>
            </w:r>
          </w:p>
        </w:tc>
      </w:tr>
      <w:tr w:rsidR="009C3288" w:rsidRPr="00570195" w14:paraId="40E8291D" w14:textId="77777777">
        <w:tc>
          <w:tcPr>
            <w:tcW w:w="21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1052CA6E"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Total liabilities</w:t>
            </w:r>
          </w:p>
        </w:tc>
        <w:tc>
          <w:tcPr>
            <w:tcW w:w="121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532C9F5F"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6,888</w:t>
            </w:r>
          </w:p>
        </w:tc>
        <w:tc>
          <w:tcPr>
            <w:tcW w:w="121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1EAEF4D"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6,190</w:t>
            </w:r>
          </w:p>
        </w:tc>
        <w:tc>
          <w:tcPr>
            <w:tcW w:w="121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5CEB5D79"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5,824</w:t>
            </w:r>
          </w:p>
        </w:tc>
        <w:tc>
          <w:tcPr>
            <w:tcW w:w="121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4C6DD894"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6,150</w:t>
            </w:r>
          </w:p>
        </w:tc>
        <w:tc>
          <w:tcPr>
            <w:tcW w:w="121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2D1A75A4"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7,056</w:t>
            </w:r>
          </w:p>
        </w:tc>
        <w:tc>
          <w:tcPr>
            <w:tcW w:w="121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6B1FE02E"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8,081</w:t>
            </w:r>
          </w:p>
        </w:tc>
      </w:tr>
      <w:tr w:rsidR="009C3288" w:rsidRPr="00570195" w14:paraId="3D9D5BF7" w14:textId="77777777">
        <w:tc>
          <w:tcPr>
            <w:tcW w:w="21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257E26A9"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Total equity</w:t>
            </w:r>
          </w:p>
        </w:tc>
        <w:tc>
          <w:tcPr>
            <w:tcW w:w="121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39DF529"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(1,849)</w:t>
            </w:r>
          </w:p>
        </w:tc>
        <w:tc>
          <w:tcPr>
            <w:tcW w:w="121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0DD328F3"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(1,474)</w:t>
            </w:r>
          </w:p>
        </w:tc>
        <w:tc>
          <w:tcPr>
            <w:tcW w:w="121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8D699E9"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(1,608)</w:t>
            </w:r>
          </w:p>
        </w:tc>
        <w:tc>
          <w:tcPr>
            <w:tcW w:w="121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5BDB8338"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(1,600)</w:t>
            </w:r>
          </w:p>
        </w:tc>
        <w:tc>
          <w:tcPr>
            <w:tcW w:w="121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0F45D3B0"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(2,308)</w:t>
            </w:r>
          </w:p>
        </w:tc>
        <w:tc>
          <w:tcPr>
            <w:tcW w:w="121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04D6C056"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(2,736)</w:t>
            </w:r>
          </w:p>
        </w:tc>
      </w:tr>
      <w:tr w:rsidR="009C3288" w:rsidRPr="00570195" w14:paraId="781B1E15" w14:textId="77777777">
        <w:tc>
          <w:tcPr>
            <w:tcW w:w="21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58DDD976"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Cash and equivalents</w:t>
            </w:r>
          </w:p>
        </w:tc>
        <w:tc>
          <w:tcPr>
            <w:tcW w:w="121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51EC6FB0"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1,675</w:t>
            </w:r>
          </w:p>
        </w:tc>
        <w:tc>
          <w:tcPr>
            <w:tcW w:w="121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6859B62"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1,450</w:t>
            </w:r>
          </w:p>
        </w:tc>
        <w:tc>
          <w:tcPr>
            <w:tcW w:w="121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EA706BE"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976</w:t>
            </w:r>
          </w:p>
        </w:tc>
        <w:tc>
          <w:tcPr>
            <w:tcW w:w="121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68BAA8DF"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1,278</w:t>
            </w:r>
          </w:p>
        </w:tc>
        <w:tc>
          <w:tcPr>
            <w:tcW w:w="121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5BED6AF8"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1,008</w:t>
            </w:r>
          </w:p>
        </w:tc>
        <w:tc>
          <w:tcPr>
            <w:tcW w:w="121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3E2DA4E1"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1,129</w:t>
            </w:r>
          </w:p>
        </w:tc>
      </w:tr>
    </w:tbl>
    <w:p w14:paraId="435DFD5F" w14:textId="0146506C" w:rsidR="009C3288" w:rsidRPr="00570195" w:rsidRDefault="009C3288" w:rsidP="00570195">
      <w:pPr>
        <w:spacing w:line="360" w:lineRule="auto"/>
        <w:jc w:val="both"/>
        <w:rPr>
          <w:rFonts w:ascii="Times New Roman" w:hAnsi="Times New Roman" w:cs="Times New Roman"/>
        </w:rPr>
      </w:pPr>
    </w:p>
    <w:p w14:paraId="07CDF52A" w14:textId="77777777" w:rsidR="009C3288" w:rsidRPr="00570195" w:rsidRDefault="00000000" w:rsidP="00570195">
      <w:pPr>
        <w:pStyle w:val="Heading1"/>
        <w:spacing w:line="360" w:lineRule="auto"/>
        <w:jc w:val="both"/>
        <w:rPr>
          <w:rFonts w:ascii="Times New Roman" w:hAnsi="Times New Roman" w:cs="Times New Roman"/>
        </w:rPr>
      </w:pPr>
      <w:bookmarkStart w:id="33" w:name="_Toc233486403"/>
      <w:r w:rsidRPr="00570195">
        <w:rPr>
          <w:rFonts w:ascii="Times New Roman" w:hAnsi="Times New Roman" w:cs="Times New Roman"/>
        </w:rPr>
        <w:t>Appendix B: Investment Appraisal Workings</w:t>
      </w:r>
      <w:bookmarkEnd w:id="33"/>
    </w:p>
    <w:p w14:paraId="034302F6" w14:textId="25AF8F9B" w:rsidR="009C3288" w:rsidRPr="00570195" w:rsidRDefault="00000000" w:rsidP="00570195">
      <w:pPr>
        <w:spacing w:before="80" w:after="240" w:line="360" w:lineRule="auto"/>
        <w:jc w:val="both"/>
        <w:rPr>
          <w:rFonts w:ascii="Times New Roman" w:hAnsi="Times New Roman" w:cs="Times New Roman"/>
        </w:rPr>
      </w:pPr>
      <w:r w:rsidRPr="00570195">
        <w:rPr>
          <w:rFonts w:ascii="Times New Roman" w:hAnsi="Times New Roman" w:cs="Times New Roman"/>
          <w:i/>
          <w:iCs/>
          <w:sz w:val="20"/>
          <w:szCs w:val="20"/>
        </w:rPr>
        <w:t xml:space="preserve">Table B1. </w:t>
      </w:r>
      <w:r w:rsidR="00570195" w:rsidRPr="00570195">
        <w:rPr>
          <w:rFonts w:ascii="Times New Roman" w:hAnsi="Times New Roman" w:cs="Times New Roman"/>
          <w:i/>
          <w:iCs/>
          <w:sz w:val="20"/>
          <w:szCs w:val="20"/>
        </w:rPr>
        <w:t xml:space="preserve">Discounted cash flow workings Projects A-C (£m, 8% discount rate). </w:t>
      </w:r>
    </w:p>
    <w:tbl>
      <w:tblPr>
        <w:tblW w:w="9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1180"/>
        <w:gridCol w:w="1180"/>
        <w:gridCol w:w="1180"/>
        <w:gridCol w:w="1180"/>
        <w:gridCol w:w="1180"/>
        <w:gridCol w:w="1180"/>
        <w:gridCol w:w="1180"/>
      </w:tblGrid>
      <w:tr w:rsidR="009C3288" w:rsidRPr="00570195" w14:paraId="538E9B55" w14:textId="77777777">
        <w:tc>
          <w:tcPr>
            <w:tcW w:w="150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3CD53B69" w14:textId="77777777" w:rsidR="009C3288" w:rsidRPr="00570195" w:rsidRDefault="009C3288" w:rsidP="00570195">
            <w:pPr>
              <w:spacing w:line="360" w:lineRule="auto"/>
              <w:jc w:val="both"/>
              <w:rPr>
                <w:rFonts w:ascii="Times New Roman" w:hAnsi="Times New Roman" w:cs="Times New Roman"/>
              </w:rPr>
            </w:pPr>
          </w:p>
        </w:tc>
        <w:tc>
          <w:tcPr>
            <w:tcW w:w="118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5B54ECC8"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Year 0</w:t>
            </w:r>
          </w:p>
        </w:tc>
        <w:tc>
          <w:tcPr>
            <w:tcW w:w="118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640CA9FE"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Year 1</w:t>
            </w:r>
          </w:p>
        </w:tc>
        <w:tc>
          <w:tcPr>
            <w:tcW w:w="118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54E26058"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Year 2</w:t>
            </w:r>
          </w:p>
        </w:tc>
        <w:tc>
          <w:tcPr>
            <w:tcW w:w="118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0B96FF77"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Year 3</w:t>
            </w:r>
          </w:p>
        </w:tc>
        <w:tc>
          <w:tcPr>
            <w:tcW w:w="118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3AD3367F"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Year 4</w:t>
            </w:r>
          </w:p>
        </w:tc>
        <w:tc>
          <w:tcPr>
            <w:tcW w:w="118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53DE7DCD"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Year 5</w:t>
            </w:r>
          </w:p>
        </w:tc>
        <w:tc>
          <w:tcPr>
            <w:tcW w:w="118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198D0F3F"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NPV</w:t>
            </w:r>
          </w:p>
        </w:tc>
      </w:tr>
      <w:tr w:rsidR="009C3288" w:rsidRPr="00570195" w14:paraId="296A9E11" w14:textId="77777777">
        <w:tc>
          <w:tcPr>
            <w:tcW w:w="15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20E9F59B"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Project A - DCF</w:t>
            </w:r>
          </w:p>
        </w:tc>
        <w:tc>
          <w:tcPr>
            <w:tcW w:w="11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4A7FFA19"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(50.00)</w:t>
            </w:r>
          </w:p>
        </w:tc>
        <w:tc>
          <w:tcPr>
            <w:tcW w:w="11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2AAA732A"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9.26</w:t>
            </w:r>
          </w:p>
        </w:tc>
        <w:tc>
          <w:tcPr>
            <w:tcW w:w="11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6810E32E"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10.29</w:t>
            </w:r>
          </w:p>
        </w:tc>
        <w:tc>
          <w:tcPr>
            <w:tcW w:w="11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6AE83C24"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11.11</w:t>
            </w:r>
          </w:p>
        </w:tc>
        <w:tc>
          <w:tcPr>
            <w:tcW w:w="11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6A582883"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7.35</w:t>
            </w:r>
          </w:p>
        </w:tc>
        <w:tc>
          <w:tcPr>
            <w:tcW w:w="11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5317181C"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5.44</w:t>
            </w:r>
          </w:p>
        </w:tc>
        <w:tc>
          <w:tcPr>
            <w:tcW w:w="11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3804C0F1"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(6.54)</w:t>
            </w:r>
          </w:p>
        </w:tc>
      </w:tr>
      <w:tr w:rsidR="009C3288" w:rsidRPr="00570195" w14:paraId="08AF540B" w14:textId="77777777">
        <w:tc>
          <w:tcPr>
            <w:tcW w:w="15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A3EB4B5"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Project B - DCF</w:t>
            </w:r>
          </w:p>
        </w:tc>
        <w:tc>
          <w:tcPr>
            <w:tcW w:w="11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52A78F58"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(50.00)</w:t>
            </w:r>
          </w:p>
        </w:tc>
        <w:tc>
          <w:tcPr>
            <w:tcW w:w="11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01330C19"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10.19</w:t>
            </w:r>
          </w:p>
        </w:tc>
        <w:tc>
          <w:tcPr>
            <w:tcW w:w="11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1E63C87E"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9.43</w:t>
            </w:r>
          </w:p>
        </w:tc>
        <w:tc>
          <w:tcPr>
            <w:tcW w:w="11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50F4018"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8.73</w:t>
            </w:r>
          </w:p>
        </w:tc>
        <w:tc>
          <w:tcPr>
            <w:tcW w:w="11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651AD882"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8.09</w:t>
            </w:r>
          </w:p>
        </w:tc>
        <w:tc>
          <w:tcPr>
            <w:tcW w:w="11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51F0D827"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7.49</w:t>
            </w:r>
          </w:p>
        </w:tc>
        <w:tc>
          <w:tcPr>
            <w:tcW w:w="11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1FA143B6"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(6.08)</w:t>
            </w:r>
          </w:p>
        </w:tc>
      </w:tr>
      <w:tr w:rsidR="009C3288" w:rsidRPr="00570195" w14:paraId="6BF2C9EB" w14:textId="77777777">
        <w:tc>
          <w:tcPr>
            <w:tcW w:w="15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4937E2F1"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Project C - DCF</w:t>
            </w:r>
          </w:p>
        </w:tc>
        <w:tc>
          <w:tcPr>
            <w:tcW w:w="11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000A1331"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(50.00)</w:t>
            </w:r>
          </w:p>
        </w:tc>
        <w:tc>
          <w:tcPr>
            <w:tcW w:w="11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1D8EF7E6"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4.63</w:t>
            </w:r>
          </w:p>
        </w:tc>
        <w:tc>
          <w:tcPr>
            <w:tcW w:w="11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10C8F5C5"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8.57</w:t>
            </w:r>
          </w:p>
        </w:tc>
        <w:tc>
          <w:tcPr>
            <w:tcW w:w="11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0889450F"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15.88</w:t>
            </w:r>
          </w:p>
        </w:tc>
        <w:tc>
          <w:tcPr>
            <w:tcW w:w="11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152B16A9"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18.38</w:t>
            </w:r>
          </w:p>
        </w:tc>
        <w:tc>
          <w:tcPr>
            <w:tcW w:w="11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31110C70"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3.40</w:t>
            </w:r>
          </w:p>
        </w:tc>
        <w:tc>
          <w:tcPr>
            <w:tcW w:w="118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617039E"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0.86</w:t>
            </w:r>
          </w:p>
        </w:tc>
      </w:tr>
    </w:tbl>
    <w:p w14:paraId="5C393095" w14:textId="77777777" w:rsidR="009C3288" w:rsidRPr="00570195" w:rsidRDefault="00000000" w:rsidP="00570195">
      <w:pPr>
        <w:spacing w:after="200" w:line="360" w:lineRule="auto"/>
        <w:jc w:val="both"/>
        <w:rPr>
          <w:rFonts w:ascii="Times New Roman" w:hAnsi="Times New Roman" w:cs="Times New Roman"/>
        </w:rPr>
      </w:pPr>
      <w:r w:rsidRPr="00570195">
        <w:rPr>
          <w:rFonts w:ascii="Times New Roman" w:hAnsi="Times New Roman" w:cs="Times New Roman"/>
          <w:sz w:val="20"/>
          <w:szCs w:val="20"/>
        </w:rPr>
        <w:t>Discount factors (8%): Year 0 = 1.000; Year 1 = 0.926; Year 2 = 0.857; Year 3 = 0.794; Year 4 = 0.735; Year 5 = 0.681.</w:t>
      </w:r>
    </w:p>
    <w:p w14:paraId="1909B9D8" w14:textId="5B24F696" w:rsidR="009C3288" w:rsidRPr="00570195" w:rsidRDefault="00000000" w:rsidP="00570195">
      <w:pPr>
        <w:spacing w:before="80" w:after="240" w:line="360" w:lineRule="auto"/>
        <w:jc w:val="both"/>
        <w:rPr>
          <w:rFonts w:ascii="Times New Roman" w:hAnsi="Times New Roman" w:cs="Times New Roman"/>
        </w:rPr>
      </w:pPr>
      <w:r w:rsidRPr="00570195">
        <w:rPr>
          <w:rFonts w:ascii="Times New Roman" w:hAnsi="Times New Roman" w:cs="Times New Roman"/>
          <w:i/>
          <w:iCs/>
          <w:sz w:val="20"/>
          <w:szCs w:val="20"/>
        </w:rPr>
        <w:t xml:space="preserve">Table B2. Capital rationing ranking by Profitability Index.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60"/>
        <w:gridCol w:w="2400"/>
        <w:gridCol w:w="1600"/>
        <w:gridCol w:w="1900"/>
        <w:gridCol w:w="1300"/>
      </w:tblGrid>
      <w:tr w:rsidR="009C3288" w:rsidRPr="00570195" w14:paraId="7A1F0ECA" w14:textId="77777777">
        <w:tc>
          <w:tcPr>
            <w:tcW w:w="216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252B54A9"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Project</w:t>
            </w:r>
          </w:p>
        </w:tc>
        <w:tc>
          <w:tcPr>
            <w:tcW w:w="240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0A5B8BEC"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Initial investment (£m)</w:t>
            </w:r>
          </w:p>
        </w:tc>
        <w:tc>
          <w:tcPr>
            <w:tcW w:w="160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75139CDF"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NPV (£m)</w:t>
            </w:r>
          </w:p>
        </w:tc>
        <w:tc>
          <w:tcPr>
            <w:tcW w:w="190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0C760370"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Profitability Index</w:t>
            </w:r>
          </w:p>
        </w:tc>
        <w:tc>
          <w:tcPr>
            <w:tcW w:w="1300" w:type="dxa"/>
            <w:tcBorders>
              <w:top w:val="single" w:sz="1" w:space="0" w:color="999999"/>
              <w:left w:val="single" w:sz="1" w:space="0" w:color="999999"/>
              <w:bottom w:val="single" w:sz="1" w:space="0" w:color="999999"/>
              <w:right w:val="single" w:sz="1" w:space="0" w:color="999999"/>
            </w:tcBorders>
            <w:shd w:val="clear" w:color="auto" w:fill="E8E8E8"/>
            <w:tcMar>
              <w:top w:w="80" w:type="dxa"/>
              <w:left w:w="100" w:type="dxa"/>
              <w:bottom w:w="80" w:type="dxa"/>
              <w:right w:w="100" w:type="dxa"/>
            </w:tcMar>
            <w:vAlign w:val="center"/>
          </w:tcPr>
          <w:p w14:paraId="266E8CDF"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b/>
                <w:bCs/>
                <w:sz w:val="20"/>
                <w:szCs w:val="20"/>
              </w:rPr>
              <w:t>Rank</w:t>
            </w:r>
          </w:p>
        </w:tc>
      </w:tr>
      <w:tr w:rsidR="009C3288" w:rsidRPr="00570195" w14:paraId="54E84FAE" w14:textId="77777777">
        <w:tc>
          <w:tcPr>
            <w:tcW w:w="216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14875C0A"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Project C</w:t>
            </w:r>
          </w:p>
        </w:tc>
        <w:tc>
          <w:tcPr>
            <w:tcW w:w="24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27E29A77"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50</w:t>
            </w:r>
          </w:p>
        </w:tc>
        <w:tc>
          <w:tcPr>
            <w:tcW w:w="16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3B4C8EDD"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0.86</w:t>
            </w:r>
          </w:p>
        </w:tc>
        <w:tc>
          <w:tcPr>
            <w:tcW w:w="19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031180A4"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1.02x</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5180CA93"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1</w:t>
            </w:r>
          </w:p>
        </w:tc>
      </w:tr>
      <w:tr w:rsidR="009C3288" w:rsidRPr="00570195" w14:paraId="2D096FB3" w14:textId="77777777">
        <w:tc>
          <w:tcPr>
            <w:tcW w:w="216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6F45B4BA"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Project B</w:t>
            </w:r>
          </w:p>
        </w:tc>
        <w:tc>
          <w:tcPr>
            <w:tcW w:w="24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603340B3"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50</w:t>
            </w:r>
          </w:p>
        </w:tc>
        <w:tc>
          <w:tcPr>
            <w:tcW w:w="16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2945FA0E"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(6.08)</w:t>
            </w:r>
          </w:p>
        </w:tc>
        <w:tc>
          <w:tcPr>
            <w:tcW w:w="19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C96BB8E"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0.88x</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3DA639F0"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2</w:t>
            </w:r>
          </w:p>
        </w:tc>
      </w:tr>
      <w:tr w:rsidR="009C3288" w:rsidRPr="00570195" w14:paraId="1AAEF4D6" w14:textId="77777777">
        <w:tc>
          <w:tcPr>
            <w:tcW w:w="216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5E0EF2C1"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Project A</w:t>
            </w:r>
          </w:p>
        </w:tc>
        <w:tc>
          <w:tcPr>
            <w:tcW w:w="24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E83AFF3"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50</w:t>
            </w:r>
          </w:p>
        </w:tc>
        <w:tc>
          <w:tcPr>
            <w:tcW w:w="16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1D01F551"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(6.54)</w:t>
            </w:r>
          </w:p>
        </w:tc>
        <w:tc>
          <w:tcPr>
            <w:tcW w:w="19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6F2CD799"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0.87x</w:t>
            </w:r>
          </w:p>
        </w:tc>
        <w:tc>
          <w:tcPr>
            <w:tcW w:w="130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26580B1C" w14:textId="77777777" w:rsidR="009C3288" w:rsidRPr="00570195" w:rsidRDefault="00000000" w:rsidP="00570195">
            <w:pPr>
              <w:spacing w:line="360" w:lineRule="auto"/>
              <w:jc w:val="both"/>
              <w:rPr>
                <w:rFonts w:ascii="Times New Roman" w:hAnsi="Times New Roman" w:cs="Times New Roman"/>
              </w:rPr>
            </w:pPr>
            <w:r w:rsidRPr="00570195">
              <w:rPr>
                <w:rFonts w:ascii="Times New Roman" w:hAnsi="Times New Roman" w:cs="Times New Roman"/>
                <w:sz w:val="20"/>
                <w:szCs w:val="20"/>
              </w:rPr>
              <w:t>3</w:t>
            </w:r>
          </w:p>
        </w:tc>
      </w:tr>
    </w:tbl>
    <w:p w14:paraId="4937F998" w14:textId="774AFCE9" w:rsidR="009C3288" w:rsidRPr="00570195" w:rsidRDefault="009C3288" w:rsidP="00570195">
      <w:pPr>
        <w:spacing w:after="200" w:line="360" w:lineRule="auto"/>
        <w:jc w:val="both"/>
        <w:rPr>
          <w:rFonts w:ascii="Times New Roman" w:hAnsi="Times New Roman" w:cs="Times New Roman"/>
        </w:rPr>
      </w:pPr>
    </w:p>
    <w:sectPr w:rsidR="009C3288" w:rsidRPr="00570195">
      <w:headerReference w:type="default" r:id="rId9"/>
      <w:footerReference w:type="default" r:id="rId10"/>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2BCEA4" w14:textId="77777777" w:rsidR="00084D9A" w:rsidRDefault="00084D9A">
      <w:r>
        <w:separator/>
      </w:r>
    </w:p>
  </w:endnote>
  <w:endnote w:type="continuationSeparator" w:id="0">
    <w:p w14:paraId="61114313" w14:textId="77777777" w:rsidR="00084D9A" w:rsidRDefault="00084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9E741C" w14:textId="77777777" w:rsidR="009C3288" w:rsidRDefault="00000000">
    <w:pPr>
      <w:jc w:val="center"/>
    </w:pPr>
    <w:r>
      <w:rPr>
        <w:sz w:val="20"/>
        <w:szCs w:val="20"/>
      </w:rPr>
      <w:t xml:space="preserve">Page </w:t>
    </w:r>
    <w:r>
      <w:rPr>
        <w:sz w:val="20"/>
        <w:szCs w:val="20"/>
      </w:rPr>
      <w:fldChar w:fldCharType="begin"/>
    </w:r>
    <w:r>
      <w:rPr>
        <w:sz w:val="20"/>
        <w:szCs w:val="20"/>
      </w:rPr>
      <w:instrText>PAGE</w:instrText>
    </w:r>
    <w:r>
      <w:rPr>
        <w:sz w:val="20"/>
        <w:szCs w:val="20"/>
      </w:rPr>
      <w:fldChar w:fldCharType="separate"/>
    </w:r>
    <w:r w:rsidR="001872DF">
      <w:rPr>
        <w:noProof/>
        <w:sz w:val="20"/>
        <w:szCs w:val="20"/>
      </w:rPr>
      <w:t>1</w:t>
    </w:r>
    <w:r>
      <w:rPr>
        <w:sz w:val="20"/>
        <w:szCs w:val="20"/>
      </w:rPr>
      <w:fldChar w:fldCharType="end"/>
    </w:r>
    <w:r>
      <w:rPr>
        <w:sz w:val="20"/>
        <w:szCs w:val="20"/>
      </w:rPr>
      <w:t xml:space="preserve"> of </w:t>
    </w:r>
    <w:r>
      <w:rPr>
        <w:sz w:val="20"/>
        <w:szCs w:val="20"/>
      </w:rPr>
      <w:fldChar w:fldCharType="begin"/>
    </w:r>
    <w:r>
      <w:rPr>
        <w:sz w:val="20"/>
        <w:szCs w:val="20"/>
      </w:rPr>
      <w:instrText>NUMPAGES</w:instrText>
    </w:r>
    <w:r>
      <w:rPr>
        <w:sz w:val="20"/>
        <w:szCs w:val="20"/>
      </w:rPr>
      <w:fldChar w:fldCharType="separate"/>
    </w:r>
    <w:r w:rsidR="001872DF">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2975BA" w14:textId="77777777" w:rsidR="00084D9A" w:rsidRDefault="00084D9A">
      <w:r>
        <w:separator/>
      </w:r>
    </w:p>
  </w:footnote>
  <w:footnote w:type="continuationSeparator" w:id="0">
    <w:p w14:paraId="391CC856" w14:textId="77777777" w:rsidR="00084D9A" w:rsidRDefault="00084D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CBACD9" w14:textId="45E69629" w:rsidR="009C3288" w:rsidRDefault="009C3288">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5052BE0"/>
    <w:multiLevelType w:val="hybridMultilevel"/>
    <w:tmpl w:val="D75805E6"/>
    <w:lvl w:ilvl="0" w:tplc="8138DBD0">
      <w:start w:val="1"/>
      <w:numFmt w:val="bullet"/>
      <w:lvlText w:val="•"/>
      <w:lvlJc w:val="left"/>
      <w:pPr>
        <w:ind w:left="720" w:hanging="360"/>
      </w:pPr>
    </w:lvl>
    <w:lvl w:ilvl="1" w:tplc="4EEAB7A0">
      <w:numFmt w:val="decimal"/>
      <w:lvlText w:val=""/>
      <w:lvlJc w:val="left"/>
    </w:lvl>
    <w:lvl w:ilvl="2" w:tplc="F6B2AB2A">
      <w:numFmt w:val="decimal"/>
      <w:lvlText w:val=""/>
      <w:lvlJc w:val="left"/>
    </w:lvl>
    <w:lvl w:ilvl="3" w:tplc="FEAEFB90">
      <w:numFmt w:val="decimal"/>
      <w:lvlText w:val=""/>
      <w:lvlJc w:val="left"/>
    </w:lvl>
    <w:lvl w:ilvl="4" w:tplc="45123E48">
      <w:numFmt w:val="decimal"/>
      <w:lvlText w:val=""/>
      <w:lvlJc w:val="left"/>
    </w:lvl>
    <w:lvl w:ilvl="5" w:tplc="D54C59D4">
      <w:numFmt w:val="decimal"/>
      <w:lvlText w:val=""/>
      <w:lvlJc w:val="left"/>
    </w:lvl>
    <w:lvl w:ilvl="6" w:tplc="AC70DDFA">
      <w:numFmt w:val="decimal"/>
      <w:lvlText w:val=""/>
      <w:lvlJc w:val="left"/>
    </w:lvl>
    <w:lvl w:ilvl="7" w:tplc="76064694">
      <w:numFmt w:val="decimal"/>
      <w:lvlText w:val=""/>
      <w:lvlJc w:val="left"/>
    </w:lvl>
    <w:lvl w:ilvl="8" w:tplc="15223E6C">
      <w:numFmt w:val="decimal"/>
      <w:lvlText w:val=""/>
      <w:lvlJc w:val="left"/>
    </w:lvl>
  </w:abstractNum>
  <w:abstractNum w:abstractNumId="1" w15:restartNumberingAfterBreak="0">
    <w:nsid w:val="6C107C0B"/>
    <w:multiLevelType w:val="hybridMultilevel"/>
    <w:tmpl w:val="13EE1430"/>
    <w:lvl w:ilvl="0" w:tplc="D1507C4C">
      <w:start w:val="1"/>
      <w:numFmt w:val="bullet"/>
      <w:lvlText w:val="●"/>
      <w:lvlJc w:val="left"/>
      <w:pPr>
        <w:ind w:left="720" w:hanging="360"/>
      </w:pPr>
    </w:lvl>
    <w:lvl w:ilvl="1" w:tplc="F0BA9358">
      <w:start w:val="1"/>
      <w:numFmt w:val="bullet"/>
      <w:lvlText w:val="○"/>
      <w:lvlJc w:val="left"/>
      <w:pPr>
        <w:ind w:left="1440" w:hanging="360"/>
      </w:pPr>
    </w:lvl>
    <w:lvl w:ilvl="2" w:tplc="2BB2D924">
      <w:start w:val="1"/>
      <w:numFmt w:val="bullet"/>
      <w:lvlText w:val="■"/>
      <w:lvlJc w:val="left"/>
      <w:pPr>
        <w:ind w:left="2160" w:hanging="360"/>
      </w:pPr>
    </w:lvl>
    <w:lvl w:ilvl="3" w:tplc="DAF6A982">
      <w:start w:val="1"/>
      <w:numFmt w:val="bullet"/>
      <w:lvlText w:val="●"/>
      <w:lvlJc w:val="left"/>
      <w:pPr>
        <w:ind w:left="2880" w:hanging="360"/>
      </w:pPr>
    </w:lvl>
    <w:lvl w:ilvl="4" w:tplc="730C356C">
      <w:start w:val="1"/>
      <w:numFmt w:val="bullet"/>
      <w:lvlText w:val="○"/>
      <w:lvlJc w:val="left"/>
      <w:pPr>
        <w:ind w:left="3600" w:hanging="360"/>
      </w:pPr>
    </w:lvl>
    <w:lvl w:ilvl="5" w:tplc="E56019CC">
      <w:start w:val="1"/>
      <w:numFmt w:val="bullet"/>
      <w:lvlText w:val="■"/>
      <w:lvlJc w:val="left"/>
      <w:pPr>
        <w:ind w:left="4320" w:hanging="360"/>
      </w:pPr>
    </w:lvl>
    <w:lvl w:ilvl="6" w:tplc="F13AFDCA">
      <w:start w:val="1"/>
      <w:numFmt w:val="bullet"/>
      <w:lvlText w:val="●"/>
      <w:lvlJc w:val="left"/>
      <w:pPr>
        <w:ind w:left="5040" w:hanging="360"/>
      </w:pPr>
    </w:lvl>
    <w:lvl w:ilvl="7" w:tplc="D8DC0314">
      <w:start w:val="1"/>
      <w:numFmt w:val="bullet"/>
      <w:lvlText w:val="●"/>
      <w:lvlJc w:val="left"/>
      <w:pPr>
        <w:ind w:left="5760" w:hanging="360"/>
      </w:pPr>
    </w:lvl>
    <w:lvl w:ilvl="8" w:tplc="79E60336">
      <w:start w:val="1"/>
      <w:numFmt w:val="bullet"/>
      <w:lvlText w:val="●"/>
      <w:lvlJc w:val="left"/>
      <w:pPr>
        <w:ind w:left="6480" w:hanging="360"/>
      </w:pPr>
    </w:lvl>
  </w:abstractNum>
  <w:num w:numId="1" w16cid:durableId="5748570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288"/>
    <w:rsid w:val="000235EC"/>
    <w:rsid w:val="00084D9A"/>
    <w:rsid w:val="00093665"/>
    <w:rsid w:val="000F5746"/>
    <w:rsid w:val="001872DF"/>
    <w:rsid w:val="001C4519"/>
    <w:rsid w:val="001C59DD"/>
    <w:rsid w:val="00347A2F"/>
    <w:rsid w:val="003F1834"/>
    <w:rsid w:val="00570195"/>
    <w:rsid w:val="009C3288"/>
    <w:rsid w:val="00A47F56"/>
    <w:rsid w:val="00E006A7"/>
    <w:rsid w:val="00EB34E5"/>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C9698"/>
  <w15:docId w15:val="{3C8A6BCC-DD90-422D-96B0-ACFCD7BFB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IN"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200"/>
      <w:outlineLvl w:val="0"/>
    </w:pPr>
    <w:rPr>
      <w:b/>
      <w:bCs/>
      <w:color w:val="000000"/>
      <w:sz w:val="32"/>
      <w:szCs w:val="32"/>
    </w:rPr>
  </w:style>
  <w:style w:type="paragraph" w:styleId="Heading2">
    <w:name w:val="heading 2"/>
    <w:uiPriority w:val="9"/>
    <w:unhideWhenUsed/>
    <w:qFormat/>
    <w:pPr>
      <w:spacing w:before="280" w:after="160"/>
      <w:outlineLvl w:val="1"/>
    </w:pPr>
    <w:rPr>
      <w:b/>
      <w:bCs/>
      <w:color w:val="000000"/>
      <w:sz w:val="28"/>
      <w:szCs w:val="28"/>
    </w:rPr>
  </w:style>
  <w:style w:type="paragraph" w:styleId="Heading3">
    <w:name w:val="heading 3"/>
    <w:uiPriority w:val="9"/>
    <w:semiHidden/>
    <w:unhideWhenUsed/>
    <w:qFormat/>
    <w:pPr>
      <w:spacing w:before="220" w:after="120"/>
      <w:outlineLvl w:val="2"/>
    </w:pPr>
    <w:rPr>
      <w:b/>
      <w:bCs/>
      <w:i/>
      <w:iCs/>
      <w:color w:val="000000"/>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1872DF"/>
    <w:pPr>
      <w:spacing w:after="100"/>
    </w:pPr>
  </w:style>
  <w:style w:type="paragraph" w:styleId="TOC2">
    <w:name w:val="toc 2"/>
    <w:basedOn w:val="Normal"/>
    <w:next w:val="Normal"/>
    <w:autoRedefine/>
    <w:uiPriority w:val="39"/>
    <w:unhideWhenUsed/>
    <w:rsid w:val="001872DF"/>
    <w:pPr>
      <w:spacing w:after="100"/>
      <w:ind w:left="240"/>
    </w:pPr>
  </w:style>
  <w:style w:type="paragraph" w:styleId="Header">
    <w:name w:val="header"/>
    <w:basedOn w:val="Normal"/>
    <w:link w:val="HeaderChar"/>
    <w:uiPriority w:val="99"/>
    <w:unhideWhenUsed/>
    <w:rsid w:val="00570195"/>
    <w:pPr>
      <w:tabs>
        <w:tab w:val="center" w:pos="4513"/>
        <w:tab w:val="right" w:pos="9026"/>
      </w:tabs>
    </w:pPr>
  </w:style>
  <w:style w:type="character" w:customStyle="1" w:styleId="HeaderChar">
    <w:name w:val="Header Char"/>
    <w:basedOn w:val="DefaultParagraphFont"/>
    <w:link w:val="Header"/>
    <w:uiPriority w:val="99"/>
    <w:rsid w:val="00570195"/>
  </w:style>
  <w:style w:type="paragraph" w:styleId="Footer">
    <w:name w:val="footer"/>
    <w:basedOn w:val="Normal"/>
    <w:link w:val="FooterChar"/>
    <w:uiPriority w:val="99"/>
    <w:unhideWhenUsed/>
    <w:rsid w:val="00570195"/>
    <w:pPr>
      <w:tabs>
        <w:tab w:val="center" w:pos="4513"/>
        <w:tab w:val="right" w:pos="9026"/>
      </w:tabs>
    </w:pPr>
  </w:style>
  <w:style w:type="character" w:customStyle="1" w:styleId="FooterChar">
    <w:name w:val="Footer Char"/>
    <w:basedOn w:val="DefaultParagraphFont"/>
    <w:link w:val="Footer"/>
    <w:uiPriority w:val="99"/>
    <w:rsid w:val="005701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6378</Words>
  <Characters>36361</Characters>
  <Application>Microsoft Office Word</Application>
  <DocSecurity>0</DocSecurity>
  <Lines>303</Lines>
  <Paragraphs>85</Paragraphs>
  <ScaleCrop>false</ScaleCrop>
  <Company/>
  <LinksUpToDate>false</LinksUpToDate>
  <CharactersWithSpaces>42654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Performance and Strategic Review: InterContinental Hotels Group plc</dc:title>
  <dc:creator>MBA Student</dc:creator>
  <cp:lastModifiedBy>user</cp:lastModifiedBy>
  <cp:revision>6</cp:revision>
  <dcterms:created xsi:type="dcterms:W3CDTF">2026-06-27T15:54:00Z</dcterms:created>
  <dcterms:modified xsi:type="dcterms:W3CDTF">2026-07-10T14:20:00Z</dcterms:modified>
</cp:coreProperties>
</file>