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F16970" w:rsidRDefault="00646B10" w:rsidP="00041A5A">
      <w:pPr>
        <w:spacing w:line="360" w:lineRule="auto"/>
        <w:jc w:val="center"/>
        <w:rPr>
          <w:rFonts w:ascii="Arial" w:hAnsi="Arial" w:cs="Arial"/>
          <w:b/>
          <w:bCs/>
          <w:sz w:val="28"/>
          <w:szCs w:val="28"/>
        </w:rPr>
      </w:pPr>
    </w:p>
    <w:p w14:paraId="7CAFB8A8" w14:textId="77777777" w:rsidR="00646B10" w:rsidRPr="00F16970" w:rsidRDefault="00646B10" w:rsidP="00041A5A">
      <w:pPr>
        <w:spacing w:line="360" w:lineRule="auto"/>
        <w:jc w:val="center"/>
        <w:rPr>
          <w:rFonts w:ascii="Arial" w:hAnsi="Arial" w:cs="Arial"/>
          <w:b/>
          <w:bCs/>
          <w:sz w:val="28"/>
          <w:szCs w:val="28"/>
        </w:rPr>
      </w:pPr>
    </w:p>
    <w:p w14:paraId="09103BF7" w14:textId="77777777" w:rsidR="00646B10" w:rsidRPr="00F16970" w:rsidRDefault="00646B10" w:rsidP="00041A5A">
      <w:pPr>
        <w:spacing w:line="360" w:lineRule="auto"/>
        <w:jc w:val="center"/>
        <w:rPr>
          <w:rFonts w:ascii="Arial" w:hAnsi="Arial" w:cs="Arial"/>
          <w:b/>
          <w:bCs/>
          <w:sz w:val="28"/>
          <w:szCs w:val="28"/>
        </w:rPr>
      </w:pPr>
    </w:p>
    <w:p w14:paraId="75E38F7F" w14:textId="7C4BF558" w:rsidR="00715990" w:rsidRPr="00F16970" w:rsidRDefault="00715990" w:rsidP="00041A5A">
      <w:pPr>
        <w:spacing w:line="360" w:lineRule="auto"/>
        <w:jc w:val="center"/>
        <w:rPr>
          <w:rFonts w:ascii="Arial" w:hAnsi="Arial" w:cs="Arial"/>
          <w:b/>
          <w:bCs/>
          <w:sz w:val="28"/>
          <w:szCs w:val="28"/>
        </w:rPr>
      </w:pPr>
      <w:r w:rsidRPr="00F16970">
        <w:rPr>
          <w:rFonts w:ascii="Arial" w:hAnsi="Arial" w:cs="Arial"/>
          <w:b/>
          <w:bCs/>
          <w:sz w:val="28"/>
          <w:szCs w:val="28"/>
        </w:rPr>
        <w:t>Course: BSc (Hons) Health and Social Care</w:t>
      </w:r>
    </w:p>
    <w:p w14:paraId="7680A4B0" w14:textId="43F6E3D7" w:rsidR="00715990" w:rsidRPr="00F16970" w:rsidRDefault="00715990" w:rsidP="00041A5A">
      <w:pPr>
        <w:spacing w:line="360" w:lineRule="auto"/>
        <w:jc w:val="center"/>
        <w:rPr>
          <w:rFonts w:ascii="Arial" w:hAnsi="Arial" w:cs="Arial"/>
          <w:b/>
          <w:bCs/>
          <w:sz w:val="28"/>
          <w:szCs w:val="28"/>
        </w:rPr>
      </w:pPr>
      <w:r w:rsidRPr="00F16970">
        <w:rPr>
          <w:rFonts w:ascii="Arial" w:hAnsi="Arial" w:cs="Arial"/>
          <w:b/>
          <w:bCs/>
          <w:sz w:val="28"/>
          <w:szCs w:val="28"/>
        </w:rPr>
        <w:t>Module: Independent Project (BMHP6020_</w:t>
      </w:r>
      <w:r w:rsidR="00646B10" w:rsidRPr="00F16970">
        <w:rPr>
          <w:rFonts w:ascii="Arial" w:hAnsi="Arial" w:cs="Arial"/>
          <w:b/>
          <w:bCs/>
          <w:sz w:val="28"/>
          <w:szCs w:val="28"/>
        </w:rPr>
        <w:t>BIRM</w:t>
      </w:r>
      <w:r w:rsidRPr="00F16970">
        <w:rPr>
          <w:rFonts w:ascii="Arial" w:hAnsi="Arial" w:cs="Arial"/>
          <w:b/>
          <w:bCs/>
          <w:sz w:val="28"/>
          <w:szCs w:val="28"/>
        </w:rPr>
        <w:t>)</w:t>
      </w:r>
    </w:p>
    <w:p w14:paraId="3157DF3C" w14:textId="77777777" w:rsidR="00715990" w:rsidRPr="00F16970" w:rsidRDefault="00715990" w:rsidP="00041A5A">
      <w:pPr>
        <w:spacing w:line="360" w:lineRule="auto"/>
        <w:jc w:val="center"/>
        <w:rPr>
          <w:rFonts w:ascii="Arial" w:hAnsi="Arial" w:cs="Arial"/>
          <w:sz w:val="28"/>
          <w:szCs w:val="28"/>
        </w:rPr>
      </w:pPr>
    </w:p>
    <w:p w14:paraId="08BDA311" w14:textId="6E55C9BE" w:rsidR="00041A5A" w:rsidRPr="00F16970" w:rsidRDefault="00FB4301" w:rsidP="00FB4301">
      <w:pPr>
        <w:spacing w:line="360" w:lineRule="auto"/>
        <w:jc w:val="center"/>
        <w:rPr>
          <w:rFonts w:ascii="Arial" w:hAnsi="Arial" w:cs="Arial"/>
          <w:b/>
          <w:bCs/>
          <w:sz w:val="28"/>
          <w:szCs w:val="28"/>
        </w:rPr>
      </w:pPr>
      <w:r w:rsidRPr="00F16970">
        <w:rPr>
          <w:rFonts w:ascii="Arial" w:hAnsi="Arial" w:cs="Arial"/>
          <w:b/>
          <w:bCs/>
          <w:sz w:val="28"/>
          <w:szCs w:val="28"/>
        </w:rPr>
        <w:t>Component 1</w:t>
      </w:r>
      <w:r w:rsidR="00715990" w:rsidRPr="00F16970">
        <w:rPr>
          <w:rFonts w:ascii="Arial" w:hAnsi="Arial" w:cs="Arial"/>
          <w:b/>
          <w:bCs/>
          <w:sz w:val="28"/>
          <w:szCs w:val="28"/>
        </w:rPr>
        <w:t xml:space="preserve">: </w:t>
      </w:r>
      <w:r w:rsidRPr="00F16970">
        <w:rPr>
          <w:rFonts w:ascii="Arial" w:hAnsi="Arial" w:cs="Arial"/>
          <w:sz w:val="28"/>
          <w:szCs w:val="28"/>
        </w:rPr>
        <w:t>Element 1</w:t>
      </w:r>
      <w:r w:rsidR="00715990" w:rsidRPr="00F16970">
        <w:rPr>
          <w:rFonts w:ascii="Arial" w:hAnsi="Arial" w:cs="Arial"/>
          <w:sz w:val="28"/>
          <w:szCs w:val="28"/>
        </w:rPr>
        <w:t xml:space="preserve"> - Project Proposal</w:t>
      </w:r>
      <w:r w:rsidR="00545684" w:rsidRPr="00F16970">
        <w:rPr>
          <w:rFonts w:ascii="Arial" w:hAnsi="Arial" w:cs="Arial"/>
          <w:sz w:val="28"/>
          <w:szCs w:val="28"/>
        </w:rPr>
        <w:t xml:space="preserve"> </w:t>
      </w:r>
    </w:p>
    <w:p w14:paraId="2EDEAE0B" w14:textId="149B09BE" w:rsidR="00715990" w:rsidRPr="00F16970" w:rsidRDefault="00715990" w:rsidP="00041A5A">
      <w:pPr>
        <w:spacing w:line="360" w:lineRule="auto"/>
        <w:rPr>
          <w:rFonts w:ascii="Arial" w:hAnsi="Arial" w:cs="Arial"/>
          <w:sz w:val="28"/>
          <w:szCs w:val="28"/>
        </w:rPr>
      </w:pPr>
    </w:p>
    <w:p w14:paraId="1AD185BB" w14:textId="77777777" w:rsidR="00FF5B70" w:rsidRPr="00F16970" w:rsidRDefault="00FF5B70" w:rsidP="00041A5A">
      <w:pPr>
        <w:spacing w:line="360" w:lineRule="auto"/>
        <w:rPr>
          <w:rFonts w:ascii="Arial" w:hAnsi="Arial" w:cs="Arial"/>
          <w:sz w:val="28"/>
          <w:szCs w:val="28"/>
        </w:rPr>
      </w:pPr>
    </w:p>
    <w:p w14:paraId="684DDF82" w14:textId="3DA68226" w:rsidR="00715990" w:rsidRPr="00F16970" w:rsidRDefault="00715990" w:rsidP="00041A5A">
      <w:pPr>
        <w:spacing w:line="360" w:lineRule="auto"/>
        <w:rPr>
          <w:rFonts w:ascii="Arial" w:hAnsi="Arial" w:cs="Arial"/>
          <w:sz w:val="28"/>
          <w:szCs w:val="28"/>
        </w:rPr>
      </w:pPr>
      <w:r w:rsidRPr="00F16970">
        <w:rPr>
          <w:rFonts w:ascii="Arial" w:hAnsi="Arial" w:cs="Arial"/>
          <w:b/>
          <w:bCs/>
          <w:sz w:val="28"/>
          <w:szCs w:val="28"/>
        </w:rPr>
        <w:t>Student ID</w:t>
      </w:r>
      <w:r w:rsidRPr="00F16970">
        <w:rPr>
          <w:rFonts w:ascii="Arial" w:hAnsi="Arial" w:cs="Arial"/>
          <w:sz w:val="28"/>
          <w:szCs w:val="28"/>
        </w:rPr>
        <w:t xml:space="preserve">: </w:t>
      </w:r>
      <w:r w:rsidR="008408D6" w:rsidRPr="00F16970">
        <w:rPr>
          <w:rFonts w:ascii="Arial" w:hAnsi="Arial" w:cs="Arial"/>
          <w:sz w:val="28"/>
          <w:szCs w:val="28"/>
        </w:rPr>
        <w:t>2324340</w:t>
      </w:r>
    </w:p>
    <w:p w14:paraId="01D5D8DB" w14:textId="03ED09ED" w:rsidR="00FF5B70" w:rsidRPr="00F16970" w:rsidRDefault="00FF5B70" w:rsidP="00041A5A">
      <w:pPr>
        <w:spacing w:line="360" w:lineRule="auto"/>
        <w:rPr>
          <w:rFonts w:ascii="Arial" w:hAnsi="Arial" w:cs="Arial"/>
          <w:sz w:val="28"/>
          <w:szCs w:val="28"/>
        </w:rPr>
      </w:pPr>
    </w:p>
    <w:p w14:paraId="7B4B148B" w14:textId="038462CC" w:rsidR="00646B10" w:rsidRPr="00F16970" w:rsidRDefault="00FF5B70" w:rsidP="00646B10">
      <w:pPr>
        <w:spacing w:line="360" w:lineRule="auto"/>
        <w:rPr>
          <w:rFonts w:ascii="Arial" w:hAnsi="Arial" w:cs="Arial"/>
          <w:sz w:val="28"/>
          <w:szCs w:val="28"/>
        </w:rPr>
      </w:pPr>
      <w:r w:rsidRPr="00F16970">
        <w:rPr>
          <w:rFonts w:ascii="Arial" w:hAnsi="Arial" w:cs="Arial"/>
          <w:b/>
          <w:bCs/>
          <w:sz w:val="28"/>
          <w:szCs w:val="28"/>
        </w:rPr>
        <w:t>Student Name</w:t>
      </w:r>
      <w:r w:rsidRPr="00F16970">
        <w:rPr>
          <w:rFonts w:ascii="Arial" w:hAnsi="Arial" w:cs="Arial"/>
          <w:sz w:val="28"/>
          <w:szCs w:val="28"/>
        </w:rPr>
        <w:t xml:space="preserve">: </w:t>
      </w:r>
      <w:r w:rsidR="008408D6" w:rsidRPr="00F16970">
        <w:rPr>
          <w:rFonts w:ascii="Arial" w:hAnsi="Arial" w:cs="Arial"/>
          <w:sz w:val="28"/>
          <w:szCs w:val="28"/>
        </w:rPr>
        <w:t>Newri</w:t>
      </w:r>
      <w:r w:rsidR="00F16970">
        <w:rPr>
          <w:rFonts w:ascii="Arial" w:hAnsi="Arial" w:cs="Arial"/>
          <w:sz w:val="28"/>
          <w:szCs w:val="28"/>
        </w:rPr>
        <w:t xml:space="preserve">kaa Jeyapathy </w:t>
      </w:r>
    </w:p>
    <w:p w14:paraId="638A4615" w14:textId="77777777" w:rsidR="00715990" w:rsidRPr="00F16970" w:rsidRDefault="00715990" w:rsidP="00041A5A">
      <w:pPr>
        <w:spacing w:line="360" w:lineRule="auto"/>
        <w:rPr>
          <w:rFonts w:ascii="Arial" w:hAnsi="Arial" w:cs="Arial"/>
          <w:sz w:val="28"/>
          <w:szCs w:val="28"/>
        </w:rPr>
      </w:pPr>
    </w:p>
    <w:p w14:paraId="5BD313B6" w14:textId="4BA804DC" w:rsidR="00715990" w:rsidRPr="00F16970" w:rsidRDefault="00715990" w:rsidP="00041A5A">
      <w:pPr>
        <w:spacing w:line="360" w:lineRule="auto"/>
        <w:rPr>
          <w:rFonts w:ascii="Arial" w:hAnsi="Arial" w:cs="Arial"/>
        </w:rPr>
      </w:pPr>
    </w:p>
    <w:p w14:paraId="07CF3A4D" w14:textId="4AAF8C7D" w:rsidR="00715990" w:rsidRPr="00F16970" w:rsidRDefault="00715990" w:rsidP="00041A5A">
      <w:pPr>
        <w:spacing w:line="360" w:lineRule="auto"/>
        <w:rPr>
          <w:rFonts w:ascii="Arial" w:hAnsi="Arial" w:cs="Arial"/>
        </w:rPr>
      </w:pPr>
      <w:r w:rsidRPr="00F16970">
        <w:rPr>
          <w:rFonts w:ascii="Arial" w:hAnsi="Arial" w:cs="Arial"/>
        </w:rPr>
        <w:br w:type="page"/>
      </w:r>
    </w:p>
    <w:p w14:paraId="75E7FD5C" w14:textId="1070B52D" w:rsidR="00545684" w:rsidRPr="00F16970" w:rsidRDefault="00FB4301" w:rsidP="00FF5B70">
      <w:pPr>
        <w:pStyle w:val="Heading1"/>
        <w:rPr>
          <w:rFonts w:cs="Arial"/>
        </w:rPr>
      </w:pPr>
      <w:r w:rsidRPr="00F16970">
        <w:rPr>
          <w:rFonts w:cs="Arial"/>
        </w:rPr>
        <w:t>Element 1 -</w:t>
      </w:r>
      <w:r w:rsidR="00866B7B" w:rsidRPr="00F16970">
        <w:rPr>
          <w:rFonts w:cs="Arial"/>
        </w:rPr>
        <w:t xml:space="preserve"> Project</w:t>
      </w:r>
      <w:r w:rsidR="00545684" w:rsidRPr="00F16970">
        <w:rPr>
          <w:rFonts w:cs="Arial"/>
        </w:rPr>
        <w:t xml:space="preserve"> </w:t>
      </w:r>
      <w:r w:rsidR="000B7CD5" w:rsidRPr="00F16970">
        <w:rPr>
          <w:rFonts w:cs="Arial"/>
        </w:rPr>
        <w:t>P</w:t>
      </w:r>
      <w:r w:rsidR="00545684" w:rsidRPr="00F16970">
        <w:rPr>
          <w:rFonts w:cs="Arial"/>
        </w:rPr>
        <w:t>roposal</w:t>
      </w:r>
    </w:p>
    <w:p w14:paraId="6630FBCE" w14:textId="0038F936" w:rsidR="00D769F0" w:rsidRPr="00F16970" w:rsidRDefault="00D769F0" w:rsidP="00D769F0">
      <w:pPr>
        <w:rPr>
          <w:rFonts w:ascii="Arial" w:hAnsi="Arial" w:cs="Arial"/>
        </w:rPr>
      </w:pPr>
    </w:p>
    <w:p w14:paraId="24BD4B42" w14:textId="236DB6E9" w:rsidR="00D769F0" w:rsidRPr="00F16970" w:rsidRDefault="00FF5B70" w:rsidP="00E47810">
      <w:pPr>
        <w:pStyle w:val="Heading2"/>
      </w:pPr>
      <w:r w:rsidRPr="00F16970">
        <w:t>My p</w:t>
      </w:r>
      <w:r w:rsidR="00D769F0" w:rsidRPr="00F16970">
        <w:t xml:space="preserve">roject title: </w:t>
      </w:r>
    </w:p>
    <w:p w14:paraId="03FD30D3" w14:textId="699DC670" w:rsidR="00715990" w:rsidRPr="00F16970" w:rsidRDefault="004913A0" w:rsidP="004913A0">
      <w:pPr>
        <w:pStyle w:val="p1"/>
        <w:rPr>
          <w:rFonts w:ascii="Arial" w:hAnsi="Arial" w:cs="Arial"/>
        </w:rPr>
      </w:pPr>
      <w:r w:rsidRPr="00F16970">
        <w:rPr>
          <w:rFonts w:ascii="Arial" w:hAnsi="Arial" w:cs="Arial"/>
          <w:b/>
          <w:bCs/>
        </w:rPr>
        <w:t>The Impact of Telehealth on Patient Experience in UK Primary Care: A Scoping Review</w:t>
      </w:r>
    </w:p>
    <w:p w14:paraId="40C7BB25" w14:textId="63754B6D" w:rsidR="00784670" w:rsidRPr="00F16970" w:rsidRDefault="00FF5B70" w:rsidP="00E47810">
      <w:pPr>
        <w:pStyle w:val="Heading2"/>
      </w:pPr>
      <w:r w:rsidRPr="00F16970">
        <w:t>1</w:t>
      </w:r>
      <w:r w:rsidR="00784670" w:rsidRPr="00F16970">
        <w:t xml:space="preserve">) </w:t>
      </w:r>
      <w:r w:rsidR="00545684" w:rsidRPr="00F16970">
        <w:t>Aim</w:t>
      </w:r>
      <w:r w:rsidR="00784670" w:rsidRPr="00F16970">
        <w:t>:</w:t>
      </w:r>
    </w:p>
    <w:p w14:paraId="4B36F4E2" w14:textId="5D7F0308" w:rsidR="00A6153D" w:rsidRPr="00F16970" w:rsidRDefault="00E74DAC" w:rsidP="00E74DAC">
      <w:pPr>
        <w:pStyle w:val="p1"/>
        <w:rPr>
          <w:rFonts w:ascii="Arial" w:hAnsi="Arial" w:cs="Arial"/>
        </w:rPr>
      </w:pPr>
      <w:r w:rsidRPr="00F16970">
        <w:rPr>
          <w:rFonts w:ascii="Arial" w:hAnsi="Arial" w:cs="Arial"/>
        </w:rPr>
        <w:t xml:space="preserve">The aim of this project is to explore the impact of </w:t>
      </w:r>
      <w:r w:rsidR="00675B28" w:rsidRPr="00F16970">
        <w:rPr>
          <w:rFonts w:ascii="Arial" w:hAnsi="Arial" w:cs="Arial"/>
        </w:rPr>
        <w:t>Telehealth</w:t>
      </w:r>
      <w:r w:rsidRPr="00F16970">
        <w:rPr>
          <w:rFonts w:ascii="Arial" w:hAnsi="Arial" w:cs="Arial"/>
        </w:rPr>
        <w:t xml:space="preserve"> on patient experience within UK primary care settings. The study will examine how remote healthcare services influence accessibility, patient satisfaction, communication with healthcare professionals, and the overall quality of care provided through digital technologies.</w:t>
      </w:r>
    </w:p>
    <w:p w14:paraId="2B00F95C" w14:textId="7302587D" w:rsidR="00545684" w:rsidRPr="00F16970" w:rsidRDefault="00FF5B70" w:rsidP="00E47810">
      <w:pPr>
        <w:pStyle w:val="Heading2"/>
      </w:pPr>
      <w:r w:rsidRPr="00F16970">
        <w:t>2</w:t>
      </w:r>
      <w:r w:rsidR="00784670" w:rsidRPr="00F16970">
        <w:t>) O</w:t>
      </w:r>
      <w:r w:rsidR="00545684" w:rsidRPr="00F16970">
        <w:t>bjectives:</w:t>
      </w:r>
    </w:p>
    <w:p w14:paraId="481A7AE5" w14:textId="295402EC" w:rsidR="00A6153D" w:rsidRPr="00F16970" w:rsidRDefault="00331F5A" w:rsidP="00A6153D">
      <w:pPr>
        <w:spacing w:line="360" w:lineRule="auto"/>
        <w:rPr>
          <w:rFonts w:ascii="Arial" w:hAnsi="Arial" w:cs="Arial"/>
          <w:i/>
          <w:iCs/>
        </w:rPr>
      </w:pPr>
      <w:r w:rsidRPr="00F16970">
        <w:rPr>
          <w:rFonts w:ascii="Arial" w:hAnsi="Arial" w:cs="Arial"/>
        </w:rPr>
        <w:t xml:space="preserve">List </w:t>
      </w:r>
      <w:r w:rsidR="00A276A0" w:rsidRPr="00F16970">
        <w:rPr>
          <w:rFonts w:ascii="Arial" w:hAnsi="Arial" w:cs="Arial"/>
        </w:rPr>
        <w:t>4</w:t>
      </w:r>
      <w:r w:rsidRPr="00F16970">
        <w:rPr>
          <w:rFonts w:ascii="Arial" w:hAnsi="Arial" w:cs="Arial"/>
        </w:rPr>
        <w:t xml:space="preserve"> specific objectives that will guide your research. </w:t>
      </w:r>
      <w:r w:rsidRPr="00F16970">
        <w:rPr>
          <w:rFonts w:ascii="Arial" w:hAnsi="Arial" w:cs="Arial"/>
          <w:i/>
          <w:iCs/>
        </w:rPr>
        <w:t>(Approx. 100 words)</w:t>
      </w:r>
      <w:r w:rsidR="00A6153D" w:rsidRPr="00F16970">
        <w:rPr>
          <w:rFonts w:ascii="Arial" w:hAnsi="Arial" w:cs="Arial"/>
          <w:i/>
          <w:iCs/>
        </w:rPr>
        <w:t xml:space="preserve"> </w:t>
      </w:r>
    </w:p>
    <w:p w14:paraId="18FC85FA" w14:textId="42FD6426" w:rsidR="008120F1" w:rsidRPr="00F16970" w:rsidRDefault="008120F1" w:rsidP="008120F1">
      <w:pPr>
        <w:numPr>
          <w:ilvl w:val="0"/>
          <w:numId w:val="6"/>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 xml:space="preserve">To define and examine the concept of </w:t>
      </w:r>
      <w:r w:rsidR="009C7460" w:rsidRPr="00F16970">
        <w:rPr>
          <w:rFonts w:ascii="Arial" w:eastAsia="Times New Roman" w:hAnsi="Arial" w:cs="Arial"/>
          <w:szCs w:val="24"/>
          <w:lang w:eastAsia="en-GB"/>
        </w:rPr>
        <w:t>Telehealth</w:t>
      </w:r>
      <w:r w:rsidRPr="00F16970">
        <w:rPr>
          <w:rFonts w:ascii="Arial" w:eastAsia="Times New Roman" w:hAnsi="Arial" w:cs="Arial"/>
          <w:szCs w:val="24"/>
          <w:lang w:eastAsia="en-GB"/>
        </w:rPr>
        <w:t xml:space="preserve"> and its role within UK primary care services.</w:t>
      </w:r>
    </w:p>
    <w:p w14:paraId="2AAC8BEF" w14:textId="7AB5BE51" w:rsidR="008120F1" w:rsidRPr="00F16970" w:rsidRDefault="008120F1" w:rsidP="008120F1">
      <w:pPr>
        <w:numPr>
          <w:ilvl w:val="0"/>
          <w:numId w:val="6"/>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 xml:space="preserve">To analyse the benefits of </w:t>
      </w:r>
      <w:r w:rsidR="009C7460" w:rsidRPr="00F16970">
        <w:rPr>
          <w:rFonts w:ascii="Arial" w:eastAsia="Times New Roman" w:hAnsi="Arial" w:cs="Arial"/>
          <w:szCs w:val="24"/>
          <w:lang w:eastAsia="en-GB"/>
        </w:rPr>
        <w:t>Telehealth</w:t>
      </w:r>
      <w:r w:rsidRPr="00F16970">
        <w:rPr>
          <w:rFonts w:ascii="Arial" w:eastAsia="Times New Roman" w:hAnsi="Arial" w:cs="Arial"/>
          <w:szCs w:val="24"/>
          <w:lang w:eastAsia="en-GB"/>
        </w:rPr>
        <w:t>, including accessibility, convenience, and patient engagement.</w:t>
      </w:r>
    </w:p>
    <w:p w14:paraId="38810792" w14:textId="734BFB72" w:rsidR="008120F1" w:rsidRPr="00F16970" w:rsidRDefault="008120F1" w:rsidP="008120F1">
      <w:pPr>
        <w:numPr>
          <w:ilvl w:val="0"/>
          <w:numId w:val="6"/>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 xml:space="preserve">To evaluate the challenges associated with </w:t>
      </w:r>
      <w:r w:rsidR="009C7460" w:rsidRPr="00F16970">
        <w:rPr>
          <w:rFonts w:ascii="Arial" w:eastAsia="Times New Roman" w:hAnsi="Arial" w:cs="Arial"/>
          <w:szCs w:val="24"/>
          <w:lang w:eastAsia="en-GB"/>
        </w:rPr>
        <w:t>Telehealth</w:t>
      </w:r>
      <w:r w:rsidRPr="00F16970">
        <w:rPr>
          <w:rFonts w:ascii="Arial" w:eastAsia="Times New Roman" w:hAnsi="Arial" w:cs="Arial"/>
          <w:szCs w:val="24"/>
          <w:lang w:eastAsia="en-GB"/>
        </w:rPr>
        <w:t>, such as communication barriers, digital exclusion, and technological limitations.</w:t>
      </w:r>
    </w:p>
    <w:p w14:paraId="490C4B46" w14:textId="4BD484DC" w:rsidR="008120F1" w:rsidRPr="00F16970" w:rsidRDefault="008120F1" w:rsidP="008120F1">
      <w:pPr>
        <w:numPr>
          <w:ilvl w:val="0"/>
          <w:numId w:val="6"/>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 xml:space="preserve">To provide recommendations for improving </w:t>
      </w:r>
      <w:r w:rsidR="009C7460" w:rsidRPr="00F16970">
        <w:rPr>
          <w:rFonts w:ascii="Arial" w:eastAsia="Times New Roman" w:hAnsi="Arial" w:cs="Arial"/>
          <w:szCs w:val="24"/>
          <w:lang w:eastAsia="en-GB"/>
        </w:rPr>
        <w:t>Telehealth</w:t>
      </w:r>
      <w:r w:rsidRPr="00F16970">
        <w:rPr>
          <w:rFonts w:ascii="Arial" w:eastAsia="Times New Roman" w:hAnsi="Arial" w:cs="Arial"/>
          <w:szCs w:val="24"/>
          <w:lang w:eastAsia="en-GB"/>
        </w:rPr>
        <w:t xml:space="preserve"> services and enhancing patient experience within UK primary care settings.</w:t>
      </w:r>
    </w:p>
    <w:p w14:paraId="3AC96963" w14:textId="42E0D23A" w:rsidR="00545684" w:rsidRPr="00F16970" w:rsidRDefault="00FF5B70" w:rsidP="00E47810">
      <w:pPr>
        <w:pStyle w:val="Heading2"/>
      </w:pPr>
      <w:r w:rsidRPr="00F16970">
        <w:t>3</w:t>
      </w:r>
      <w:r w:rsidR="008E5015" w:rsidRPr="00F16970">
        <w:t xml:space="preserve">) </w:t>
      </w:r>
      <w:r w:rsidR="00545684" w:rsidRPr="00F16970">
        <w:t>Background</w:t>
      </w:r>
      <w:r w:rsidR="00FB4301" w:rsidRPr="00F16970">
        <w:t>/Rationale</w:t>
      </w:r>
      <w:r w:rsidR="00545684" w:rsidRPr="00F16970">
        <w:t>:</w:t>
      </w:r>
    </w:p>
    <w:p w14:paraId="13F45238" w14:textId="28BFB69A" w:rsidR="00E47810" w:rsidRPr="00F16970" w:rsidRDefault="00E47810">
      <w:pPr>
        <w:pStyle w:val="p1"/>
        <w:rPr>
          <w:rFonts w:ascii="Arial" w:hAnsi="Arial" w:cs="Arial"/>
        </w:rPr>
      </w:pPr>
      <w:r w:rsidRPr="00F16970">
        <w:rPr>
          <w:rFonts w:ascii="Arial" w:hAnsi="Arial" w:cs="Arial"/>
        </w:rPr>
        <w:t xml:space="preserve">Telehealth refers to the delivery of healthcare services through digital technologies, including telephone consultations, video appointments, and online communication platforms. The use of </w:t>
      </w:r>
      <w:r w:rsidR="005460EA" w:rsidRPr="00F16970">
        <w:rPr>
          <w:rFonts w:ascii="Arial" w:hAnsi="Arial" w:cs="Arial"/>
        </w:rPr>
        <w:t>Telehealth</w:t>
      </w:r>
      <w:r w:rsidRPr="00F16970">
        <w:rPr>
          <w:rFonts w:ascii="Arial" w:hAnsi="Arial" w:cs="Arial"/>
        </w:rPr>
        <w:t xml:space="preserve"> increased significantly during the COVID-19 pandemic and has continued to play </w:t>
      </w:r>
      <w:r w:rsidR="005460EA" w:rsidRPr="00F16970">
        <w:rPr>
          <w:rFonts w:ascii="Arial" w:hAnsi="Arial" w:cs="Arial"/>
        </w:rPr>
        <w:t>a key role</w:t>
      </w:r>
      <w:r w:rsidRPr="00F16970">
        <w:rPr>
          <w:rFonts w:ascii="Arial" w:hAnsi="Arial" w:cs="Arial"/>
        </w:rPr>
        <w:t xml:space="preserve"> within the NHS. Digital healthcare services offer opportunities to improve access to care, reduce travel time, and support efficient service delivery.</w:t>
      </w:r>
    </w:p>
    <w:p w14:paraId="1F02F4DB" w14:textId="77777777" w:rsidR="00E47810" w:rsidRPr="00F16970" w:rsidRDefault="00E47810">
      <w:pPr>
        <w:pStyle w:val="p2"/>
        <w:rPr>
          <w:rFonts w:ascii="Arial" w:hAnsi="Arial" w:cs="Arial"/>
        </w:rPr>
      </w:pPr>
    </w:p>
    <w:p w14:paraId="4F78261D" w14:textId="1C15E745" w:rsidR="00E47810" w:rsidRPr="00F16970" w:rsidRDefault="00E47810">
      <w:pPr>
        <w:pStyle w:val="p2"/>
        <w:rPr>
          <w:rFonts w:ascii="Arial" w:hAnsi="Arial" w:cs="Arial"/>
        </w:rPr>
      </w:pPr>
      <w:r w:rsidRPr="00F16970">
        <w:rPr>
          <w:rFonts w:ascii="Arial" w:hAnsi="Arial" w:cs="Arial"/>
        </w:rPr>
        <w:t xml:space="preserve">Patient experience is a key measure of healthcare quality and influences satisfaction, engagement, and health outcomes. Although </w:t>
      </w:r>
      <w:r w:rsidR="00AB2D64" w:rsidRPr="00F16970">
        <w:rPr>
          <w:rFonts w:ascii="Arial" w:hAnsi="Arial" w:cs="Arial"/>
        </w:rPr>
        <w:t>Telehealth</w:t>
      </w:r>
      <w:r w:rsidRPr="00F16970">
        <w:rPr>
          <w:rFonts w:ascii="Arial" w:hAnsi="Arial" w:cs="Arial"/>
        </w:rPr>
        <w:t xml:space="preserve"> provides many benefits, concerns </w:t>
      </w:r>
      <w:r w:rsidR="0004103A" w:rsidRPr="00F16970">
        <w:rPr>
          <w:rFonts w:ascii="Arial" w:hAnsi="Arial" w:cs="Arial"/>
        </w:rPr>
        <w:t>stay</w:t>
      </w:r>
      <w:r w:rsidRPr="00F16970">
        <w:rPr>
          <w:rFonts w:ascii="Arial" w:hAnsi="Arial" w:cs="Arial"/>
        </w:rPr>
        <w:t xml:space="preserve"> </w:t>
      </w:r>
      <w:r w:rsidR="0004103A" w:rsidRPr="00F16970">
        <w:rPr>
          <w:rFonts w:ascii="Arial" w:hAnsi="Arial" w:cs="Arial"/>
        </w:rPr>
        <w:t>on</w:t>
      </w:r>
      <w:r w:rsidRPr="00F16970">
        <w:rPr>
          <w:rFonts w:ascii="Arial" w:hAnsi="Arial" w:cs="Arial"/>
        </w:rPr>
        <w:t xml:space="preserve"> communication quality, digital literacy, access to technology, and the suitability of remote consultations for certain patient groups. Understanding how </w:t>
      </w:r>
      <w:r w:rsidR="00AB2D64" w:rsidRPr="00F16970">
        <w:rPr>
          <w:rFonts w:ascii="Arial" w:hAnsi="Arial" w:cs="Arial"/>
        </w:rPr>
        <w:t>Telehealth</w:t>
      </w:r>
      <w:r w:rsidRPr="00F16970">
        <w:rPr>
          <w:rFonts w:ascii="Arial" w:hAnsi="Arial" w:cs="Arial"/>
        </w:rPr>
        <w:t xml:space="preserve"> affects patient experience is important for healthcare professionals and policymakers. This project aims to address these issues by reviewing current evidence and </w:t>
      </w:r>
      <w:r w:rsidR="0004103A" w:rsidRPr="00F16970">
        <w:rPr>
          <w:rFonts w:ascii="Arial" w:hAnsi="Arial" w:cs="Arial"/>
        </w:rPr>
        <w:t>showing</w:t>
      </w:r>
      <w:r w:rsidRPr="00F16970">
        <w:rPr>
          <w:rFonts w:ascii="Arial" w:hAnsi="Arial" w:cs="Arial"/>
        </w:rPr>
        <w:t xml:space="preserve"> factors that contribute to positive and negative patient experiences in UK primary care.</w:t>
      </w:r>
    </w:p>
    <w:p w14:paraId="332E5A12" w14:textId="051972BF" w:rsidR="00545684" w:rsidRPr="00F16970" w:rsidRDefault="00FF5B70" w:rsidP="00E47810">
      <w:pPr>
        <w:pStyle w:val="Heading2"/>
      </w:pPr>
      <w:r w:rsidRPr="00F16970">
        <w:t>4</w:t>
      </w:r>
      <w:r w:rsidR="008E5015" w:rsidRPr="00F16970">
        <w:t xml:space="preserve">) </w:t>
      </w:r>
      <w:r w:rsidR="00545684" w:rsidRPr="00F16970">
        <w:t>Methods:</w:t>
      </w:r>
    </w:p>
    <w:p w14:paraId="7244BDE4" w14:textId="04C9E26C" w:rsidR="008837C1" w:rsidRPr="00F16970" w:rsidRDefault="008837C1" w:rsidP="008837C1">
      <w:pPr>
        <w:numPr>
          <w:ilvl w:val="0"/>
          <w:numId w:val="7"/>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b/>
          <w:bCs/>
          <w:szCs w:val="24"/>
          <w:lang w:eastAsia="en-GB"/>
        </w:rPr>
        <w:t>Research approach:</w:t>
      </w:r>
      <w:r w:rsidRPr="00F16970">
        <w:rPr>
          <w:rFonts w:ascii="Arial" w:eastAsia="Times New Roman" w:hAnsi="Arial" w:cs="Arial"/>
          <w:szCs w:val="24"/>
          <w:lang w:eastAsia="en-GB"/>
        </w:rPr>
        <w:t xml:space="preserve"> A scoping review using secondary research methods to examine existing evidence on Telehealth and patient experience.</w:t>
      </w:r>
    </w:p>
    <w:p w14:paraId="5235C844" w14:textId="77777777" w:rsidR="008837C1" w:rsidRPr="00F16970" w:rsidRDefault="008837C1" w:rsidP="008837C1">
      <w:pPr>
        <w:numPr>
          <w:ilvl w:val="0"/>
          <w:numId w:val="7"/>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b/>
          <w:bCs/>
          <w:szCs w:val="24"/>
          <w:lang w:eastAsia="en-GB"/>
        </w:rPr>
        <w:t>Type of data:</w:t>
      </w:r>
      <w:r w:rsidRPr="00F16970">
        <w:rPr>
          <w:rFonts w:ascii="Arial" w:eastAsia="Times New Roman" w:hAnsi="Arial" w:cs="Arial"/>
          <w:szCs w:val="24"/>
          <w:lang w:eastAsia="en-GB"/>
        </w:rPr>
        <w:t xml:space="preserve"> Peer-reviewed journal articles, NHS publications, government reports, policy documents, and academic literature.</w:t>
      </w:r>
    </w:p>
    <w:p w14:paraId="7450BCE1" w14:textId="1A44C819" w:rsidR="008837C1" w:rsidRPr="00F16970" w:rsidRDefault="008837C1" w:rsidP="008837C1">
      <w:pPr>
        <w:numPr>
          <w:ilvl w:val="0"/>
          <w:numId w:val="7"/>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b/>
          <w:bCs/>
          <w:szCs w:val="24"/>
          <w:lang w:eastAsia="en-GB"/>
        </w:rPr>
        <w:t>Criteria for selecting sources:</w:t>
      </w:r>
      <w:r w:rsidRPr="00F16970">
        <w:rPr>
          <w:rFonts w:ascii="Arial" w:eastAsia="Times New Roman" w:hAnsi="Arial" w:cs="Arial"/>
          <w:szCs w:val="24"/>
          <w:lang w:eastAsia="en-GB"/>
        </w:rPr>
        <w:t xml:space="preserve"> English-language sources published between 2019 and 2026, focusing on Telehealth and patient experience within UK primary care settings. Sources unrelated to primary care or conducted outside the UK will be excluded.</w:t>
      </w:r>
    </w:p>
    <w:p w14:paraId="586AFE52" w14:textId="77777777" w:rsidR="008837C1" w:rsidRPr="00F16970" w:rsidRDefault="008837C1" w:rsidP="008837C1">
      <w:pPr>
        <w:numPr>
          <w:ilvl w:val="0"/>
          <w:numId w:val="7"/>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b/>
          <w:bCs/>
          <w:szCs w:val="24"/>
          <w:lang w:eastAsia="en-GB"/>
        </w:rPr>
        <w:t>Steps for analysis:</w:t>
      </w:r>
      <w:r w:rsidRPr="00F16970">
        <w:rPr>
          <w:rFonts w:ascii="Arial" w:eastAsia="Times New Roman" w:hAnsi="Arial" w:cs="Arial"/>
          <w:szCs w:val="24"/>
          <w:lang w:eastAsia="en-GB"/>
        </w:rPr>
        <w:t xml:space="preserve"> Relevant literature will be identified through database searches (PubMed, CINAHL, ScienceDirect and Google Scholar). Sources will be screened against the inclusion criteria, key findings will be extracted, and a thematic analysis will be conducted to identify common themes and patterns.</w:t>
      </w:r>
    </w:p>
    <w:p w14:paraId="1BAB6FED" w14:textId="2F1898A7" w:rsidR="008837C1" w:rsidRPr="00F16970" w:rsidRDefault="008837C1" w:rsidP="008837C1">
      <w:pPr>
        <w:numPr>
          <w:ilvl w:val="0"/>
          <w:numId w:val="7"/>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b/>
          <w:bCs/>
          <w:szCs w:val="24"/>
          <w:lang w:eastAsia="en-GB"/>
        </w:rPr>
        <w:t>Ethical considerations:</w:t>
      </w:r>
      <w:r w:rsidRPr="00F16970">
        <w:rPr>
          <w:rFonts w:ascii="Arial" w:eastAsia="Times New Roman" w:hAnsi="Arial" w:cs="Arial"/>
          <w:szCs w:val="24"/>
          <w:lang w:eastAsia="en-GB"/>
        </w:rPr>
        <w:t xml:space="preserve"> Academic integrity will be </w:t>
      </w:r>
      <w:r w:rsidR="00EF571D" w:rsidRPr="00F16970">
        <w:rPr>
          <w:rFonts w:ascii="Arial" w:eastAsia="Times New Roman" w:hAnsi="Arial" w:cs="Arial"/>
          <w:szCs w:val="24"/>
          <w:lang w:eastAsia="en-GB"/>
        </w:rPr>
        <w:t>supported</w:t>
      </w:r>
      <w:r w:rsidRPr="00F16970">
        <w:rPr>
          <w:rFonts w:ascii="Arial" w:eastAsia="Times New Roman" w:hAnsi="Arial" w:cs="Arial"/>
          <w:szCs w:val="24"/>
          <w:lang w:eastAsia="en-GB"/>
        </w:rPr>
        <w:t xml:space="preserve"> through accurate citation and referencing using the UWTSD Harvard style. Plagiarism will be avoided by properly acknowledging all sources and presenting findings objectively.</w:t>
      </w:r>
    </w:p>
    <w:p w14:paraId="2FE332DF" w14:textId="77777777" w:rsidR="00331F5A" w:rsidRPr="00F16970" w:rsidRDefault="00331F5A" w:rsidP="00331F5A">
      <w:pPr>
        <w:spacing w:line="360" w:lineRule="auto"/>
        <w:ind w:left="720"/>
        <w:rPr>
          <w:rFonts w:ascii="Arial" w:hAnsi="Arial" w:cs="Arial"/>
        </w:rPr>
      </w:pPr>
    </w:p>
    <w:p w14:paraId="232DCC93" w14:textId="74A66EC3" w:rsidR="0061260B" w:rsidRPr="00F16970" w:rsidRDefault="00FF5B70" w:rsidP="00E47810">
      <w:pPr>
        <w:pStyle w:val="Heading2"/>
      </w:pPr>
      <w:r w:rsidRPr="00F16970">
        <w:t>5</w:t>
      </w:r>
      <w:r w:rsidR="0061260B" w:rsidRPr="00F16970">
        <w:t>) Resources</w:t>
      </w:r>
      <w:r w:rsidR="00260277" w:rsidRPr="00F16970">
        <w:t>:</w:t>
      </w:r>
      <w:r w:rsidR="0061260B" w:rsidRPr="00F16970">
        <w:t xml:space="preserve"> </w:t>
      </w:r>
    </w:p>
    <w:p w14:paraId="1D946737"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UWTSD Online Library</w:t>
      </w:r>
    </w:p>
    <w:p w14:paraId="61486F56"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Google Scholar</w:t>
      </w:r>
    </w:p>
    <w:p w14:paraId="32E42596"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PubMed</w:t>
      </w:r>
    </w:p>
    <w:p w14:paraId="7582C22E"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CINAHL Database</w:t>
      </w:r>
    </w:p>
    <w:p w14:paraId="346064FC"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ScienceDirect</w:t>
      </w:r>
    </w:p>
    <w:p w14:paraId="710EDE34"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NHS England Publications</w:t>
      </w:r>
    </w:p>
    <w:p w14:paraId="626F55BE"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Microsoft Word</w:t>
      </w:r>
    </w:p>
    <w:p w14:paraId="64394698" w14:textId="77777777" w:rsidR="00D40BEB" w:rsidRPr="00F16970" w:rsidRDefault="00D40BEB" w:rsidP="00D40BEB">
      <w:pPr>
        <w:numPr>
          <w:ilvl w:val="0"/>
          <w:numId w:val="8"/>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Internet Access</w:t>
      </w:r>
    </w:p>
    <w:p w14:paraId="0FE77585" w14:textId="45EB88AC" w:rsidR="00545684" w:rsidRPr="00F16970" w:rsidRDefault="00FF5B70" w:rsidP="00E47810">
      <w:pPr>
        <w:pStyle w:val="Heading2"/>
      </w:pPr>
      <w:r w:rsidRPr="00F16970">
        <w:t>6</w:t>
      </w:r>
      <w:r w:rsidR="0061260B" w:rsidRPr="00F16970">
        <w:t>) Timescale:</w:t>
      </w:r>
    </w:p>
    <w:p w14:paraId="13BDC7CF" w14:textId="77777777" w:rsidR="00C2500B" w:rsidRPr="00F16970" w:rsidRDefault="00C2500B" w:rsidP="00C2500B">
      <w:pPr>
        <w:numPr>
          <w:ilvl w:val="0"/>
          <w:numId w:val="9"/>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June 2026: Complete project proposal</w:t>
      </w:r>
    </w:p>
    <w:p w14:paraId="72A70745" w14:textId="77777777" w:rsidR="00C2500B" w:rsidRPr="00F16970" w:rsidRDefault="00C2500B" w:rsidP="00C2500B">
      <w:pPr>
        <w:numPr>
          <w:ilvl w:val="0"/>
          <w:numId w:val="9"/>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July 2026: Conduct literature search</w:t>
      </w:r>
    </w:p>
    <w:p w14:paraId="0CCECF51" w14:textId="77777777" w:rsidR="00C2500B" w:rsidRPr="00F16970" w:rsidRDefault="00C2500B" w:rsidP="00C2500B">
      <w:pPr>
        <w:numPr>
          <w:ilvl w:val="0"/>
          <w:numId w:val="9"/>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August 2026: Screen and select sources</w:t>
      </w:r>
    </w:p>
    <w:p w14:paraId="74F40374" w14:textId="77777777" w:rsidR="00C2500B" w:rsidRPr="00F16970" w:rsidRDefault="00C2500B" w:rsidP="00C2500B">
      <w:pPr>
        <w:numPr>
          <w:ilvl w:val="0"/>
          <w:numId w:val="9"/>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September 2026: Analyse findings</w:t>
      </w:r>
    </w:p>
    <w:p w14:paraId="50357FB6" w14:textId="77777777" w:rsidR="00C2500B" w:rsidRPr="00F16970" w:rsidRDefault="00C2500B" w:rsidP="00C2500B">
      <w:pPr>
        <w:numPr>
          <w:ilvl w:val="0"/>
          <w:numId w:val="9"/>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October–November 2026: Write dissertation</w:t>
      </w:r>
    </w:p>
    <w:p w14:paraId="41BD97AB" w14:textId="6B6CF93E" w:rsidR="00260277" w:rsidRPr="00F16970" w:rsidRDefault="00C2500B" w:rsidP="00C2500B">
      <w:pPr>
        <w:numPr>
          <w:ilvl w:val="0"/>
          <w:numId w:val="9"/>
        </w:numPr>
        <w:spacing w:before="100" w:beforeAutospacing="1" w:after="100" w:afterAutospacing="1" w:line="240" w:lineRule="auto"/>
        <w:rPr>
          <w:rFonts w:ascii="Arial" w:eastAsia="Times New Roman" w:hAnsi="Arial" w:cs="Arial"/>
          <w:szCs w:val="24"/>
          <w:lang w:eastAsia="en-GB"/>
        </w:rPr>
      </w:pPr>
      <w:r w:rsidRPr="00F16970">
        <w:rPr>
          <w:rFonts w:ascii="Arial" w:eastAsia="Times New Roman" w:hAnsi="Arial" w:cs="Arial"/>
          <w:szCs w:val="24"/>
          <w:lang w:eastAsia="en-GB"/>
        </w:rPr>
        <w:t>December 2026: Review and submit final project</w:t>
      </w:r>
    </w:p>
    <w:p w14:paraId="5713A915" w14:textId="60566118" w:rsidR="00FF5B70" w:rsidRPr="00F16970" w:rsidRDefault="00FF5B70" w:rsidP="00041A5A">
      <w:pPr>
        <w:spacing w:line="360" w:lineRule="auto"/>
        <w:rPr>
          <w:rFonts w:ascii="Arial" w:hAnsi="Arial" w:cs="Arial"/>
          <w:b/>
          <w:bCs/>
          <w:i/>
          <w:iCs/>
          <w:sz w:val="28"/>
          <w:szCs w:val="28"/>
        </w:rPr>
      </w:pPr>
      <w:r w:rsidRPr="00F16970">
        <w:rPr>
          <w:rFonts w:ascii="Arial" w:hAnsi="Arial" w:cs="Arial"/>
          <w:b/>
          <w:bCs/>
          <w:i/>
          <w:iCs/>
          <w:sz w:val="28"/>
          <w:szCs w:val="28"/>
        </w:rPr>
        <w:t>7) Self-reflection as researcher (any strengths or challenges):</w:t>
      </w:r>
    </w:p>
    <w:p w14:paraId="4C9F674E" w14:textId="7D43BD81" w:rsidR="009A2C73" w:rsidRPr="00F16970" w:rsidRDefault="009A2C73">
      <w:pPr>
        <w:pStyle w:val="p1"/>
        <w:rPr>
          <w:rFonts w:ascii="Arial" w:hAnsi="Arial" w:cs="Arial"/>
        </w:rPr>
      </w:pPr>
      <w:r w:rsidRPr="00F16970">
        <w:rPr>
          <w:rFonts w:ascii="Arial" w:hAnsi="Arial" w:cs="Arial"/>
        </w:rPr>
        <w:t>One of my strengths as a researcher is my ability to locate and review academic literature from a range of reliable sources. I am also interested in digital healthcare and its impact on patient care. A challenge may be managing a large volume of information and selecting the most relevant evidence. Through this project, I hope to improve my critical analysis, academic writing, and independent research skills while developing a deeper understanding of Telehealth in UK primary care.</w:t>
      </w:r>
    </w:p>
    <w:p w14:paraId="262C8CA3" w14:textId="4D2FF9E1" w:rsidR="00545684" w:rsidRPr="00F16970" w:rsidRDefault="00545684" w:rsidP="00FF5B70">
      <w:pPr>
        <w:pStyle w:val="Heading1"/>
        <w:rPr>
          <w:rFonts w:cs="Arial"/>
        </w:rPr>
      </w:pPr>
      <w:r w:rsidRPr="00F16970">
        <w:rPr>
          <w:rFonts w:cs="Arial"/>
        </w:rPr>
        <w:t>References</w:t>
      </w:r>
    </w:p>
    <w:p w14:paraId="6D871C44" w14:textId="77777777" w:rsidR="00331F5A" w:rsidRPr="00F16970" w:rsidRDefault="00331F5A" w:rsidP="00331F5A">
      <w:pPr>
        <w:spacing w:line="360" w:lineRule="auto"/>
        <w:rPr>
          <w:rFonts w:ascii="Arial" w:hAnsi="Arial" w:cs="Arial"/>
        </w:rPr>
      </w:pPr>
    </w:p>
    <w:p w14:paraId="48A1F2D4" w14:textId="286048F8" w:rsidR="00AE12A3" w:rsidRPr="00F16970" w:rsidRDefault="00AE12A3">
      <w:pPr>
        <w:pStyle w:val="p1"/>
        <w:rPr>
          <w:rFonts w:ascii="Arial" w:hAnsi="Arial" w:cs="Arial"/>
        </w:rPr>
      </w:pPr>
      <w:proofErr w:type="spellStart"/>
      <w:r w:rsidRPr="00F16970">
        <w:rPr>
          <w:rFonts w:ascii="Arial" w:hAnsi="Arial" w:cs="Arial"/>
        </w:rPr>
        <w:t>Greenhalgh</w:t>
      </w:r>
      <w:proofErr w:type="spellEnd"/>
      <w:r w:rsidRPr="00F16970">
        <w:rPr>
          <w:rFonts w:ascii="Arial" w:hAnsi="Arial" w:cs="Arial"/>
        </w:rPr>
        <w:t xml:space="preserve">, T., </w:t>
      </w:r>
      <w:proofErr w:type="spellStart"/>
      <w:r w:rsidRPr="00F16970">
        <w:rPr>
          <w:rFonts w:ascii="Arial" w:hAnsi="Arial" w:cs="Arial"/>
        </w:rPr>
        <w:t>Wherton</w:t>
      </w:r>
      <w:proofErr w:type="spellEnd"/>
      <w:r w:rsidRPr="00F16970">
        <w:rPr>
          <w:rFonts w:ascii="Arial" w:hAnsi="Arial" w:cs="Arial"/>
        </w:rPr>
        <w:t xml:space="preserve">, J., Shaw, S. and Morrison, C. (2020) ‘Video consultations for covid-19’, </w:t>
      </w:r>
      <w:r w:rsidRPr="00F16970">
        <w:rPr>
          <w:rStyle w:val="s2"/>
          <w:rFonts w:ascii="Arial" w:hAnsi="Arial" w:cs="Arial"/>
          <w:i/>
          <w:iCs/>
        </w:rPr>
        <w:t>BMJ</w:t>
      </w:r>
      <w:r w:rsidRPr="00F16970">
        <w:rPr>
          <w:rStyle w:val="s1"/>
          <w:rFonts w:ascii="Arial" w:hAnsi="Arial" w:cs="Arial"/>
        </w:rPr>
        <w:t xml:space="preserve">, 368, p. m998. Available at: </w:t>
      </w:r>
      <w:hyperlink r:id="rId7" w:history="1">
        <w:r w:rsidRPr="00F16970">
          <w:rPr>
            <w:rStyle w:val="Hyperlink"/>
            <w:rFonts w:ascii="Arial" w:hAnsi="Arial" w:cs="Arial"/>
          </w:rPr>
          <w:t>https://doi.org/10.1136/bmj.m998</w:t>
        </w:r>
      </w:hyperlink>
    </w:p>
    <w:p w14:paraId="3E3DB004" w14:textId="5CAF575F" w:rsidR="00AE12A3" w:rsidRPr="00F16970" w:rsidRDefault="00AE12A3">
      <w:pPr>
        <w:pStyle w:val="p1"/>
        <w:rPr>
          <w:rFonts w:ascii="Arial" w:hAnsi="Arial" w:cs="Arial"/>
        </w:rPr>
      </w:pPr>
      <w:r w:rsidRPr="00F16970">
        <w:rPr>
          <w:rFonts w:ascii="Arial" w:hAnsi="Arial" w:cs="Arial"/>
        </w:rPr>
        <w:t xml:space="preserve">Murphy, M., Scott, L.J., Salisbury, C., Turner, A., Scott, A., </w:t>
      </w:r>
      <w:proofErr w:type="spellStart"/>
      <w:r w:rsidRPr="00F16970">
        <w:rPr>
          <w:rFonts w:ascii="Arial" w:hAnsi="Arial" w:cs="Arial"/>
        </w:rPr>
        <w:t>Denholm</w:t>
      </w:r>
      <w:proofErr w:type="spellEnd"/>
      <w:r w:rsidRPr="00F16970">
        <w:rPr>
          <w:rFonts w:ascii="Arial" w:hAnsi="Arial" w:cs="Arial"/>
        </w:rPr>
        <w:t xml:space="preserve">, R., Lewis, R., </w:t>
      </w:r>
      <w:proofErr w:type="spellStart"/>
      <w:r w:rsidRPr="00F16970">
        <w:rPr>
          <w:rFonts w:ascii="Arial" w:hAnsi="Arial" w:cs="Arial"/>
        </w:rPr>
        <w:t>Iyer</w:t>
      </w:r>
      <w:proofErr w:type="spellEnd"/>
      <w:r w:rsidRPr="00F16970">
        <w:rPr>
          <w:rFonts w:ascii="Arial" w:hAnsi="Arial" w:cs="Arial"/>
        </w:rPr>
        <w:t xml:space="preserve">, G., Macleod, J. and </w:t>
      </w:r>
      <w:proofErr w:type="spellStart"/>
      <w:r w:rsidRPr="00F16970">
        <w:rPr>
          <w:rFonts w:ascii="Arial" w:hAnsi="Arial" w:cs="Arial"/>
        </w:rPr>
        <w:t>Horwood</w:t>
      </w:r>
      <w:proofErr w:type="spellEnd"/>
      <w:r w:rsidRPr="00F16970">
        <w:rPr>
          <w:rFonts w:ascii="Arial" w:hAnsi="Arial" w:cs="Arial"/>
        </w:rPr>
        <w:t xml:space="preserve">, J. (2021) ‘Implementation of remote consulting in UK primary care following the COVID-19 pandemic: a mixed-methods longitudinal study’, </w:t>
      </w:r>
      <w:r w:rsidRPr="00F16970">
        <w:rPr>
          <w:rStyle w:val="s2"/>
          <w:rFonts w:ascii="Arial" w:hAnsi="Arial" w:cs="Arial"/>
          <w:i/>
          <w:iCs/>
        </w:rPr>
        <w:t>British Journal of General Practice</w:t>
      </w:r>
      <w:r w:rsidRPr="00F16970">
        <w:rPr>
          <w:rStyle w:val="s1"/>
          <w:rFonts w:ascii="Arial" w:hAnsi="Arial" w:cs="Arial"/>
        </w:rPr>
        <w:t xml:space="preserve">, 71(704), pp. e166–e177. Available at: </w:t>
      </w:r>
      <w:hyperlink r:id="rId8" w:history="1">
        <w:r w:rsidRPr="00F16970">
          <w:rPr>
            <w:rStyle w:val="Hyperlink"/>
            <w:rFonts w:ascii="Arial" w:hAnsi="Arial" w:cs="Arial"/>
          </w:rPr>
          <w:t>https://doi.org/10.3399/BJGP.2020.0948</w:t>
        </w:r>
      </w:hyperlink>
    </w:p>
    <w:p w14:paraId="27356861" w14:textId="34D93552" w:rsidR="00AE12A3" w:rsidRPr="00F16970" w:rsidRDefault="00AE12A3">
      <w:pPr>
        <w:pStyle w:val="p1"/>
        <w:rPr>
          <w:rFonts w:ascii="Arial" w:hAnsi="Arial" w:cs="Arial"/>
        </w:rPr>
      </w:pPr>
      <w:r w:rsidRPr="00F16970">
        <w:rPr>
          <w:rFonts w:ascii="Arial" w:hAnsi="Arial" w:cs="Arial"/>
        </w:rPr>
        <w:t xml:space="preserve">Salisbury, C., Murphy, M. and Duncan, P. (2020) ‘The impact of remote consultations on the quality of primary care’, </w:t>
      </w:r>
      <w:r w:rsidRPr="00F16970">
        <w:rPr>
          <w:rStyle w:val="s2"/>
          <w:rFonts w:ascii="Arial" w:hAnsi="Arial" w:cs="Arial"/>
          <w:i/>
          <w:iCs/>
        </w:rPr>
        <w:t>British Journal of General Practice</w:t>
      </w:r>
      <w:r w:rsidRPr="00F16970">
        <w:rPr>
          <w:rStyle w:val="s1"/>
          <w:rFonts w:ascii="Arial" w:hAnsi="Arial" w:cs="Arial"/>
        </w:rPr>
        <w:t xml:space="preserve">, 70(695), pp. 364–365. Available at: </w:t>
      </w:r>
      <w:hyperlink r:id="rId9" w:history="1">
        <w:r w:rsidRPr="00F16970">
          <w:rPr>
            <w:rStyle w:val="Hyperlink"/>
            <w:rFonts w:ascii="Arial" w:hAnsi="Arial" w:cs="Arial"/>
          </w:rPr>
          <w:t>https://doi.org/10.3399/bjgp20X710669</w:t>
        </w:r>
      </w:hyperlink>
    </w:p>
    <w:p w14:paraId="4DD6D036" w14:textId="77F853A0" w:rsidR="00AE12A3" w:rsidRPr="00F16970" w:rsidRDefault="00AE12A3">
      <w:pPr>
        <w:pStyle w:val="p1"/>
        <w:rPr>
          <w:rFonts w:ascii="Arial" w:hAnsi="Arial" w:cs="Arial"/>
        </w:rPr>
      </w:pPr>
      <w:proofErr w:type="spellStart"/>
      <w:r w:rsidRPr="00F16970">
        <w:rPr>
          <w:rFonts w:ascii="Arial" w:hAnsi="Arial" w:cs="Arial"/>
        </w:rPr>
        <w:t>Mold</w:t>
      </w:r>
      <w:proofErr w:type="spellEnd"/>
      <w:r w:rsidRPr="00F16970">
        <w:rPr>
          <w:rFonts w:ascii="Arial" w:hAnsi="Arial" w:cs="Arial"/>
        </w:rPr>
        <w:t xml:space="preserve">, F., </w:t>
      </w:r>
      <w:proofErr w:type="spellStart"/>
      <w:r w:rsidRPr="00F16970">
        <w:rPr>
          <w:rFonts w:ascii="Arial" w:hAnsi="Arial" w:cs="Arial"/>
        </w:rPr>
        <w:t>Hendy</w:t>
      </w:r>
      <w:proofErr w:type="spellEnd"/>
      <w:r w:rsidRPr="00F16970">
        <w:rPr>
          <w:rFonts w:ascii="Arial" w:hAnsi="Arial" w:cs="Arial"/>
        </w:rPr>
        <w:t xml:space="preserve">, J., Lai, Y.L. and de </w:t>
      </w:r>
      <w:proofErr w:type="spellStart"/>
      <w:r w:rsidRPr="00F16970">
        <w:rPr>
          <w:rFonts w:ascii="Arial" w:hAnsi="Arial" w:cs="Arial"/>
        </w:rPr>
        <w:t>Lusignan</w:t>
      </w:r>
      <w:proofErr w:type="spellEnd"/>
      <w:r w:rsidRPr="00F16970">
        <w:rPr>
          <w:rFonts w:ascii="Arial" w:hAnsi="Arial" w:cs="Arial"/>
        </w:rPr>
        <w:t xml:space="preserve">, S. (2021) ‘Electronic consultation in primary care between providers and patients: systematic review’, </w:t>
      </w:r>
      <w:r w:rsidRPr="00F16970">
        <w:rPr>
          <w:rStyle w:val="s2"/>
          <w:rFonts w:ascii="Arial" w:hAnsi="Arial" w:cs="Arial"/>
          <w:i/>
          <w:iCs/>
        </w:rPr>
        <w:t>BMJ Health and Care Informatics</w:t>
      </w:r>
      <w:r w:rsidRPr="00F16970">
        <w:rPr>
          <w:rStyle w:val="s1"/>
          <w:rFonts w:ascii="Arial" w:hAnsi="Arial" w:cs="Arial"/>
        </w:rPr>
        <w:t xml:space="preserve">, 28(1), e100256. Available at: </w:t>
      </w:r>
      <w:hyperlink r:id="rId10" w:history="1">
        <w:r w:rsidRPr="00F16970">
          <w:rPr>
            <w:rStyle w:val="Hyperlink"/>
            <w:rFonts w:ascii="Arial" w:hAnsi="Arial" w:cs="Arial"/>
          </w:rPr>
          <w:t>https://doi.org/10.1136/bmjhci-2020-100256</w:t>
        </w:r>
      </w:hyperlink>
    </w:p>
    <w:p w14:paraId="74E3FE37" w14:textId="5EE55128" w:rsidR="00AE12A3" w:rsidRPr="00F16970" w:rsidRDefault="00AE12A3">
      <w:pPr>
        <w:pStyle w:val="p1"/>
        <w:rPr>
          <w:rFonts w:ascii="Arial" w:hAnsi="Arial" w:cs="Arial"/>
        </w:rPr>
      </w:pPr>
      <w:proofErr w:type="spellStart"/>
      <w:r w:rsidRPr="00F16970">
        <w:rPr>
          <w:rFonts w:ascii="Arial" w:hAnsi="Arial" w:cs="Arial"/>
        </w:rPr>
        <w:t>Wherton</w:t>
      </w:r>
      <w:proofErr w:type="spellEnd"/>
      <w:r w:rsidRPr="00F16970">
        <w:rPr>
          <w:rFonts w:ascii="Arial" w:hAnsi="Arial" w:cs="Arial"/>
        </w:rPr>
        <w:t xml:space="preserve">, J., Shaw, S., </w:t>
      </w:r>
      <w:proofErr w:type="spellStart"/>
      <w:r w:rsidRPr="00F16970">
        <w:rPr>
          <w:rFonts w:ascii="Arial" w:hAnsi="Arial" w:cs="Arial"/>
        </w:rPr>
        <w:t>Papoutsi</w:t>
      </w:r>
      <w:proofErr w:type="spellEnd"/>
      <w:r w:rsidRPr="00F16970">
        <w:rPr>
          <w:rFonts w:ascii="Arial" w:hAnsi="Arial" w:cs="Arial"/>
        </w:rPr>
        <w:t xml:space="preserve">, C., </w:t>
      </w:r>
      <w:proofErr w:type="spellStart"/>
      <w:r w:rsidRPr="00F16970">
        <w:rPr>
          <w:rFonts w:ascii="Arial" w:hAnsi="Arial" w:cs="Arial"/>
        </w:rPr>
        <w:t>Seuren</w:t>
      </w:r>
      <w:proofErr w:type="spellEnd"/>
      <w:r w:rsidRPr="00F16970">
        <w:rPr>
          <w:rFonts w:ascii="Arial" w:hAnsi="Arial" w:cs="Arial"/>
        </w:rPr>
        <w:t xml:space="preserve">, L., </w:t>
      </w:r>
      <w:proofErr w:type="spellStart"/>
      <w:r w:rsidRPr="00F16970">
        <w:rPr>
          <w:rFonts w:ascii="Arial" w:hAnsi="Arial" w:cs="Arial"/>
        </w:rPr>
        <w:t>Greenhalgh</w:t>
      </w:r>
      <w:proofErr w:type="spellEnd"/>
      <w:r w:rsidRPr="00F16970">
        <w:rPr>
          <w:rFonts w:ascii="Arial" w:hAnsi="Arial" w:cs="Arial"/>
        </w:rPr>
        <w:t xml:space="preserve">, T. and others (2020) ‘Guidance on the introduction and use of video consultations during COVID-19’, </w:t>
      </w:r>
      <w:r w:rsidRPr="00F16970">
        <w:rPr>
          <w:rStyle w:val="s2"/>
          <w:rFonts w:ascii="Arial" w:hAnsi="Arial" w:cs="Arial"/>
          <w:i/>
          <w:iCs/>
        </w:rPr>
        <w:t>Journal of Medical Internet Research</w:t>
      </w:r>
      <w:r w:rsidRPr="00F16970">
        <w:rPr>
          <w:rStyle w:val="s1"/>
          <w:rFonts w:ascii="Arial" w:hAnsi="Arial" w:cs="Arial"/>
        </w:rPr>
        <w:t xml:space="preserve">, 22(5), e18808. Available at: </w:t>
      </w:r>
      <w:hyperlink r:id="rId11" w:history="1">
        <w:r w:rsidRPr="00F16970">
          <w:rPr>
            <w:rStyle w:val="Hyperlink"/>
            <w:rFonts w:ascii="Arial" w:hAnsi="Arial" w:cs="Arial"/>
          </w:rPr>
          <w:t>https://doi.org/10.2196/18808</w:t>
        </w:r>
      </w:hyperlink>
    </w:p>
    <w:p w14:paraId="3040A205" w14:textId="24A021C5" w:rsidR="00AE12A3" w:rsidRPr="00F16970" w:rsidRDefault="00AE12A3">
      <w:pPr>
        <w:pStyle w:val="p1"/>
        <w:rPr>
          <w:rFonts w:ascii="Arial" w:hAnsi="Arial" w:cs="Arial"/>
        </w:rPr>
      </w:pPr>
      <w:proofErr w:type="spellStart"/>
      <w:r w:rsidRPr="00F16970">
        <w:rPr>
          <w:rFonts w:ascii="Arial" w:hAnsi="Arial" w:cs="Arial"/>
        </w:rPr>
        <w:t>Lifford</w:t>
      </w:r>
      <w:proofErr w:type="spellEnd"/>
      <w:r w:rsidRPr="00F16970">
        <w:rPr>
          <w:rFonts w:ascii="Arial" w:hAnsi="Arial" w:cs="Arial"/>
        </w:rPr>
        <w:t xml:space="preserve">, K.J., Campbell, J.L., Salisbury, C., et al. (2024) ‘Satisfaction with remote consultations in primary care during the COVID-19 pandemic’, </w:t>
      </w:r>
      <w:r w:rsidRPr="00F16970">
        <w:rPr>
          <w:rStyle w:val="s2"/>
          <w:rFonts w:ascii="Arial" w:hAnsi="Arial" w:cs="Arial"/>
          <w:i/>
          <w:iCs/>
        </w:rPr>
        <w:t>British Journal of General Practice</w:t>
      </w:r>
      <w:r w:rsidRPr="00F16970">
        <w:rPr>
          <w:rStyle w:val="s1"/>
          <w:rFonts w:ascii="Arial" w:hAnsi="Arial" w:cs="Arial"/>
        </w:rPr>
        <w:t xml:space="preserve">, 74(739), pp. e96–e105. Available at: </w:t>
      </w:r>
      <w:hyperlink r:id="rId12" w:history="1">
        <w:r w:rsidRPr="00F16970">
          <w:rPr>
            <w:rStyle w:val="Hyperlink"/>
            <w:rFonts w:ascii="Arial" w:hAnsi="Arial" w:cs="Arial"/>
          </w:rPr>
          <w:t>https://doi.org/10.3399/BJGP.2023.0485</w:t>
        </w:r>
      </w:hyperlink>
    </w:p>
    <w:p w14:paraId="6BAA2B43" w14:textId="5F695A6E" w:rsidR="00AE12A3" w:rsidRPr="00F16970" w:rsidRDefault="00AE12A3">
      <w:pPr>
        <w:pStyle w:val="p1"/>
        <w:rPr>
          <w:rFonts w:ascii="Arial" w:hAnsi="Arial" w:cs="Arial"/>
        </w:rPr>
      </w:pPr>
      <w:r w:rsidRPr="00F16970">
        <w:rPr>
          <w:rFonts w:ascii="Arial" w:hAnsi="Arial" w:cs="Arial"/>
        </w:rPr>
        <w:t xml:space="preserve">Rosen, R., Wieringa, S., </w:t>
      </w:r>
      <w:proofErr w:type="spellStart"/>
      <w:r w:rsidRPr="00F16970">
        <w:rPr>
          <w:rFonts w:ascii="Arial" w:hAnsi="Arial" w:cs="Arial"/>
        </w:rPr>
        <w:t>Greenhalgh</w:t>
      </w:r>
      <w:proofErr w:type="spellEnd"/>
      <w:r w:rsidRPr="00F16970">
        <w:rPr>
          <w:rFonts w:ascii="Arial" w:hAnsi="Arial" w:cs="Arial"/>
        </w:rPr>
        <w:t xml:space="preserve">, T., Leone, C. and others (2022) ‘Clinical risk in remote consultations in general practice’, </w:t>
      </w:r>
      <w:r w:rsidRPr="00F16970">
        <w:rPr>
          <w:rStyle w:val="s2"/>
          <w:rFonts w:ascii="Arial" w:hAnsi="Arial" w:cs="Arial"/>
          <w:i/>
          <w:iCs/>
        </w:rPr>
        <w:t>BJGP Open</w:t>
      </w:r>
      <w:r w:rsidRPr="00F16970">
        <w:rPr>
          <w:rStyle w:val="s1"/>
          <w:rFonts w:ascii="Arial" w:hAnsi="Arial" w:cs="Arial"/>
        </w:rPr>
        <w:t xml:space="preserve">, 6(3). Available at: </w:t>
      </w:r>
      <w:hyperlink r:id="rId13" w:history="1">
        <w:r w:rsidRPr="00F16970">
          <w:rPr>
            <w:rStyle w:val="Hyperlink"/>
            <w:rFonts w:ascii="Arial" w:hAnsi="Arial" w:cs="Arial"/>
          </w:rPr>
          <w:t>https://doi.org/10.3399/BJGPO.2021.0204</w:t>
        </w:r>
      </w:hyperlink>
    </w:p>
    <w:p w14:paraId="1B15452A" w14:textId="35F68631" w:rsidR="00AE12A3" w:rsidRPr="00F16970" w:rsidRDefault="00AE12A3">
      <w:pPr>
        <w:pStyle w:val="p1"/>
        <w:rPr>
          <w:rFonts w:ascii="Arial" w:hAnsi="Arial" w:cs="Arial"/>
        </w:rPr>
      </w:pPr>
      <w:r w:rsidRPr="00F16970">
        <w:rPr>
          <w:rFonts w:ascii="Arial" w:hAnsi="Arial" w:cs="Arial"/>
        </w:rPr>
        <w:t xml:space="preserve">Atherton, H., Brant, H., </w:t>
      </w:r>
      <w:proofErr w:type="spellStart"/>
      <w:r w:rsidRPr="00F16970">
        <w:rPr>
          <w:rFonts w:ascii="Arial" w:hAnsi="Arial" w:cs="Arial"/>
        </w:rPr>
        <w:t>Ziebland</w:t>
      </w:r>
      <w:proofErr w:type="spellEnd"/>
      <w:r w:rsidRPr="00F16970">
        <w:rPr>
          <w:rFonts w:ascii="Arial" w:hAnsi="Arial" w:cs="Arial"/>
        </w:rPr>
        <w:t xml:space="preserve">, S., </w:t>
      </w:r>
      <w:proofErr w:type="spellStart"/>
      <w:r w:rsidRPr="00F16970">
        <w:rPr>
          <w:rFonts w:ascii="Arial" w:hAnsi="Arial" w:cs="Arial"/>
        </w:rPr>
        <w:t>Bikker</w:t>
      </w:r>
      <w:proofErr w:type="spellEnd"/>
      <w:r w:rsidRPr="00F16970">
        <w:rPr>
          <w:rFonts w:ascii="Arial" w:hAnsi="Arial" w:cs="Arial"/>
        </w:rPr>
        <w:t xml:space="preserve">, A., Campbell, J., Gibson, A., </w:t>
      </w:r>
      <w:proofErr w:type="spellStart"/>
      <w:r w:rsidRPr="00F16970">
        <w:rPr>
          <w:rFonts w:ascii="Arial" w:hAnsi="Arial" w:cs="Arial"/>
        </w:rPr>
        <w:t>McKinstry</w:t>
      </w:r>
      <w:proofErr w:type="spellEnd"/>
      <w:r w:rsidRPr="00F16970">
        <w:rPr>
          <w:rFonts w:ascii="Arial" w:hAnsi="Arial" w:cs="Arial"/>
        </w:rPr>
        <w:t xml:space="preserve">, B. and </w:t>
      </w:r>
      <w:proofErr w:type="spellStart"/>
      <w:r w:rsidRPr="00F16970">
        <w:rPr>
          <w:rFonts w:ascii="Arial" w:hAnsi="Arial" w:cs="Arial"/>
        </w:rPr>
        <w:t>Porqueddu</w:t>
      </w:r>
      <w:proofErr w:type="spellEnd"/>
      <w:r w:rsidRPr="00F16970">
        <w:rPr>
          <w:rFonts w:ascii="Arial" w:hAnsi="Arial" w:cs="Arial"/>
        </w:rPr>
        <w:t xml:space="preserve">, T. (2018) ‘Alternatives to the face-to-face consultation in general practice: focused ethnographic case study’, </w:t>
      </w:r>
      <w:r w:rsidRPr="00F16970">
        <w:rPr>
          <w:rStyle w:val="s2"/>
          <w:rFonts w:ascii="Arial" w:hAnsi="Arial" w:cs="Arial"/>
          <w:i/>
          <w:iCs/>
        </w:rPr>
        <w:t>British Journal of General Practice</w:t>
      </w:r>
      <w:r w:rsidRPr="00F16970">
        <w:rPr>
          <w:rStyle w:val="s1"/>
          <w:rFonts w:ascii="Arial" w:hAnsi="Arial" w:cs="Arial"/>
        </w:rPr>
        <w:t xml:space="preserve">, 68(669), pp. e293–e300. Available at: </w:t>
      </w:r>
      <w:hyperlink r:id="rId14" w:history="1">
        <w:r w:rsidRPr="00F16970">
          <w:rPr>
            <w:rStyle w:val="Hyperlink"/>
            <w:rFonts w:ascii="Arial" w:hAnsi="Arial" w:cs="Arial"/>
          </w:rPr>
          <w:t>https://doi.org/10.3399/bjgp18X694853</w:t>
        </w:r>
      </w:hyperlink>
    </w:p>
    <w:p w14:paraId="38C00A6E" w14:textId="5EC2AFA5" w:rsidR="00AE12A3" w:rsidRPr="00F16970" w:rsidRDefault="00AE12A3">
      <w:pPr>
        <w:pStyle w:val="p1"/>
        <w:rPr>
          <w:rFonts w:ascii="Arial" w:hAnsi="Arial" w:cs="Arial"/>
        </w:rPr>
      </w:pPr>
      <w:r w:rsidRPr="00F16970">
        <w:rPr>
          <w:rFonts w:ascii="Arial" w:hAnsi="Arial" w:cs="Arial"/>
        </w:rPr>
        <w:t xml:space="preserve">Shaw, S., </w:t>
      </w:r>
      <w:proofErr w:type="spellStart"/>
      <w:r w:rsidRPr="00F16970">
        <w:rPr>
          <w:rFonts w:ascii="Arial" w:hAnsi="Arial" w:cs="Arial"/>
        </w:rPr>
        <w:t>Wherton</w:t>
      </w:r>
      <w:proofErr w:type="spellEnd"/>
      <w:r w:rsidRPr="00F16970">
        <w:rPr>
          <w:rFonts w:ascii="Arial" w:hAnsi="Arial" w:cs="Arial"/>
        </w:rPr>
        <w:t xml:space="preserve">, J., </w:t>
      </w:r>
      <w:proofErr w:type="spellStart"/>
      <w:r w:rsidRPr="00F16970">
        <w:rPr>
          <w:rFonts w:ascii="Arial" w:hAnsi="Arial" w:cs="Arial"/>
        </w:rPr>
        <w:t>Vijayaraghavan</w:t>
      </w:r>
      <w:proofErr w:type="spellEnd"/>
      <w:r w:rsidRPr="00F16970">
        <w:rPr>
          <w:rFonts w:ascii="Arial" w:hAnsi="Arial" w:cs="Arial"/>
        </w:rPr>
        <w:t xml:space="preserve">, S., Morris, J., </w:t>
      </w:r>
      <w:proofErr w:type="spellStart"/>
      <w:r w:rsidRPr="00F16970">
        <w:rPr>
          <w:rFonts w:ascii="Arial" w:hAnsi="Arial" w:cs="Arial"/>
        </w:rPr>
        <w:t>Bhattacharya</w:t>
      </w:r>
      <w:proofErr w:type="spellEnd"/>
      <w:r w:rsidRPr="00F16970">
        <w:rPr>
          <w:rFonts w:ascii="Arial" w:hAnsi="Arial" w:cs="Arial"/>
        </w:rPr>
        <w:t xml:space="preserve">, S., Hanson, P., Campbell-Richards, D., </w:t>
      </w:r>
      <w:proofErr w:type="spellStart"/>
      <w:r w:rsidRPr="00F16970">
        <w:rPr>
          <w:rFonts w:ascii="Arial" w:hAnsi="Arial" w:cs="Arial"/>
        </w:rPr>
        <w:t>Ramoutar</w:t>
      </w:r>
      <w:proofErr w:type="spellEnd"/>
      <w:r w:rsidRPr="00F16970">
        <w:rPr>
          <w:rFonts w:ascii="Arial" w:hAnsi="Arial" w:cs="Arial"/>
        </w:rPr>
        <w:t xml:space="preserve">, S., Collard, A. and </w:t>
      </w:r>
      <w:proofErr w:type="spellStart"/>
      <w:r w:rsidRPr="00F16970">
        <w:rPr>
          <w:rFonts w:ascii="Arial" w:hAnsi="Arial" w:cs="Arial"/>
        </w:rPr>
        <w:t>Hodkinson</w:t>
      </w:r>
      <w:proofErr w:type="spellEnd"/>
      <w:r w:rsidRPr="00F16970">
        <w:rPr>
          <w:rFonts w:ascii="Arial" w:hAnsi="Arial" w:cs="Arial"/>
        </w:rPr>
        <w:t xml:space="preserve">, I. (2021) ‘Advantages and limitations of virtual online consultations in a NHS acute trust’, </w:t>
      </w:r>
      <w:r w:rsidRPr="00F16970">
        <w:rPr>
          <w:rStyle w:val="s2"/>
          <w:rFonts w:ascii="Arial" w:hAnsi="Arial" w:cs="Arial"/>
          <w:i/>
          <w:iCs/>
        </w:rPr>
        <w:t>BMJ Open</w:t>
      </w:r>
      <w:r w:rsidRPr="00F16970">
        <w:rPr>
          <w:rStyle w:val="s1"/>
          <w:rFonts w:ascii="Arial" w:hAnsi="Arial" w:cs="Arial"/>
        </w:rPr>
        <w:t xml:space="preserve">, 11(3), e046458. Available at: </w:t>
      </w:r>
      <w:hyperlink r:id="rId15" w:history="1">
        <w:r w:rsidRPr="00F16970">
          <w:rPr>
            <w:rStyle w:val="Hyperlink"/>
            <w:rFonts w:ascii="Arial" w:hAnsi="Arial" w:cs="Arial"/>
          </w:rPr>
          <w:t>https://doi.org/10.1136/bmjopen-2020-046458</w:t>
        </w:r>
      </w:hyperlink>
    </w:p>
    <w:p w14:paraId="5BC91157" w14:textId="712E36AA" w:rsidR="00545684" w:rsidRPr="00AE12A3" w:rsidRDefault="00AE12A3" w:rsidP="00AE12A3">
      <w:pPr>
        <w:pStyle w:val="p1"/>
      </w:pPr>
      <w:r w:rsidRPr="00F16970">
        <w:rPr>
          <w:rFonts w:ascii="Arial" w:hAnsi="Arial" w:cs="Arial"/>
        </w:rPr>
        <w:t xml:space="preserve">Baines, R., </w:t>
      </w:r>
      <w:proofErr w:type="spellStart"/>
      <w:r w:rsidRPr="00F16970">
        <w:rPr>
          <w:rFonts w:ascii="Arial" w:hAnsi="Arial" w:cs="Arial"/>
        </w:rPr>
        <w:t>Tredinnick-Rowe</w:t>
      </w:r>
      <w:proofErr w:type="spellEnd"/>
      <w:r w:rsidRPr="00F16970">
        <w:rPr>
          <w:rFonts w:ascii="Arial" w:hAnsi="Arial" w:cs="Arial"/>
        </w:rPr>
        <w:t xml:space="preserve">, J., Jones, R. and Chatterjee, A. (2022) ‘Barriers and enablers in implementing electronic consultations in primary care’, </w:t>
      </w:r>
      <w:r w:rsidRPr="00F16970">
        <w:rPr>
          <w:rStyle w:val="s2"/>
          <w:rFonts w:ascii="Arial" w:hAnsi="Arial" w:cs="Arial"/>
          <w:i/>
          <w:iCs/>
        </w:rPr>
        <w:t>Health Informatics Journal</w:t>
      </w:r>
      <w:r w:rsidRPr="00F16970">
        <w:rPr>
          <w:rStyle w:val="s1"/>
          <w:rFonts w:ascii="Arial" w:hAnsi="Arial" w:cs="Arial"/>
        </w:rPr>
        <w:t xml:space="preserve">, 28(2). Available at: </w:t>
      </w:r>
      <w:hyperlink r:id="rId16" w:history="1">
        <w:r w:rsidRPr="00F16970">
          <w:rPr>
            <w:rStyle w:val="Hyperlink"/>
            <w:rFonts w:ascii="Arial" w:hAnsi="Arial" w:cs="Arial"/>
          </w:rPr>
          <w:t>https://doi.org/10.1177/14604582221096693</w:t>
        </w:r>
      </w:hyperlink>
      <w:r w:rsidR="00B16373">
        <w:rPr>
          <w:rStyle w:val="s1"/>
        </w:rPr>
        <w:t xml:space="preserve"> </w:t>
      </w:r>
      <w:r w:rsidR="00331F5A" w:rsidRPr="00331F5A">
        <w:rPr>
          <w:rFonts w:ascii="Aptos" w:hAnsi="Aptos" w:cs="Arial"/>
        </w:rPr>
        <w:br/>
      </w:r>
    </w:p>
    <w:sectPr w:rsidR="00545684" w:rsidRPr="00AE12A3" w:rsidSect="00041A5A">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F8CC1" w14:textId="77777777" w:rsidR="009A6F32" w:rsidRDefault="009A6F32" w:rsidP="00545684">
      <w:pPr>
        <w:spacing w:after="0" w:line="240" w:lineRule="auto"/>
      </w:pPr>
      <w:r>
        <w:separator/>
      </w:r>
    </w:p>
  </w:endnote>
  <w:endnote w:type="continuationSeparator" w:id="0">
    <w:p w14:paraId="5169578D" w14:textId="77777777" w:rsidR="009A6F32" w:rsidRDefault="009A6F3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F6508" w14:textId="77777777" w:rsidR="009A6F32" w:rsidRDefault="009A6F32" w:rsidP="00545684">
      <w:pPr>
        <w:spacing w:after="0" w:line="240" w:lineRule="auto"/>
      </w:pPr>
      <w:r>
        <w:separator/>
      </w:r>
    </w:p>
  </w:footnote>
  <w:footnote w:type="continuationSeparator" w:id="0">
    <w:p w14:paraId="3DCC2BA6" w14:textId="77777777" w:rsidR="009A6F32" w:rsidRDefault="009A6F3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462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B4A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265F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6730AA"/>
    <w:multiLevelType w:val="multilevel"/>
    <w:tmpl w:val="26B696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3"/>
  </w:num>
  <w:num w:numId="3" w16cid:durableId="875194671">
    <w:abstractNumId w:val="2"/>
  </w:num>
  <w:num w:numId="4" w16cid:durableId="1703288516">
    <w:abstractNumId w:val="5"/>
  </w:num>
  <w:num w:numId="5" w16cid:durableId="1208763282">
    <w:abstractNumId w:val="7"/>
  </w:num>
  <w:num w:numId="6" w16cid:durableId="542013311">
    <w:abstractNumId w:val="6"/>
  </w:num>
  <w:num w:numId="7" w16cid:durableId="1807703321">
    <w:abstractNumId w:val="1"/>
  </w:num>
  <w:num w:numId="8" w16cid:durableId="612516182">
    <w:abstractNumId w:val="4"/>
  </w:num>
  <w:num w:numId="9" w16cid:durableId="574895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03A"/>
    <w:rsid w:val="00041A5A"/>
    <w:rsid w:val="000966BC"/>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850F5"/>
    <w:rsid w:val="004903AA"/>
    <w:rsid w:val="004913A0"/>
    <w:rsid w:val="004E6C3B"/>
    <w:rsid w:val="005451BD"/>
    <w:rsid w:val="00545684"/>
    <w:rsid w:val="005460EA"/>
    <w:rsid w:val="0061260B"/>
    <w:rsid w:val="00646B10"/>
    <w:rsid w:val="00675B28"/>
    <w:rsid w:val="006D298C"/>
    <w:rsid w:val="006F3A55"/>
    <w:rsid w:val="00715990"/>
    <w:rsid w:val="00784670"/>
    <w:rsid w:val="008120F1"/>
    <w:rsid w:val="008307EB"/>
    <w:rsid w:val="008408D6"/>
    <w:rsid w:val="00866B7B"/>
    <w:rsid w:val="008761DC"/>
    <w:rsid w:val="008837C1"/>
    <w:rsid w:val="0089687F"/>
    <w:rsid w:val="008E5015"/>
    <w:rsid w:val="009A2C73"/>
    <w:rsid w:val="009A6AFF"/>
    <w:rsid w:val="009A6F32"/>
    <w:rsid w:val="009C7460"/>
    <w:rsid w:val="009D1D1E"/>
    <w:rsid w:val="00A035FD"/>
    <w:rsid w:val="00A276A0"/>
    <w:rsid w:val="00A6153D"/>
    <w:rsid w:val="00AB2D64"/>
    <w:rsid w:val="00AE12A3"/>
    <w:rsid w:val="00B16373"/>
    <w:rsid w:val="00B2164B"/>
    <w:rsid w:val="00C2500B"/>
    <w:rsid w:val="00C54573"/>
    <w:rsid w:val="00D025CA"/>
    <w:rsid w:val="00D40BEB"/>
    <w:rsid w:val="00D769F0"/>
    <w:rsid w:val="00E47810"/>
    <w:rsid w:val="00E614D4"/>
    <w:rsid w:val="00E74DAC"/>
    <w:rsid w:val="00EC68DA"/>
    <w:rsid w:val="00EF571D"/>
    <w:rsid w:val="00F16970"/>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p1">
    <w:name w:val="p1"/>
    <w:basedOn w:val="Normal"/>
    <w:rsid w:val="00E74DAC"/>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8120F1"/>
  </w:style>
  <w:style w:type="paragraph" w:customStyle="1" w:styleId="p2">
    <w:name w:val="p2"/>
    <w:basedOn w:val="Normal"/>
    <w:rsid w:val="00E47810"/>
    <w:pPr>
      <w:spacing w:before="100" w:beforeAutospacing="1" w:after="100" w:afterAutospacing="1" w:line="240" w:lineRule="auto"/>
    </w:pPr>
    <w:rPr>
      <w:rFonts w:eastAsiaTheme="minorEastAsia" w:cs="Times New Roman"/>
      <w:szCs w:val="24"/>
      <w:lang w:eastAsia="en-GB"/>
    </w:rPr>
  </w:style>
  <w:style w:type="character" w:customStyle="1" w:styleId="s2">
    <w:name w:val="s2"/>
    <w:basedOn w:val="DefaultParagraphFont"/>
    <w:rsid w:val="008837C1"/>
  </w:style>
  <w:style w:type="character" w:styleId="Hyperlink">
    <w:name w:val="Hyperlink"/>
    <w:basedOn w:val="DefaultParagraphFont"/>
    <w:uiPriority w:val="99"/>
    <w:semiHidden/>
    <w:unhideWhenUsed/>
    <w:rsid w:val="00AE12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9/BJGP.2020.0948" TargetMode="External"/><Relationship Id="rId13" Type="http://schemas.openxmlformats.org/officeDocument/2006/relationships/hyperlink" Target="https://doi.org/10.3399/BJGPO.2021.020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36/bmj.m998" TargetMode="External"/><Relationship Id="rId12" Type="http://schemas.openxmlformats.org/officeDocument/2006/relationships/hyperlink" Target="https://doi.org/10.3399/BJGP.2023.048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77/146045822210966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18808" TargetMode="External"/><Relationship Id="rId5" Type="http://schemas.openxmlformats.org/officeDocument/2006/relationships/footnotes" Target="footnotes.xml"/><Relationship Id="rId15" Type="http://schemas.openxmlformats.org/officeDocument/2006/relationships/hyperlink" Target="https://doi.org/10.1136/bmjopen-2020-046458" TargetMode="External"/><Relationship Id="rId10" Type="http://schemas.openxmlformats.org/officeDocument/2006/relationships/hyperlink" Target="https://doi.org/10.1136/bmjhci-2020-10025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99/bjgp20X710669" TargetMode="External"/><Relationship Id="rId14" Type="http://schemas.openxmlformats.org/officeDocument/2006/relationships/hyperlink" Target="https://doi.org/10.3399/bjgp18X6948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1118</Words>
  <Characters>6378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Newrikaa Jeyapathy (2324340)</cp:lastModifiedBy>
  <cp:revision>2</cp:revision>
  <dcterms:created xsi:type="dcterms:W3CDTF">2026-06-20T20:48:00Z</dcterms:created>
  <dcterms:modified xsi:type="dcterms:W3CDTF">2026-06-20T20:48:00Z</dcterms:modified>
</cp:coreProperties>
</file>