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283AF" w14:textId="77777777" w:rsidR="00CB425F" w:rsidRPr="00CB425F" w:rsidRDefault="00CB425F" w:rsidP="000065D1">
      <w:pPr>
        <w:spacing w:before="3480" w:line="360" w:lineRule="auto"/>
        <w:jc w:val="center"/>
        <w:rPr>
          <w:rFonts w:ascii="Arial" w:hAnsi="Arial" w:cs="Arial"/>
          <w:b/>
          <w:bCs/>
          <w:sz w:val="44"/>
          <w:szCs w:val="44"/>
        </w:rPr>
      </w:pPr>
      <w:r w:rsidRPr="00CB425F">
        <w:rPr>
          <w:rFonts w:ascii="Arial" w:hAnsi="Arial" w:cs="Arial"/>
          <w:b/>
          <w:bCs/>
          <w:sz w:val="44"/>
          <w:szCs w:val="44"/>
        </w:rPr>
        <w:t xml:space="preserve">Transforming Performance Management </w:t>
      </w:r>
    </w:p>
    <w:p w14:paraId="32DF84F9" w14:textId="145F043E" w:rsidR="00CB425F" w:rsidRDefault="00CB425F" w:rsidP="000065D1">
      <w:pPr>
        <w:spacing w:after="4200" w:line="360" w:lineRule="auto"/>
        <w:jc w:val="center"/>
        <w:rPr>
          <w:rFonts w:ascii="Arial" w:hAnsi="Arial" w:cs="Arial"/>
          <w:b/>
          <w:bCs/>
          <w:sz w:val="44"/>
          <w:szCs w:val="44"/>
        </w:rPr>
      </w:pPr>
      <w:r w:rsidRPr="00CB425F">
        <w:rPr>
          <w:rFonts w:ascii="Arial" w:hAnsi="Arial" w:cs="Arial"/>
          <w:b/>
          <w:bCs/>
          <w:sz w:val="44"/>
          <w:szCs w:val="44"/>
        </w:rPr>
        <w:t>and Learning at Premier Inn Through HR Technology</w:t>
      </w:r>
    </w:p>
    <w:p w14:paraId="51984EB6" w14:textId="68FF0AD8" w:rsidR="00CB425F" w:rsidRPr="00CB425F" w:rsidRDefault="00CB425F" w:rsidP="00CB425F">
      <w:pPr>
        <w:spacing w:line="360" w:lineRule="auto"/>
        <w:rPr>
          <w:rFonts w:ascii="Arial" w:hAnsi="Arial" w:cs="Arial"/>
        </w:rPr>
      </w:pPr>
      <w:r w:rsidRPr="00CB425F">
        <w:rPr>
          <w:rFonts w:ascii="Arial" w:hAnsi="Arial" w:cs="Arial"/>
          <w:b/>
          <w:bCs/>
        </w:rPr>
        <w:t>Student name:</w:t>
      </w:r>
      <w:r w:rsidRPr="00CB425F">
        <w:rPr>
          <w:rFonts w:ascii="Arial" w:hAnsi="Arial" w:cs="Arial"/>
        </w:rPr>
        <w:t xml:space="preserve"> Fruzsina Valoczki</w:t>
      </w:r>
    </w:p>
    <w:p w14:paraId="64429A2B" w14:textId="5A4573DF" w:rsidR="00CB425F" w:rsidRPr="00CB425F" w:rsidRDefault="00CB425F" w:rsidP="00CB425F">
      <w:pPr>
        <w:spacing w:after="240" w:line="360" w:lineRule="auto"/>
        <w:rPr>
          <w:rFonts w:ascii="Arial" w:hAnsi="Arial" w:cs="Arial"/>
        </w:rPr>
      </w:pPr>
      <w:r w:rsidRPr="00CB425F">
        <w:rPr>
          <w:rFonts w:ascii="Arial" w:hAnsi="Arial" w:cs="Arial"/>
          <w:b/>
          <w:bCs/>
        </w:rPr>
        <w:t>Student number:</w:t>
      </w:r>
      <w:r w:rsidRPr="00CB425F">
        <w:rPr>
          <w:rFonts w:ascii="Arial" w:hAnsi="Arial" w:cs="Arial"/>
        </w:rPr>
        <w:t xml:space="preserve"> 2223630</w:t>
      </w:r>
    </w:p>
    <w:p w14:paraId="4E291452" w14:textId="316BC3FA" w:rsidR="00CB425F" w:rsidRPr="00CB425F" w:rsidRDefault="00CB425F" w:rsidP="00CB425F">
      <w:pPr>
        <w:spacing w:line="360" w:lineRule="auto"/>
        <w:rPr>
          <w:rFonts w:ascii="Arial" w:hAnsi="Arial" w:cs="Arial"/>
        </w:rPr>
      </w:pPr>
      <w:r w:rsidRPr="00CB425F">
        <w:rPr>
          <w:rFonts w:ascii="Arial" w:hAnsi="Arial" w:cs="Arial"/>
          <w:b/>
          <w:bCs/>
        </w:rPr>
        <w:t>Programme:</w:t>
      </w:r>
      <w:r w:rsidRPr="00CB425F">
        <w:rPr>
          <w:rFonts w:ascii="Arial" w:hAnsi="Arial" w:cs="Arial"/>
        </w:rPr>
        <w:t xml:space="preserve"> Master of Business Administration</w:t>
      </w:r>
    </w:p>
    <w:p w14:paraId="4E590AA2" w14:textId="4FED5B8F" w:rsidR="00CB425F" w:rsidRPr="00CB425F" w:rsidRDefault="00CB425F" w:rsidP="00CB425F">
      <w:pPr>
        <w:spacing w:after="240" w:line="360" w:lineRule="auto"/>
        <w:rPr>
          <w:rFonts w:ascii="Arial" w:hAnsi="Arial" w:cs="Arial"/>
        </w:rPr>
      </w:pPr>
      <w:r w:rsidRPr="00CB425F">
        <w:rPr>
          <w:rFonts w:ascii="Arial" w:hAnsi="Arial" w:cs="Arial"/>
          <w:b/>
          <w:bCs/>
        </w:rPr>
        <w:t>Module:</w:t>
      </w:r>
      <w:r w:rsidRPr="00CB425F">
        <w:rPr>
          <w:rFonts w:ascii="Arial" w:hAnsi="Arial" w:cs="Arial"/>
        </w:rPr>
        <w:t xml:space="preserve"> Managing People in Organisations (BMMB7025D)</w:t>
      </w:r>
    </w:p>
    <w:p w14:paraId="71B11E29" w14:textId="64D7DD1A" w:rsidR="00CB425F" w:rsidRPr="00CB425F" w:rsidRDefault="00CB425F" w:rsidP="00CB425F">
      <w:pPr>
        <w:spacing w:line="360" w:lineRule="auto"/>
        <w:rPr>
          <w:rFonts w:ascii="Arial" w:hAnsi="Arial" w:cs="Arial"/>
        </w:rPr>
      </w:pPr>
      <w:r w:rsidRPr="00CB425F">
        <w:rPr>
          <w:rFonts w:ascii="Arial" w:hAnsi="Arial" w:cs="Arial"/>
          <w:b/>
          <w:bCs/>
        </w:rPr>
        <w:t>Lecturer:</w:t>
      </w:r>
      <w:r w:rsidRPr="00CB425F">
        <w:rPr>
          <w:rFonts w:ascii="Arial" w:hAnsi="Arial" w:cs="Arial"/>
        </w:rPr>
        <w:t xml:space="preserve"> Helen Evans</w:t>
      </w:r>
    </w:p>
    <w:p w14:paraId="6059CE92" w14:textId="29D7B536" w:rsidR="008E3AD8" w:rsidRDefault="00CB425F" w:rsidP="00CB425F">
      <w:pPr>
        <w:spacing w:line="360" w:lineRule="auto"/>
        <w:rPr>
          <w:rFonts w:ascii="Arial" w:hAnsi="Arial" w:cs="Arial"/>
        </w:rPr>
      </w:pPr>
      <w:r w:rsidRPr="00CB425F">
        <w:rPr>
          <w:rFonts w:ascii="Arial" w:hAnsi="Arial" w:cs="Arial"/>
          <w:b/>
          <w:bCs/>
        </w:rPr>
        <w:t>Submission date:</w:t>
      </w:r>
      <w:r w:rsidRPr="00CB425F">
        <w:rPr>
          <w:rFonts w:ascii="Arial" w:hAnsi="Arial" w:cs="Arial"/>
        </w:rPr>
        <w:t xml:space="preserve"> 01 May 2026</w:t>
      </w:r>
    </w:p>
    <w:p w14:paraId="454C893B" w14:textId="47CD3F16" w:rsidR="008E3AD8" w:rsidRPr="008E3AD8" w:rsidRDefault="008E3AD8" w:rsidP="00CB425F">
      <w:pPr>
        <w:spacing w:line="360" w:lineRule="auto"/>
        <w:rPr>
          <w:rFonts w:ascii="Arial" w:hAnsi="Arial" w:cs="Arial"/>
          <w:b/>
          <w:bCs/>
          <w:sz w:val="22"/>
          <w:szCs w:val="22"/>
        </w:rPr>
      </w:pPr>
      <w:r w:rsidRPr="008E3AD8">
        <w:rPr>
          <w:rFonts w:ascii="Arial" w:hAnsi="Arial" w:cs="Arial"/>
          <w:b/>
          <w:bCs/>
          <w:sz w:val="22"/>
          <w:szCs w:val="22"/>
        </w:rPr>
        <w:lastRenderedPageBreak/>
        <w:t xml:space="preserve">Video </w:t>
      </w:r>
      <w:r w:rsidR="00641A1D">
        <w:rPr>
          <w:rFonts w:ascii="Arial" w:hAnsi="Arial" w:cs="Arial"/>
          <w:b/>
          <w:bCs/>
          <w:sz w:val="22"/>
          <w:szCs w:val="22"/>
        </w:rPr>
        <w:t>L</w:t>
      </w:r>
      <w:r w:rsidRPr="008E3AD8">
        <w:rPr>
          <w:rFonts w:ascii="Arial" w:hAnsi="Arial" w:cs="Arial"/>
          <w:b/>
          <w:bCs/>
          <w:sz w:val="22"/>
          <w:szCs w:val="22"/>
        </w:rPr>
        <w:t>ink:</w:t>
      </w:r>
    </w:p>
    <w:p w14:paraId="199A673F" w14:textId="77777777" w:rsidR="008E3AD8" w:rsidRPr="008E3AD8" w:rsidRDefault="008E3AD8" w:rsidP="008E3AD8">
      <w:pPr>
        <w:spacing w:line="360" w:lineRule="auto"/>
        <w:jc w:val="both"/>
        <w:rPr>
          <w:rFonts w:ascii="Arial" w:hAnsi="Arial" w:cs="Arial"/>
          <w:sz w:val="22"/>
          <w:szCs w:val="22"/>
        </w:rPr>
      </w:pPr>
      <w:hyperlink r:id="rId4" w:history="1">
        <w:r w:rsidRPr="008E3AD8">
          <w:rPr>
            <w:rStyle w:val="Hyperlink"/>
            <w:rFonts w:ascii="Arial" w:hAnsi="Arial" w:cs="Arial"/>
            <w:sz w:val="22"/>
            <w:szCs w:val="22"/>
          </w:rPr>
          <w:t>https://uowtsd-my.sharepoint.com/:v:/g/personal/2223630_student_uwtsd_ac_uk/IQCnSS4WKxpPSa8QKHuasEvnAd_CAhe3k_vpzX9PUcgbCgI</w:t>
        </w:r>
      </w:hyperlink>
    </w:p>
    <w:p w14:paraId="5DC9965D" w14:textId="12B94C60" w:rsidR="00326715" w:rsidRDefault="008E3AD8" w:rsidP="00CB425F">
      <w:pPr>
        <w:spacing w:line="360" w:lineRule="auto"/>
        <w:rPr>
          <w:rFonts w:ascii="Arial" w:hAnsi="Arial" w:cs="Arial"/>
        </w:rPr>
      </w:pPr>
      <w:r w:rsidRPr="008E3AD8">
        <w:rPr>
          <w:rFonts w:ascii="Arial" w:hAnsi="Arial" w:cs="Arial"/>
          <w:b/>
          <w:bCs/>
        </w:rPr>
        <w:t>Access permission</w:t>
      </w:r>
      <w:r w:rsidR="00D9090D">
        <w:rPr>
          <w:rFonts w:ascii="Arial" w:hAnsi="Arial" w:cs="Arial"/>
          <w:b/>
          <w:bCs/>
        </w:rPr>
        <w:t>s</w:t>
      </w:r>
      <w:r w:rsidRPr="008E3AD8">
        <w:rPr>
          <w:rFonts w:ascii="Arial" w:hAnsi="Arial" w:cs="Arial"/>
          <w:b/>
          <w:bCs/>
        </w:rPr>
        <w:t>:</w:t>
      </w:r>
      <w:r>
        <w:rPr>
          <w:rFonts w:ascii="Arial" w:hAnsi="Arial" w:cs="Arial"/>
        </w:rPr>
        <w:t xml:space="preserve"> Enabled for lecturer</w:t>
      </w:r>
      <w:r w:rsidR="00D9090D">
        <w:rPr>
          <w:rFonts w:ascii="Arial" w:hAnsi="Arial" w:cs="Arial"/>
        </w:rPr>
        <w:t xml:space="preserve"> access.</w:t>
      </w:r>
    </w:p>
    <w:p w14:paraId="77A9CBBE" w14:textId="77777777" w:rsidR="00326715" w:rsidRDefault="00326715">
      <w:pPr>
        <w:rPr>
          <w:rFonts w:ascii="Arial" w:hAnsi="Arial" w:cs="Arial"/>
        </w:rPr>
      </w:pPr>
      <w:r>
        <w:rPr>
          <w:rFonts w:ascii="Arial" w:hAnsi="Arial" w:cs="Arial"/>
        </w:rPr>
        <w:br w:type="page"/>
      </w:r>
    </w:p>
    <w:p w14:paraId="4E135149" w14:textId="29C45E30" w:rsidR="00326715" w:rsidRDefault="00326715" w:rsidP="00CC0515">
      <w:pPr>
        <w:spacing w:after="120" w:line="360" w:lineRule="auto"/>
        <w:rPr>
          <w:rFonts w:ascii="Arial" w:hAnsi="Arial" w:cs="Arial"/>
          <w:b/>
          <w:bCs/>
          <w:sz w:val="22"/>
          <w:szCs w:val="22"/>
        </w:rPr>
      </w:pPr>
      <w:r>
        <w:rPr>
          <w:rFonts w:ascii="Arial" w:hAnsi="Arial" w:cs="Arial"/>
          <w:b/>
          <w:bCs/>
          <w:sz w:val="22"/>
          <w:szCs w:val="22"/>
        </w:rPr>
        <w:lastRenderedPageBreak/>
        <w:t>Slide 1:</w:t>
      </w:r>
    </w:p>
    <w:p w14:paraId="4958BA7B" w14:textId="25E145E3" w:rsidR="00326715" w:rsidRDefault="00326715" w:rsidP="00CC0515">
      <w:pPr>
        <w:spacing w:after="120" w:line="360" w:lineRule="auto"/>
        <w:jc w:val="both"/>
        <w:rPr>
          <w:rFonts w:ascii="Arial" w:hAnsi="Arial" w:cs="Arial"/>
          <w:sz w:val="22"/>
          <w:szCs w:val="22"/>
        </w:rPr>
      </w:pPr>
      <w:r w:rsidRPr="00326715">
        <w:rPr>
          <w:rFonts w:ascii="Arial" w:hAnsi="Arial" w:cs="Arial"/>
          <w:sz w:val="22"/>
          <w:szCs w:val="22"/>
        </w:rPr>
        <w:t>Imagine managing 34,000 people across 800 locations. Different shifts. Different managers. Different standards. How do you make sure every single employee gets the support they need to perform? I am Fruzsina Valoczki, and today I focus on exactly that question. This is not just a theoretical challenge, but an operational problem that needs a real solution.</w:t>
      </w:r>
    </w:p>
    <w:p w14:paraId="4F9B593A" w14:textId="53B41242" w:rsidR="00326715" w:rsidRDefault="00326715" w:rsidP="00CC0515">
      <w:pPr>
        <w:spacing w:after="120" w:line="360" w:lineRule="auto"/>
        <w:jc w:val="both"/>
        <w:rPr>
          <w:rFonts w:ascii="Arial" w:hAnsi="Arial" w:cs="Arial"/>
          <w:b/>
          <w:bCs/>
          <w:sz w:val="22"/>
          <w:szCs w:val="22"/>
        </w:rPr>
      </w:pPr>
      <w:r w:rsidRPr="00326715">
        <w:rPr>
          <w:rFonts w:ascii="Arial" w:hAnsi="Arial" w:cs="Arial"/>
          <w:b/>
          <w:bCs/>
          <w:sz w:val="22"/>
          <w:szCs w:val="22"/>
        </w:rPr>
        <w:t>Slide 2:</w:t>
      </w:r>
    </w:p>
    <w:p w14:paraId="0DE9EC6B" w14:textId="5AE3CC31" w:rsidR="00326715" w:rsidRDefault="00326715" w:rsidP="00CC0515">
      <w:pPr>
        <w:spacing w:after="120" w:line="360" w:lineRule="auto"/>
        <w:jc w:val="both"/>
        <w:rPr>
          <w:rFonts w:ascii="Arial" w:hAnsi="Arial" w:cs="Arial"/>
          <w:sz w:val="22"/>
          <w:szCs w:val="22"/>
        </w:rPr>
      </w:pPr>
      <w:r w:rsidRPr="00326715">
        <w:rPr>
          <w:rFonts w:ascii="Arial" w:hAnsi="Arial" w:cs="Arial"/>
          <w:sz w:val="22"/>
          <w:szCs w:val="22"/>
        </w:rPr>
        <w:t>Behind the Premier Inn brand is a large and complex workforce. What matters is how that scale works in practice. Managing people in a stable office environment is one thing. Managing performance in a large, service</w:t>
      </w:r>
      <w:r w:rsidR="00811B81">
        <w:rPr>
          <w:rFonts w:ascii="Arial" w:hAnsi="Arial" w:cs="Arial"/>
          <w:sz w:val="22"/>
          <w:szCs w:val="22"/>
        </w:rPr>
        <w:t>-</w:t>
      </w:r>
      <w:r w:rsidRPr="00326715">
        <w:rPr>
          <w:rFonts w:ascii="Arial" w:hAnsi="Arial" w:cs="Arial"/>
          <w:sz w:val="22"/>
          <w:szCs w:val="22"/>
        </w:rPr>
        <w:t xml:space="preserve">driven organisation, with limited time and resources, is something </w:t>
      </w:r>
      <w:r w:rsidR="00395543">
        <w:rPr>
          <w:rFonts w:ascii="Arial" w:hAnsi="Arial" w:cs="Arial"/>
          <w:sz w:val="22"/>
          <w:szCs w:val="22"/>
        </w:rPr>
        <w:t xml:space="preserve">very </w:t>
      </w:r>
      <w:r w:rsidRPr="00326715">
        <w:rPr>
          <w:rFonts w:ascii="Arial" w:hAnsi="Arial" w:cs="Arial"/>
          <w:sz w:val="22"/>
          <w:szCs w:val="22"/>
        </w:rPr>
        <w:t>different.</w:t>
      </w:r>
    </w:p>
    <w:p w14:paraId="6D306153" w14:textId="33AE3428" w:rsidR="00395543" w:rsidRPr="00395543" w:rsidRDefault="00395543" w:rsidP="00CC0515">
      <w:pPr>
        <w:spacing w:after="120" w:line="360" w:lineRule="auto"/>
        <w:jc w:val="both"/>
        <w:rPr>
          <w:rFonts w:ascii="Arial" w:hAnsi="Arial" w:cs="Arial"/>
          <w:b/>
          <w:bCs/>
          <w:sz w:val="22"/>
          <w:szCs w:val="22"/>
        </w:rPr>
      </w:pPr>
      <w:r w:rsidRPr="00395543">
        <w:rPr>
          <w:rFonts w:ascii="Arial" w:hAnsi="Arial" w:cs="Arial"/>
          <w:b/>
          <w:bCs/>
          <w:sz w:val="22"/>
          <w:szCs w:val="22"/>
        </w:rPr>
        <w:t>Slide 3:</w:t>
      </w:r>
    </w:p>
    <w:p w14:paraId="380C073F" w14:textId="077D2FE3" w:rsidR="00395543" w:rsidRPr="00326715" w:rsidRDefault="00395543" w:rsidP="00CC0515">
      <w:pPr>
        <w:spacing w:after="120" w:line="360" w:lineRule="auto"/>
        <w:jc w:val="both"/>
        <w:rPr>
          <w:rFonts w:ascii="Arial" w:hAnsi="Arial" w:cs="Arial"/>
          <w:sz w:val="22"/>
          <w:szCs w:val="22"/>
        </w:rPr>
      </w:pPr>
      <w:r>
        <w:rPr>
          <w:rFonts w:ascii="Arial" w:hAnsi="Arial" w:cs="Arial"/>
          <w:sz w:val="22"/>
          <w:szCs w:val="22"/>
        </w:rPr>
        <w:t>At Premier Inn, work never stops. Guests arrive and leave throughout the day. Teams change across shifts. Employees must respond to real-time demands under constant time pressure. In this environment, performance cannot wait for an annual review. It has to be addressed continuously, as it happens.</w:t>
      </w:r>
    </w:p>
    <w:p w14:paraId="6C061921" w14:textId="6054133A" w:rsidR="00326715" w:rsidRPr="00395543" w:rsidRDefault="00395543" w:rsidP="00CC0515">
      <w:pPr>
        <w:spacing w:after="120" w:line="360" w:lineRule="auto"/>
        <w:jc w:val="both"/>
        <w:rPr>
          <w:rFonts w:ascii="Arial" w:hAnsi="Arial" w:cs="Arial"/>
          <w:b/>
          <w:bCs/>
          <w:sz w:val="22"/>
          <w:szCs w:val="22"/>
        </w:rPr>
      </w:pPr>
      <w:r w:rsidRPr="00395543">
        <w:rPr>
          <w:rFonts w:ascii="Arial" w:hAnsi="Arial" w:cs="Arial"/>
          <w:b/>
          <w:bCs/>
          <w:sz w:val="22"/>
          <w:szCs w:val="22"/>
        </w:rPr>
        <w:t>Slide 4:</w:t>
      </w:r>
    </w:p>
    <w:p w14:paraId="0529ED97" w14:textId="626D52A1" w:rsidR="00395543" w:rsidRDefault="00395543" w:rsidP="00CC0515">
      <w:pPr>
        <w:spacing w:after="120" w:line="360" w:lineRule="auto"/>
        <w:jc w:val="both"/>
        <w:rPr>
          <w:rFonts w:ascii="Arial" w:hAnsi="Arial" w:cs="Arial"/>
          <w:sz w:val="22"/>
          <w:szCs w:val="22"/>
        </w:rPr>
      </w:pPr>
      <w:r>
        <w:rPr>
          <w:rFonts w:ascii="Arial" w:hAnsi="Arial" w:cs="Arial"/>
          <w:sz w:val="22"/>
          <w:szCs w:val="22"/>
        </w:rPr>
        <w:t>These issues are closely connected. One of the key issues is feedback. When it is delayed, employees are less likely to act proactively, as Yang, Ma and Li (2023) show. Training also varies across locations, which makes performance less consistent and creates skill gaps, as Sankar et al. (2025) highlight. Breakroom (2026) employee reviews also point to managers being under pressure, with little capacity left for development or feedback. High staff turnover makes this even harder, increasing onboarding demands and disrupting development, as Pickles, Duffy and Stewart (2025) show. These are not isolated problems. They feed into each other. The business impact is real.</w:t>
      </w:r>
    </w:p>
    <w:p w14:paraId="702BC1CF" w14:textId="73B89C96" w:rsidR="00395543" w:rsidRPr="00395543" w:rsidRDefault="00395543" w:rsidP="00CC0515">
      <w:pPr>
        <w:spacing w:after="120" w:line="360" w:lineRule="auto"/>
        <w:jc w:val="both"/>
        <w:rPr>
          <w:rFonts w:ascii="Arial" w:hAnsi="Arial" w:cs="Arial"/>
          <w:b/>
          <w:bCs/>
          <w:sz w:val="22"/>
          <w:szCs w:val="22"/>
        </w:rPr>
      </w:pPr>
      <w:r w:rsidRPr="00395543">
        <w:rPr>
          <w:rFonts w:ascii="Arial" w:hAnsi="Arial" w:cs="Arial"/>
          <w:b/>
          <w:bCs/>
          <w:sz w:val="22"/>
          <w:szCs w:val="22"/>
        </w:rPr>
        <w:t>Slide 5:</w:t>
      </w:r>
    </w:p>
    <w:p w14:paraId="43B8C9B1" w14:textId="5A850073" w:rsidR="00395543" w:rsidRDefault="00395543" w:rsidP="00CC0515">
      <w:pPr>
        <w:spacing w:after="120" w:line="360" w:lineRule="auto"/>
        <w:jc w:val="both"/>
        <w:rPr>
          <w:rFonts w:ascii="Arial" w:hAnsi="Arial" w:cs="Arial"/>
          <w:sz w:val="22"/>
          <w:szCs w:val="22"/>
        </w:rPr>
      </w:pPr>
      <w:r>
        <w:rPr>
          <w:rFonts w:ascii="Arial" w:hAnsi="Arial" w:cs="Arial"/>
          <w:sz w:val="22"/>
          <w:szCs w:val="22"/>
        </w:rPr>
        <w:t>These challenges are visible in practice. Guest experience is not consistent across Premier Inn locations, especially during busier periods. Some hotels perform better th</w:t>
      </w:r>
      <w:r w:rsidR="003359B6">
        <w:rPr>
          <w:rFonts w:ascii="Arial" w:hAnsi="Arial" w:cs="Arial"/>
          <w:sz w:val="22"/>
          <w:szCs w:val="22"/>
        </w:rPr>
        <w:t>a</w:t>
      </w:r>
      <w:r>
        <w:rPr>
          <w:rFonts w:ascii="Arial" w:hAnsi="Arial" w:cs="Arial"/>
          <w:sz w:val="22"/>
          <w:szCs w:val="22"/>
        </w:rPr>
        <w:t>n others, which makes the difference noticeable. Training can become a weak point, especially when managers do not have much time to focus on it. Results are not always consistent. Some new employees leave early, while others stay, so there is no clear pattern. When people leave, onboarding starts again and this adds extra cos</w:t>
      </w:r>
      <w:r w:rsidR="003359B6">
        <w:rPr>
          <w:rFonts w:ascii="Arial" w:hAnsi="Arial" w:cs="Arial"/>
          <w:sz w:val="22"/>
          <w:szCs w:val="22"/>
        </w:rPr>
        <w:t>t</w:t>
      </w:r>
      <w:r>
        <w:rPr>
          <w:rFonts w:ascii="Arial" w:hAnsi="Arial" w:cs="Arial"/>
          <w:sz w:val="22"/>
          <w:szCs w:val="22"/>
        </w:rPr>
        <w:t>. Operations also become less predictable over time. Meanwhile</w:t>
      </w:r>
      <w:r w:rsidR="003359B6">
        <w:rPr>
          <w:rFonts w:ascii="Arial" w:hAnsi="Arial" w:cs="Arial"/>
          <w:sz w:val="22"/>
          <w:szCs w:val="22"/>
        </w:rPr>
        <w:t>,</w:t>
      </w:r>
      <w:r>
        <w:rPr>
          <w:rFonts w:ascii="Arial" w:hAnsi="Arial" w:cs="Arial"/>
          <w:sz w:val="22"/>
          <w:szCs w:val="22"/>
        </w:rPr>
        <w:t xml:space="preserve"> employees continue dealing with pressure as part of their daily work.</w:t>
      </w:r>
    </w:p>
    <w:p w14:paraId="71B34E57" w14:textId="618E3BA2" w:rsidR="003359B6" w:rsidRPr="003359B6" w:rsidRDefault="003359B6" w:rsidP="00CC0515">
      <w:pPr>
        <w:spacing w:after="120" w:line="360" w:lineRule="auto"/>
        <w:jc w:val="both"/>
        <w:rPr>
          <w:rFonts w:ascii="Arial" w:hAnsi="Arial" w:cs="Arial"/>
          <w:b/>
          <w:bCs/>
          <w:sz w:val="22"/>
          <w:szCs w:val="22"/>
        </w:rPr>
      </w:pPr>
      <w:r w:rsidRPr="003359B6">
        <w:rPr>
          <w:rFonts w:ascii="Arial" w:hAnsi="Arial" w:cs="Arial"/>
          <w:b/>
          <w:bCs/>
          <w:sz w:val="22"/>
          <w:szCs w:val="22"/>
        </w:rPr>
        <w:t>Slide 6:</w:t>
      </w:r>
    </w:p>
    <w:p w14:paraId="1EB85043" w14:textId="5C6B21DF" w:rsidR="003359B6" w:rsidRDefault="003359B6" w:rsidP="00CC0515">
      <w:pPr>
        <w:spacing w:after="120" w:line="360" w:lineRule="auto"/>
        <w:jc w:val="both"/>
        <w:rPr>
          <w:rFonts w:ascii="Arial" w:hAnsi="Arial" w:cs="Arial"/>
          <w:sz w:val="22"/>
          <w:szCs w:val="22"/>
        </w:rPr>
      </w:pPr>
      <w:r>
        <w:rPr>
          <w:rFonts w:ascii="Arial" w:hAnsi="Arial" w:cs="Arial"/>
          <w:sz w:val="22"/>
          <w:szCs w:val="22"/>
        </w:rPr>
        <w:lastRenderedPageBreak/>
        <w:t>This issue has been studied extensively. The research points in a consistent direction. Lock</w:t>
      </w:r>
      <w:r w:rsidR="00020799">
        <w:rPr>
          <w:rFonts w:ascii="Arial" w:hAnsi="Arial" w:cs="Arial"/>
          <w:sz w:val="22"/>
          <w:szCs w:val="22"/>
        </w:rPr>
        <w:t>e</w:t>
      </w:r>
      <w:r>
        <w:rPr>
          <w:rFonts w:ascii="Arial" w:hAnsi="Arial" w:cs="Arial"/>
          <w:sz w:val="22"/>
          <w:szCs w:val="22"/>
        </w:rPr>
        <w:t xml:space="preserve"> and Latham (1990) found through Goal-Setting Theory that specific targets and regular feedback tend to drive stronger performance. But this model assumes stable conditions. As Hopfner (2022) argues, that assumption does not always hold in high-pressure environments. More continuous feedback systems tend to work better in dynamic contexts. Expectancy Theory, as explained by Fang (2023), suggest</w:t>
      </w:r>
      <w:r w:rsidR="00020799">
        <w:rPr>
          <w:rFonts w:ascii="Arial" w:hAnsi="Arial" w:cs="Arial"/>
          <w:sz w:val="22"/>
          <w:szCs w:val="22"/>
        </w:rPr>
        <w:t>s</w:t>
      </w:r>
      <w:r>
        <w:rPr>
          <w:rFonts w:ascii="Arial" w:hAnsi="Arial" w:cs="Arial"/>
          <w:sz w:val="22"/>
          <w:szCs w:val="22"/>
        </w:rPr>
        <w:t xml:space="preserve"> that employees need to see a clear link between effort and outcomes. In learning and development, however, the picture is more complex. Human Capital Theory treats skills as a key driver of performance, although the relationship is not always straightforward, as Madgavkar et al. (2022) note. In practice, learning does not always translate into better performance. Kolb’s (1984) Experiential Learning Model emphasises learning through experience, although in practice this can be resource intensive. Shorter, more flexible forms of learning often work better when time is tight. The Technology Acceptance Model, developed by Davis (1989), focuses on usefulness and ease of use, though in practice organisations do not always work in this way. Factors such as workload and management culture also influence whether systems are actually used. The evidence is consistent. What works in practice tends to be simple, continuous, and accessible. Anything that is not tends to get ignored</w:t>
      </w:r>
      <w:r w:rsidR="00020799">
        <w:rPr>
          <w:rFonts w:ascii="Arial" w:hAnsi="Arial" w:cs="Arial"/>
          <w:sz w:val="22"/>
          <w:szCs w:val="22"/>
        </w:rPr>
        <w:t>.</w:t>
      </w:r>
    </w:p>
    <w:p w14:paraId="21430636" w14:textId="10D2F4CB" w:rsidR="00020799" w:rsidRDefault="00020799" w:rsidP="00CC0515">
      <w:pPr>
        <w:spacing w:after="120" w:line="360" w:lineRule="auto"/>
        <w:jc w:val="both"/>
        <w:rPr>
          <w:rFonts w:ascii="Arial" w:hAnsi="Arial" w:cs="Arial"/>
          <w:b/>
          <w:bCs/>
          <w:sz w:val="22"/>
          <w:szCs w:val="22"/>
        </w:rPr>
      </w:pPr>
      <w:r w:rsidRPr="00020799">
        <w:rPr>
          <w:rFonts w:ascii="Arial" w:hAnsi="Arial" w:cs="Arial"/>
          <w:b/>
          <w:bCs/>
          <w:sz w:val="22"/>
          <w:szCs w:val="22"/>
        </w:rPr>
        <w:t>Slide 7</w:t>
      </w:r>
      <w:r>
        <w:rPr>
          <w:rFonts w:ascii="Arial" w:hAnsi="Arial" w:cs="Arial"/>
          <w:b/>
          <w:bCs/>
          <w:sz w:val="22"/>
          <w:szCs w:val="22"/>
        </w:rPr>
        <w:t>:</w:t>
      </w:r>
    </w:p>
    <w:p w14:paraId="6013B3E5" w14:textId="6B17F4D9" w:rsidR="00020799" w:rsidRDefault="00020799" w:rsidP="00CC0515">
      <w:pPr>
        <w:spacing w:after="120" w:line="360" w:lineRule="auto"/>
        <w:jc w:val="both"/>
        <w:rPr>
          <w:rFonts w:ascii="Arial" w:hAnsi="Arial" w:cs="Arial"/>
          <w:sz w:val="22"/>
          <w:szCs w:val="22"/>
        </w:rPr>
      </w:pPr>
      <w:r>
        <w:rPr>
          <w:rFonts w:ascii="Arial" w:hAnsi="Arial" w:cs="Arial"/>
          <w:sz w:val="22"/>
          <w:szCs w:val="22"/>
        </w:rPr>
        <w:t>The way organisations manage people is changing rapidly. AI is increasingly replacing intuition with real-time data in decision-making, as Drela et al. (2025) show. Automation is reducing administrative workload, which matters enormously in operational environments. Digital platforms are now making it possible to deliver training directly to employees’ mobile devices, anytime and anywhere. But here is the critical point. Technology does not solve the problem on its own. It only works if it fits the reality of the organisation.</w:t>
      </w:r>
    </w:p>
    <w:p w14:paraId="41AC9EB8" w14:textId="2DAD38F6" w:rsidR="00020799" w:rsidRPr="00020799" w:rsidRDefault="00020799" w:rsidP="00CC0515">
      <w:pPr>
        <w:spacing w:after="120" w:line="360" w:lineRule="auto"/>
        <w:jc w:val="both"/>
        <w:rPr>
          <w:rFonts w:ascii="Arial" w:hAnsi="Arial" w:cs="Arial"/>
          <w:b/>
          <w:bCs/>
          <w:sz w:val="22"/>
          <w:szCs w:val="22"/>
        </w:rPr>
      </w:pPr>
      <w:r w:rsidRPr="00020799">
        <w:rPr>
          <w:rFonts w:ascii="Arial" w:hAnsi="Arial" w:cs="Arial"/>
          <w:b/>
          <w:bCs/>
          <w:sz w:val="22"/>
          <w:szCs w:val="22"/>
        </w:rPr>
        <w:t>Slide 8:</w:t>
      </w:r>
    </w:p>
    <w:p w14:paraId="621D9327" w14:textId="74AD81E4" w:rsidR="00020799" w:rsidRDefault="00020799" w:rsidP="00CC0515">
      <w:pPr>
        <w:spacing w:after="120" w:line="360" w:lineRule="auto"/>
        <w:jc w:val="both"/>
        <w:rPr>
          <w:rFonts w:ascii="Arial" w:hAnsi="Arial" w:cs="Arial"/>
          <w:sz w:val="22"/>
          <w:szCs w:val="22"/>
        </w:rPr>
      </w:pPr>
      <w:r>
        <w:rPr>
          <w:rFonts w:ascii="Arial" w:hAnsi="Arial" w:cs="Arial"/>
          <w:sz w:val="22"/>
          <w:szCs w:val="22"/>
        </w:rPr>
        <w:t>The internal picture is equally important here. At Premier Inn, managers are already facing high workloads. Organising training takes significant time and resources, which can reduce both managerial and employee engagement, as Gyensare et al. (2025) highlight. Since staff turnover remains high, training never really stops. A system nobody understands is a system nobody uses.</w:t>
      </w:r>
    </w:p>
    <w:p w14:paraId="2C3F1C49" w14:textId="2F762CD3" w:rsidR="007A7B5E" w:rsidRDefault="007A7B5E" w:rsidP="00CC0515">
      <w:pPr>
        <w:spacing w:after="120" w:line="360" w:lineRule="auto"/>
        <w:jc w:val="both"/>
        <w:rPr>
          <w:rFonts w:ascii="Arial" w:hAnsi="Arial" w:cs="Arial"/>
          <w:b/>
          <w:bCs/>
          <w:sz w:val="22"/>
          <w:szCs w:val="22"/>
        </w:rPr>
      </w:pPr>
      <w:r w:rsidRPr="007A7B5E">
        <w:rPr>
          <w:rFonts w:ascii="Arial" w:hAnsi="Arial" w:cs="Arial"/>
          <w:b/>
          <w:bCs/>
          <w:sz w:val="22"/>
          <w:szCs w:val="22"/>
        </w:rPr>
        <w:t>Slide 9:</w:t>
      </w:r>
    </w:p>
    <w:p w14:paraId="6A1C9A4A" w14:textId="149EFAA9" w:rsidR="007A7B5E" w:rsidRPr="007A7B5E" w:rsidRDefault="007A7B5E" w:rsidP="00CC0515">
      <w:pPr>
        <w:spacing w:after="120" w:line="360" w:lineRule="auto"/>
        <w:jc w:val="both"/>
        <w:rPr>
          <w:rFonts w:ascii="Arial" w:hAnsi="Arial" w:cs="Arial"/>
          <w:sz w:val="22"/>
          <w:szCs w:val="22"/>
        </w:rPr>
      </w:pPr>
      <w:r w:rsidRPr="007A7B5E">
        <w:rPr>
          <w:rFonts w:ascii="Arial" w:hAnsi="Arial" w:cs="Arial"/>
          <w:sz w:val="22"/>
          <w:szCs w:val="22"/>
        </w:rPr>
        <w:t>The external environment adds further pressure. Labour</w:t>
      </w:r>
      <w:r>
        <w:rPr>
          <w:rFonts w:ascii="Arial" w:hAnsi="Arial" w:cs="Arial"/>
          <w:sz w:val="22"/>
          <w:szCs w:val="22"/>
        </w:rPr>
        <w:t xml:space="preserve"> shortages make retention more important than ever. Rising costs demand greater efficiency. Guest expectations are increasing, while technology is changing quickly across the industry, including in HR. AI is now part of how organisations make people decisions. As more employee dat</w:t>
      </w:r>
      <w:r w:rsidR="00D6267C">
        <w:rPr>
          <w:rFonts w:ascii="Arial" w:hAnsi="Arial" w:cs="Arial"/>
          <w:sz w:val="22"/>
          <w:szCs w:val="22"/>
        </w:rPr>
        <w:t>a</w:t>
      </w:r>
      <w:r>
        <w:rPr>
          <w:rFonts w:ascii="Arial" w:hAnsi="Arial" w:cs="Arial"/>
          <w:sz w:val="22"/>
          <w:szCs w:val="22"/>
        </w:rPr>
        <w:t xml:space="preserve"> gets collected, the </w:t>
      </w:r>
      <w:r>
        <w:rPr>
          <w:rFonts w:ascii="Arial" w:hAnsi="Arial" w:cs="Arial"/>
          <w:sz w:val="22"/>
          <w:szCs w:val="22"/>
        </w:rPr>
        <w:lastRenderedPageBreak/>
        <w:t xml:space="preserve">question of how </w:t>
      </w:r>
      <w:r w:rsidR="00D6267C">
        <w:rPr>
          <w:rFonts w:ascii="Arial" w:hAnsi="Arial" w:cs="Arial"/>
          <w:sz w:val="22"/>
          <w:szCs w:val="22"/>
        </w:rPr>
        <w:t xml:space="preserve">that </w:t>
      </w:r>
      <w:r>
        <w:rPr>
          <w:rFonts w:ascii="Arial" w:hAnsi="Arial" w:cs="Arial"/>
          <w:sz w:val="22"/>
          <w:szCs w:val="22"/>
        </w:rPr>
        <w:t>data is protected becomes impossible to ignore. The pressure is real. Being efficient and being responsible are no longer separate goals. Organisations are now expected to deliver both.</w:t>
      </w:r>
    </w:p>
    <w:p w14:paraId="6FABE2B1" w14:textId="3A609374" w:rsidR="00D6267C" w:rsidRPr="00D6267C" w:rsidRDefault="00D6267C" w:rsidP="00CC0515">
      <w:pPr>
        <w:spacing w:after="120" w:line="360" w:lineRule="auto"/>
        <w:jc w:val="both"/>
        <w:rPr>
          <w:rFonts w:ascii="Arial" w:hAnsi="Arial" w:cs="Arial"/>
          <w:b/>
          <w:bCs/>
          <w:sz w:val="22"/>
          <w:szCs w:val="22"/>
        </w:rPr>
      </w:pPr>
      <w:r w:rsidRPr="00D6267C">
        <w:rPr>
          <w:rFonts w:ascii="Arial" w:hAnsi="Arial" w:cs="Arial"/>
          <w:b/>
          <w:bCs/>
          <w:sz w:val="22"/>
          <w:szCs w:val="22"/>
        </w:rPr>
        <w:t>Slide 10:</w:t>
      </w:r>
    </w:p>
    <w:p w14:paraId="40CBCE8C" w14:textId="6DCAC1EF" w:rsidR="00D6267C" w:rsidRDefault="00D6267C" w:rsidP="00CC0515">
      <w:pPr>
        <w:spacing w:after="120" w:line="360" w:lineRule="auto"/>
        <w:jc w:val="both"/>
        <w:rPr>
          <w:rFonts w:ascii="Arial" w:hAnsi="Arial" w:cs="Arial"/>
          <w:sz w:val="22"/>
          <w:szCs w:val="22"/>
        </w:rPr>
      </w:pPr>
      <w:r>
        <w:rPr>
          <w:rFonts w:ascii="Arial" w:hAnsi="Arial" w:cs="Arial"/>
          <w:sz w:val="22"/>
          <w:szCs w:val="22"/>
        </w:rPr>
        <w:t xml:space="preserve">So which tools actually fit this environment? In performance management, two platforms stood out as potential solutions, Workday and 15Five. Workday combines data, reporting and analytics in one system, as outlined by Workday (2026). It is complex to implement and can be difficult to use in fast-moving frontline environments. 15Five is designed differently. It uses short, regular check-ins that fit into </w:t>
      </w:r>
      <w:r w:rsidR="00BD3F1A">
        <w:rPr>
          <w:rFonts w:ascii="Arial" w:hAnsi="Arial" w:cs="Arial"/>
          <w:sz w:val="22"/>
          <w:szCs w:val="22"/>
        </w:rPr>
        <w:t xml:space="preserve">the </w:t>
      </w:r>
      <w:r>
        <w:rPr>
          <w:rFonts w:ascii="Arial" w:hAnsi="Arial" w:cs="Arial"/>
          <w:sz w:val="22"/>
          <w:szCs w:val="22"/>
        </w:rPr>
        <w:t>working day, as outlined by 15Five (2025). Frontline staff can use it without interrupting their daily work. The limitation is that it lacks the reporting depth that Workday offers. In this context, though, usability matters more than system depth. That makes 15Five the more appropriate choice.</w:t>
      </w:r>
    </w:p>
    <w:p w14:paraId="74763695" w14:textId="245B25A4" w:rsidR="00BD3F1A" w:rsidRDefault="00BD3F1A" w:rsidP="00CC0515">
      <w:pPr>
        <w:spacing w:after="120" w:line="360" w:lineRule="auto"/>
        <w:jc w:val="both"/>
        <w:rPr>
          <w:rFonts w:ascii="Arial" w:hAnsi="Arial" w:cs="Arial"/>
          <w:b/>
          <w:bCs/>
          <w:sz w:val="22"/>
          <w:szCs w:val="22"/>
        </w:rPr>
      </w:pPr>
      <w:r w:rsidRPr="00BD3F1A">
        <w:rPr>
          <w:rFonts w:ascii="Arial" w:hAnsi="Arial" w:cs="Arial"/>
          <w:b/>
          <w:bCs/>
          <w:sz w:val="22"/>
          <w:szCs w:val="22"/>
        </w:rPr>
        <w:t>Slide 11</w:t>
      </w:r>
      <w:r>
        <w:rPr>
          <w:rFonts w:ascii="Arial" w:hAnsi="Arial" w:cs="Arial"/>
          <w:b/>
          <w:bCs/>
          <w:sz w:val="22"/>
          <w:szCs w:val="22"/>
        </w:rPr>
        <w:t>:</w:t>
      </w:r>
    </w:p>
    <w:p w14:paraId="1D1DA05C" w14:textId="5DE2A019" w:rsidR="00BD3F1A" w:rsidRPr="00BD3F1A" w:rsidRDefault="00BD3F1A" w:rsidP="00CC0515">
      <w:pPr>
        <w:spacing w:after="120" w:line="360" w:lineRule="auto"/>
        <w:jc w:val="both"/>
        <w:rPr>
          <w:rFonts w:ascii="Arial" w:hAnsi="Arial" w:cs="Arial"/>
          <w:sz w:val="22"/>
          <w:szCs w:val="22"/>
        </w:rPr>
      </w:pPr>
      <w:r w:rsidRPr="00BD3F1A">
        <w:rPr>
          <w:rFonts w:ascii="Arial" w:hAnsi="Arial" w:cs="Arial"/>
          <w:sz w:val="22"/>
          <w:szCs w:val="22"/>
        </w:rPr>
        <w:t xml:space="preserve">A similar </w:t>
      </w:r>
      <w:r>
        <w:rPr>
          <w:rFonts w:ascii="Arial" w:hAnsi="Arial" w:cs="Arial"/>
          <w:sz w:val="22"/>
          <w:szCs w:val="22"/>
        </w:rPr>
        <w:t>comparison can be seen in learning and development. iSpring Learn offers structured, trackable training with strong reporting, as Quinn (2026) explains. It is less flexible and slower to implement. On the other hand, TalentLMS takes a different approach. It supports modular, mobile-friendly learning that can be deployed quickly across locations, as Lorenzon (2025) describes. TalentLMS offers less depth in structured reporting compared to iSpring Learn. When time is limited and onboarding never stops, flexibility matters most.</w:t>
      </w:r>
    </w:p>
    <w:p w14:paraId="50FCB7B4" w14:textId="35992301" w:rsidR="00BD3F1A" w:rsidRDefault="00BD3F1A" w:rsidP="00CC0515">
      <w:pPr>
        <w:spacing w:after="120" w:line="360" w:lineRule="auto"/>
        <w:jc w:val="both"/>
        <w:rPr>
          <w:rFonts w:ascii="Arial" w:hAnsi="Arial" w:cs="Arial"/>
          <w:b/>
          <w:bCs/>
          <w:sz w:val="22"/>
          <w:szCs w:val="22"/>
        </w:rPr>
      </w:pPr>
      <w:r>
        <w:rPr>
          <w:rFonts w:ascii="Arial" w:hAnsi="Arial" w:cs="Arial"/>
          <w:b/>
          <w:bCs/>
          <w:sz w:val="22"/>
          <w:szCs w:val="22"/>
        </w:rPr>
        <w:t>Slide 12:</w:t>
      </w:r>
    </w:p>
    <w:p w14:paraId="74DBD687" w14:textId="2EF391F1" w:rsidR="00BD3F1A" w:rsidRDefault="00BD3F1A" w:rsidP="00CC0515">
      <w:pPr>
        <w:spacing w:after="120" w:line="360" w:lineRule="auto"/>
        <w:jc w:val="both"/>
        <w:rPr>
          <w:rFonts w:ascii="Arial" w:hAnsi="Arial" w:cs="Arial"/>
          <w:sz w:val="22"/>
          <w:szCs w:val="22"/>
        </w:rPr>
      </w:pPr>
      <w:r w:rsidRPr="00BD3F1A">
        <w:rPr>
          <w:rFonts w:ascii="Arial" w:hAnsi="Arial" w:cs="Arial"/>
          <w:sz w:val="22"/>
          <w:szCs w:val="22"/>
        </w:rPr>
        <w:t>This is not just theory.</w:t>
      </w:r>
      <w:r>
        <w:rPr>
          <w:rFonts w:ascii="Arial" w:hAnsi="Arial" w:cs="Arial"/>
          <w:sz w:val="22"/>
          <w:szCs w:val="22"/>
        </w:rPr>
        <w:t xml:space="preserve"> The evidence from the industry is compelling. Atlas Hotels reduced staff turnover by 17% after implementing the UKG Beacon platform, as UKG (2026a) reports. Hotel Indigo cut turnover from around 50% to between 15 and 20% using the same system, as UKG (2026b) shows. Marrio</w:t>
      </w:r>
      <w:r w:rsidR="00FE323B">
        <w:rPr>
          <w:rFonts w:ascii="Arial" w:hAnsi="Arial" w:cs="Arial"/>
          <w:sz w:val="22"/>
          <w:szCs w:val="22"/>
        </w:rPr>
        <w:t>t</w:t>
      </w:r>
      <w:r>
        <w:rPr>
          <w:rFonts w:ascii="Arial" w:hAnsi="Arial" w:cs="Arial"/>
          <w:sz w:val="22"/>
          <w:szCs w:val="22"/>
        </w:rPr>
        <w:t xml:space="preserve">t introduced the mHUB platform across its global workforce, improving consistency and employee experience, as Hesse et al. (2025) describe. A different approach can be seen at IHG Hotels, where learning was integrated into daily work through the Learning Pool platform. This led to measurable behavioural change, as discussed by Hall (2024). The pattern is clear. These systems work when they become part of everyday </w:t>
      </w:r>
      <w:r w:rsidR="00FE323B">
        <w:rPr>
          <w:rFonts w:ascii="Arial" w:hAnsi="Arial" w:cs="Arial"/>
          <w:sz w:val="22"/>
          <w:szCs w:val="22"/>
        </w:rPr>
        <w:t>operations</w:t>
      </w:r>
      <w:r>
        <w:rPr>
          <w:rFonts w:ascii="Arial" w:hAnsi="Arial" w:cs="Arial"/>
          <w:sz w:val="22"/>
          <w:szCs w:val="22"/>
        </w:rPr>
        <w:t>.</w:t>
      </w:r>
    </w:p>
    <w:p w14:paraId="7FA8384A" w14:textId="5BE753A3" w:rsidR="00FE323B" w:rsidRPr="00FE323B" w:rsidRDefault="00FE323B" w:rsidP="00CC0515">
      <w:pPr>
        <w:spacing w:after="120" w:line="360" w:lineRule="auto"/>
        <w:jc w:val="both"/>
        <w:rPr>
          <w:rFonts w:ascii="Arial" w:hAnsi="Arial" w:cs="Arial"/>
          <w:b/>
          <w:bCs/>
          <w:sz w:val="22"/>
          <w:szCs w:val="22"/>
        </w:rPr>
      </w:pPr>
      <w:r w:rsidRPr="00FE323B">
        <w:rPr>
          <w:rFonts w:ascii="Arial" w:hAnsi="Arial" w:cs="Arial"/>
          <w:b/>
          <w:bCs/>
          <w:sz w:val="22"/>
          <w:szCs w:val="22"/>
        </w:rPr>
        <w:t>Slide 13:</w:t>
      </w:r>
    </w:p>
    <w:p w14:paraId="5DB1C4C4" w14:textId="6480A53B" w:rsidR="00FE323B" w:rsidRDefault="00FE323B" w:rsidP="00CC0515">
      <w:pPr>
        <w:spacing w:after="120" w:line="360" w:lineRule="auto"/>
        <w:jc w:val="both"/>
        <w:rPr>
          <w:rFonts w:ascii="Arial" w:hAnsi="Arial" w:cs="Arial"/>
          <w:sz w:val="22"/>
          <w:szCs w:val="22"/>
        </w:rPr>
      </w:pPr>
      <w:r>
        <w:rPr>
          <w:rFonts w:ascii="Arial" w:hAnsi="Arial" w:cs="Arial"/>
          <w:sz w:val="22"/>
          <w:szCs w:val="22"/>
        </w:rPr>
        <w:t xml:space="preserve">Employee engagement is more complex in practice. Regular feedback helps staff feel more valued. In many cases, this is reflected in how they work. Learning that is used in practice is linked to stronger outcomes, as Stepanek and Paul (2022) note. There are also risks. Algorithms can introduce unfair patterns into decisions. This is not always immediately visible. When feedback shifts into constant monitoring, trust and autonomy can suffer rather than </w:t>
      </w:r>
      <w:r>
        <w:rPr>
          <w:rFonts w:ascii="Arial" w:hAnsi="Arial" w:cs="Arial"/>
          <w:sz w:val="22"/>
          <w:szCs w:val="22"/>
        </w:rPr>
        <w:lastRenderedPageBreak/>
        <w:t>improve. Automation is sometimes relied on too heavily. This can affect the quality of management, especially when human judgement is replaced</w:t>
      </w:r>
      <w:r w:rsidR="00682ED5">
        <w:rPr>
          <w:rFonts w:ascii="Arial" w:hAnsi="Arial" w:cs="Arial"/>
          <w:sz w:val="22"/>
          <w:szCs w:val="22"/>
        </w:rPr>
        <w:t>.</w:t>
      </w:r>
      <w:r>
        <w:rPr>
          <w:rFonts w:ascii="Arial" w:hAnsi="Arial" w:cs="Arial"/>
          <w:sz w:val="22"/>
          <w:szCs w:val="22"/>
        </w:rPr>
        <w:t xml:space="preserve"> Consider this scenario. A housekeeper receives automated feedback that they are slower than average based o</w:t>
      </w:r>
      <w:r w:rsidR="00682ED5">
        <w:rPr>
          <w:rFonts w:ascii="Arial" w:hAnsi="Arial" w:cs="Arial"/>
          <w:sz w:val="22"/>
          <w:szCs w:val="22"/>
        </w:rPr>
        <w:t>n</w:t>
      </w:r>
      <w:r>
        <w:rPr>
          <w:rFonts w:ascii="Arial" w:hAnsi="Arial" w:cs="Arial"/>
          <w:sz w:val="22"/>
          <w:szCs w:val="22"/>
        </w:rPr>
        <w:t xml:space="preserve"> room completion times, with no context about a difficult guest request. That is not engagement. That is frustration. This is why systems like 15Five must be used for coaching, not surveillance. This matters beyond motivation. These systems involve ongoing collection of employee opinions and behavioural data, which can create data protection concerns, especially when employees are not fully aware of how their data is used. Under GDPR, this requires careful management, as ICO (2025) notes. Learning also does not always translate into improved performance, as Zenagui (2025) argues. Without consistent adoptio</w:t>
      </w:r>
      <w:r w:rsidR="00682ED5">
        <w:rPr>
          <w:rFonts w:ascii="Arial" w:hAnsi="Arial" w:cs="Arial"/>
          <w:sz w:val="22"/>
          <w:szCs w:val="22"/>
        </w:rPr>
        <w:t>n, even well-designed systems have limited impact, as Chuchu and Kyongo (2025) highlight. The way these tools perform depends strongly on the surrounding organisational environment.</w:t>
      </w:r>
    </w:p>
    <w:p w14:paraId="7DDFEF2A" w14:textId="44DA82BE" w:rsidR="00682ED5" w:rsidRDefault="00682ED5" w:rsidP="00CC0515">
      <w:pPr>
        <w:spacing w:after="120" w:line="360" w:lineRule="auto"/>
        <w:jc w:val="both"/>
        <w:rPr>
          <w:rFonts w:ascii="Arial" w:hAnsi="Arial" w:cs="Arial"/>
          <w:b/>
          <w:bCs/>
          <w:sz w:val="22"/>
          <w:szCs w:val="22"/>
        </w:rPr>
      </w:pPr>
      <w:r w:rsidRPr="00682ED5">
        <w:rPr>
          <w:rFonts w:ascii="Arial" w:hAnsi="Arial" w:cs="Arial"/>
          <w:b/>
          <w:bCs/>
          <w:sz w:val="22"/>
          <w:szCs w:val="22"/>
        </w:rPr>
        <w:t>Slide 14:</w:t>
      </w:r>
    </w:p>
    <w:p w14:paraId="79C758E3" w14:textId="0B1E5AFC" w:rsidR="00682ED5" w:rsidRDefault="00682ED5" w:rsidP="00CC0515">
      <w:pPr>
        <w:spacing w:after="120" w:line="360" w:lineRule="auto"/>
        <w:jc w:val="both"/>
        <w:rPr>
          <w:rFonts w:ascii="Arial" w:hAnsi="Arial" w:cs="Arial"/>
          <w:sz w:val="22"/>
          <w:szCs w:val="22"/>
        </w:rPr>
      </w:pPr>
      <w:r w:rsidRPr="00682ED5">
        <w:rPr>
          <w:rFonts w:ascii="Arial" w:hAnsi="Arial" w:cs="Arial"/>
          <w:sz w:val="22"/>
          <w:szCs w:val="22"/>
        </w:rPr>
        <w:t xml:space="preserve">So, </w:t>
      </w:r>
      <w:r>
        <w:rPr>
          <w:rFonts w:ascii="Arial" w:hAnsi="Arial" w:cs="Arial"/>
          <w:sz w:val="22"/>
          <w:szCs w:val="22"/>
        </w:rPr>
        <w:t>what is the recommendation? Combine 15Five and TalentLMS. 15Five supports continuous feedback. TalentLMS enables flexible, accessible learning. Together, they directly address the challenges identified throughout this presentation. Implementation is everything. This is because even the best platforms fail without the right conditions. 15Five and TalentLMS are not magic. A platform is only as effective as the people using it. Without managerial capability and capacity, the software adds nothing. That is why investment in management training is just as important as the software itself. Adoption is often uneven when resistance to change is present. New systems compete with existing habits. Winning that competition requires clear communication and visible benefit. A pilot phase can help before full rollout, but continued monitoring and improvement are still needed. Without consistent use, impact remains limited.</w:t>
      </w:r>
    </w:p>
    <w:p w14:paraId="6A65462B" w14:textId="468F2123" w:rsidR="00E5052F" w:rsidRPr="00E5052F" w:rsidRDefault="00E5052F" w:rsidP="00CC0515">
      <w:pPr>
        <w:spacing w:after="120" w:line="360" w:lineRule="auto"/>
        <w:jc w:val="both"/>
        <w:rPr>
          <w:rFonts w:ascii="Arial" w:hAnsi="Arial" w:cs="Arial"/>
          <w:b/>
          <w:bCs/>
          <w:sz w:val="22"/>
          <w:szCs w:val="22"/>
        </w:rPr>
      </w:pPr>
      <w:r w:rsidRPr="00E5052F">
        <w:rPr>
          <w:rFonts w:ascii="Arial" w:hAnsi="Arial" w:cs="Arial"/>
          <w:b/>
          <w:bCs/>
          <w:sz w:val="22"/>
          <w:szCs w:val="22"/>
        </w:rPr>
        <w:t>Slide 15:</w:t>
      </w:r>
    </w:p>
    <w:p w14:paraId="23EEF7E6" w14:textId="3482D489" w:rsidR="00E5052F" w:rsidRDefault="00E5052F" w:rsidP="00CC0515">
      <w:pPr>
        <w:spacing w:after="120" w:line="360" w:lineRule="auto"/>
        <w:jc w:val="both"/>
        <w:rPr>
          <w:rFonts w:ascii="Arial" w:hAnsi="Arial" w:cs="Arial"/>
          <w:sz w:val="22"/>
          <w:szCs w:val="22"/>
        </w:rPr>
      </w:pPr>
      <w:r>
        <w:rPr>
          <w:rFonts w:ascii="Arial" w:hAnsi="Arial" w:cs="Arial"/>
          <w:sz w:val="22"/>
          <w:szCs w:val="22"/>
        </w:rPr>
        <w:t>From a cost perspective, both platforms are accessible. 15Five uses a subscription model that scales with workforce size, as 15Five (2026) outlines. TalentLMS uses fixed pricing plans depending on organisational size, as TalentLMS (2026) reports. Costs increase with scale, but this needs to be seen in context. In hospitality, even small improvements in retention generate significant savings. The return on investment can be realised relatively quickly.</w:t>
      </w:r>
    </w:p>
    <w:p w14:paraId="0DC103D0" w14:textId="4C08911F" w:rsidR="00E5052F" w:rsidRPr="00E5052F" w:rsidRDefault="00E5052F" w:rsidP="00CC0515">
      <w:pPr>
        <w:spacing w:after="120" w:line="360" w:lineRule="auto"/>
        <w:jc w:val="both"/>
        <w:rPr>
          <w:rFonts w:ascii="Arial" w:hAnsi="Arial" w:cs="Arial"/>
          <w:b/>
          <w:bCs/>
          <w:sz w:val="22"/>
          <w:szCs w:val="22"/>
        </w:rPr>
      </w:pPr>
      <w:r w:rsidRPr="00E5052F">
        <w:rPr>
          <w:rFonts w:ascii="Arial" w:hAnsi="Arial" w:cs="Arial"/>
          <w:b/>
          <w:bCs/>
          <w:sz w:val="22"/>
          <w:szCs w:val="22"/>
        </w:rPr>
        <w:t>Slide 16:</w:t>
      </w:r>
    </w:p>
    <w:p w14:paraId="4111F054" w14:textId="7633F5AD" w:rsidR="00E57535" w:rsidRDefault="00E5052F" w:rsidP="00CC0515">
      <w:pPr>
        <w:spacing w:after="120" w:line="360" w:lineRule="auto"/>
        <w:jc w:val="both"/>
        <w:rPr>
          <w:rFonts w:ascii="Arial" w:hAnsi="Arial" w:cs="Arial"/>
          <w:sz w:val="22"/>
          <w:szCs w:val="22"/>
        </w:rPr>
      </w:pPr>
      <w:r>
        <w:rPr>
          <w:rFonts w:ascii="Arial" w:hAnsi="Arial" w:cs="Arial"/>
          <w:sz w:val="22"/>
          <w:szCs w:val="22"/>
        </w:rPr>
        <w:t xml:space="preserve">The focus is not only on platform selection, but also on whether Premier Inn is prepared to change its approach to managing performance and learning. The evidence indicates that this can be supported. The tools are there. The question is whether Premier Inn is ready to use them. For Premier Inn, that means a more consistent service experience across every </w:t>
      </w:r>
      <w:r>
        <w:rPr>
          <w:rFonts w:ascii="Arial" w:hAnsi="Arial" w:cs="Arial"/>
          <w:sz w:val="22"/>
          <w:szCs w:val="22"/>
        </w:rPr>
        <w:lastRenderedPageBreak/>
        <w:t>location, stronger retention in a high-turnover industry, and a more engaged and capable workforce. These are not just HR outcomes. They form the foundation of long-term competitive advantage. Thank you for your attention.</w:t>
      </w:r>
    </w:p>
    <w:p w14:paraId="4264D95F" w14:textId="77777777" w:rsidR="00E57535" w:rsidRDefault="00E57535">
      <w:pPr>
        <w:rPr>
          <w:rFonts w:ascii="Arial" w:hAnsi="Arial" w:cs="Arial"/>
          <w:sz w:val="22"/>
          <w:szCs w:val="22"/>
        </w:rPr>
      </w:pPr>
      <w:r>
        <w:rPr>
          <w:rFonts w:ascii="Arial" w:hAnsi="Arial" w:cs="Arial"/>
          <w:sz w:val="22"/>
          <w:szCs w:val="22"/>
        </w:rPr>
        <w:br w:type="page"/>
      </w:r>
    </w:p>
    <w:p w14:paraId="75BD31FF" w14:textId="644BDC1A" w:rsidR="00E5052F" w:rsidRDefault="00E57535" w:rsidP="00326715">
      <w:pPr>
        <w:spacing w:line="360" w:lineRule="auto"/>
        <w:jc w:val="both"/>
        <w:rPr>
          <w:rFonts w:ascii="Arial" w:hAnsi="Arial" w:cs="Arial"/>
          <w:b/>
          <w:bCs/>
          <w:sz w:val="22"/>
          <w:szCs w:val="22"/>
        </w:rPr>
      </w:pPr>
      <w:r w:rsidRPr="00E57535">
        <w:rPr>
          <w:rFonts w:ascii="Arial" w:hAnsi="Arial" w:cs="Arial"/>
          <w:b/>
          <w:bCs/>
          <w:sz w:val="22"/>
          <w:szCs w:val="22"/>
        </w:rPr>
        <w:lastRenderedPageBreak/>
        <w:t>References</w:t>
      </w:r>
    </w:p>
    <w:p w14:paraId="352CF2A1"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15Five (2025). Product information on 15Five. </w:t>
      </w:r>
      <w:r w:rsidRPr="00730FA4">
        <w:rPr>
          <w:rFonts w:ascii="Arial" w:hAnsi="Arial" w:cs="Arial"/>
          <w:i/>
          <w:iCs/>
        </w:rPr>
        <w:t>Gartner</w:t>
      </w:r>
      <w:r w:rsidRPr="00730FA4">
        <w:rPr>
          <w:rFonts w:ascii="Arial" w:hAnsi="Arial" w:cs="Arial"/>
        </w:rPr>
        <w:t xml:space="preserve"> [online]. Available at: </w:t>
      </w:r>
      <w:hyperlink r:id="rId5" w:history="1">
        <w:r w:rsidRPr="00730FA4">
          <w:rPr>
            <w:rStyle w:val="Hyperlink"/>
            <w:rFonts w:ascii="Arial" w:hAnsi="Arial" w:cs="Arial"/>
          </w:rPr>
          <w:t>https://gcom.pdo.aws.gartner.com/reviews/product/fifteenfive</w:t>
        </w:r>
      </w:hyperlink>
      <w:r w:rsidRPr="00730FA4">
        <w:rPr>
          <w:rFonts w:ascii="Arial" w:hAnsi="Arial" w:cs="Arial"/>
        </w:rPr>
        <w:t xml:space="preserve"> (Accessed 12 March 2026).</w:t>
      </w:r>
    </w:p>
    <w:p w14:paraId="1864D7AB"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15Five (2026). </w:t>
      </w:r>
      <w:r w:rsidRPr="00730FA4">
        <w:rPr>
          <w:rFonts w:ascii="Arial" w:hAnsi="Arial" w:cs="Arial"/>
          <w:i/>
          <w:iCs/>
        </w:rPr>
        <w:t>Pricing</w:t>
      </w:r>
      <w:r w:rsidRPr="00730FA4">
        <w:rPr>
          <w:rFonts w:ascii="Arial" w:hAnsi="Arial" w:cs="Arial"/>
        </w:rPr>
        <w:t xml:space="preserve">. [online] 15Five. Available at: </w:t>
      </w:r>
      <w:hyperlink r:id="rId6" w:history="1">
        <w:r w:rsidRPr="00730FA4">
          <w:rPr>
            <w:rStyle w:val="Hyperlink"/>
            <w:rFonts w:ascii="Arial" w:hAnsi="Arial" w:cs="Arial"/>
          </w:rPr>
          <w:t>https://www.15five.com/pricing</w:t>
        </w:r>
      </w:hyperlink>
      <w:r w:rsidRPr="00730FA4">
        <w:rPr>
          <w:rFonts w:ascii="Arial" w:hAnsi="Arial" w:cs="Arial"/>
        </w:rPr>
        <w:t xml:space="preserve"> (Accessed 12 March 2026).</w:t>
      </w:r>
    </w:p>
    <w:p w14:paraId="6FB2720A"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Breakroom (2026). Premier Inn Job Reviews &amp; Ratings - Real UK Workers. [online] Available at: </w:t>
      </w:r>
      <w:hyperlink r:id="rId7" w:history="1">
        <w:r w:rsidRPr="00730FA4">
          <w:rPr>
            <w:rStyle w:val="Hyperlink"/>
            <w:rFonts w:ascii="Arial" w:hAnsi="Arial" w:cs="Arial"/>
          </w:rPr>
          <w:t>https://www.breakroom.cc/en-gb/employers/premier-inn/job-reviews?job=managers</w:t>
        </w:r>
      </w:hyperlink>
      <w:r w:rsidRPr="00730FA4">
        <w:rPr>
          <w:rFonts w:ascii="Arial" w:hAnsi="Arial" w:cs="Arial"/>
        </w:rPr>
        <w:t xml:space="preserve"> (Accessed 22 March 2026).</w:t>
      </w:r>
    </w:p>
    <w:p w14:paraId="2BCDEF4E"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Chuchu, B. and Kyongo, J. (2025). Performance management and artificial intelligence (AI): Enhancing personalized development with continuous feedback and data-driven decisions. International Journal of Computer Science and Information Technology for Education, 13(1), pp. 13–22. doi: </w:t>
      </w:r>
      <w:hyperlink r:id="rId8" w:history="1">
        <w:r w:rsidRPr="00730FA4">
          <w:rPr>
            <w:rStyle w:val="Hyperlink"/>
            <w:rFonts w:ascii="Arial" w:hAnsi="Arial" w:cs="Arial"/>
          </w:rPr>
          <w:t>https://doi.org/10.5281/zenodo.15025954</w:t>
        </w:r>
      </w:hyperlink>
      <w:r w:rsidRPr="00730FA4">
        <w:rPr>
          <w:rFonts w:ascii="Arial" w:hAnsi="Arial" w:cs="Arial"/>
        </w:rPr>
        <w:t>.</w:t>
      </w:r>
    </w:p>
    <w:p w14:paraId="16625EFA"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Davis, F.D. (1989) ‘Perceived usefulness, perceived ease of use, and user acceptance of information technology’, </w:t>
      </w:r>
      <w:r w:rsidRPr="00730FA4">
        <w:rPr>
          <w:rFonts w:ascii="Arial" w:hAnsi="Arial" w:cs="Arial"/>
          <w:i/>
          <w:iCs/>
        </w:rPr>
        <w:t>MIS Quarterly,</w:t>
      </w:r>
      <w:r w:rsidRPr="00730FA4">
        <w:rPr>
          <w:rFonts w:ascii="Arial" w:hAnsi="Arial" w:cs="Arial"/>
        </w:rPr>
        <w:t xml:space="preserve"> 13(3), pp. 319–340.</w:t>
      </w:r>
    </w:p>
    <w:p w14:paraId="56E255EA"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Drela, K., Grabowska, A., Brojak-Trzaskowska, M. and Bousia, A. (2025). The future of AI in HRM: A case study of HR decision-making. </w:t>
      </w:r>
      <w:r w:rsidRPr="00730FA4">
        <w:rPr>
          <w:rFonts w:ascii="Arial" w:hAnsi="Arial" w:cs="Arial"/>
          <w:i/>
          <w:iCs/>
        </w:rPr>
        <w:t>Proceedings of the 28th European Conference on Artificial Intelligence (ECAI 2025)</w:t>
      </w:r>
      <w:r w:rsidRPr="00730FA4">
        <w:rPr>
          <w:rFonts w:ascii="Arial" w:hAnsi="Arial" w:cs="Arial"/>
        </w:rPr>
        <w:t xml:space="preserve">. doi: </w:t>
      </w:r>
      <w:hyperlink r:id="rId9" w:tgtFrame="_new" w:history="1">
        <w:r w:rsidRPr="00730FA4">
          <w:rPr>
            <w:rStyle w:val="Hyperlink"/>
            <w:rFonts w:ascii="Arial" w:hAnsi="Arial" w:cs="Arial"/>
          </w:rPr>
          <w:t>https://doi.org/10.18.276/978-83-8419-053-1-20</w:t>
        </w:r>
      </w:hyperlink>
      <w:r w:rsidRPr="00730FA4">
        <w:rPr>
          <w:rFonts w:ascii="Arial" w:hAnsi="Arial" w:cs="Arial"/>
        </w:rPr>
        <w:t>.</w:t>
      </w:r>
    </w:p>
    <w:p w14:paraId="4406DB95"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Fang, J. (2023). Application and limitations of expectancy theory in organizations. </w:t>
      </w:r>
      <w:r w:rsidRPr="00730FA4">
        <w:rPr>
          <w:rFonts w:ascii="Arial" w:hAnsi="Arial" w:cs="Arial"/>
          <w:i/>
          <w:iCs/>
        </w:rPr>
        <w:t>Advances in Economics Management and Political Sciences</w:t>
      </w:r>
      <w:r w:rsidRPr="00730FA4">
        <w:rPr>
          <w:rFonts w:ascii="Arial" w:hAnsi="Arial" w:cs="Arial"/>
        </w:rPr>
        <w:t xml:space="preserve">, 54(1), pp. 7–12. doi: </w:t>
      </w:r>
      <w:hyperlink r:id="rId10" w:history="1">
        <w:r w:rsidRPr="00730FA4">
          <w:rPr>
            <w:rStyle w:val="Hyperlink"/>
            <w:rFonts w:ascii="Arial" w:hAnsi="Arial" w:cs="Arial"/>
          </w:rPr>
          <w:t>https://doi.org/10.54254/2754-1169/54/20230868</w:t>
        </w:r>
      </w:hyperlink>
      <w:r w:rsidRPr="00730FA4">
        <w:rPr>
          <w:rFonts w:ascii="Arial" w:hAnsi="Arial" w:cs="Arial"/>
        </w:rPr>
        <w:t>.</w:t>
      </w:r>
    </w:p>
    <w:p w14:paraId="5622BA58"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Gyensare, M.A., Soetan, G., Ogbonnaya, C., Agyapong, J. and Roodbari, H. (2025). Sustaining employees thriving at work through polychronicity and work engagement: The unintended (negative) consequence of training. </w:t>
      </w:r>
      <w:r w:rsidRPr="00730FA4">
        <w:rPr>
          <w:rFonts w:ascii="Arial" w:hAnsi="Arial" w:cs="Arial"/>
          <w:i/>
          <w:iCs/>
        </w:rPr>
        <w:t>Journal of Occupational and Organizational Psychology</w:t>
      </w:r>
      <w:r w:rsidRPr="00730FA4">
        <w:rPr>
          <w:rFonts w:ascii="Arial" w:hAnsi="Arial" w:cs="Arial"/>
        </w:rPr>
        <w:t xml:space="preserve">, 98(1). doi: </w:t>
      </w:r>
      <w:hyperlink r:id="rId11" w:history="1">
        <w:r w:rsidRPr="00730FA4">
          <w:rPr>
            <w:rStyle w:val="Hyperlink"/>
            <w:rFonts w:ascii="Arial" w:hAnsi="Arial" w:cs="Arial"/>
          </w:rPr>
          <w:t>https://doi.org/10.1111/joop.70017</w:t>
        </w:r>
      </w:hyperlink>
      <w:r w:rsidRPr="00730FA4">
        <w:rPr>
          <w:rFonts w:ascii="Arial" w:hAnsi="Arial" w:cs="Arial"/>
        </w:rPr>
        <w:t>.</w:t>
      </w:r>
    </w:p>
    <w:p w14:paraId="0D53AC4C" w14:textId="77777777" w:rsidR="00C54099" w:rsidRPr="00730FA4" w:rsidRDefault="00C54099" w:rsidP="00C54099">
      <w:pPr>
        <w:pStyle w:val="NormalWeb"/>
        <w:spacing w:after="120"/>
        <w:rPr>
          <w:rFonts w:ascii="Arial" w:eastAsia="Times New Roman" w:hAnsi="Arial" w:cs="Arial"/>
          <w:color w:val="auto"/>
          <w:kern w:val="0"/>
          <w:lang w:eastAsia="en-GB"/>
          <w14:ligatures w14:val="none"/>
        </w:rPr>
      </w:pPr>
      <w:r w:rsidRPr="00730FA4">
        <w:rPr>
          <w:rFonts w:ascii="Arial" w:eastAsia="Times New Roman" w:hAnsi="Arial" w:cs="Arial"/>
          <w:color w:val="auto"/>
          <w:kern w:val="0"/>
          <w:lang w:eastAsia="en-GB"/>
          <w14:ligatures w14:val="none"/>
        </w:rPr>
        <w:t xml:space="preserve">Hall, R. (2024). How IHG transformed leadership training with Learning Pool’s platform. </w:t>
      </w:r>
      <w:r w:rsidRPr="00730FA4">
        <w:rPr>
          <w:rFonts w:ascii="Arial" w:eastAsia="Times New Roman" w:hAnsi="Arial" w:cs="Arial"/>
          <w:i/>
          <w:iCs/>
          <w:color w:val="auto"/>
          <w:kern w:val="0"/>
          <w:lang w:eastAsia="en-GB"/>
          <w14:ligatures w14:val="none"/>
        </w:rPr>
        <w:t>eLearning Industry</w:t>
      </w:r>
      <w:r w:rsidRPr="00730FA4">
        <w:rPr>
          <w:rFonts w:ascii="Arial" w:eastAsia="Times New Roman" w:hAnsi="Arial" w:cs="Arial"/>
          <w:color w:val="auto"/>
          <w:kern w:val="0"/>
          <w:lang w:eastAsia="en-GB"/>
          <w14:ligatures w14:val="none"/>
        </w:rPr>
        <w:t xml:space="preserve">. Available at: </w:t>
      </w:r>
      <w:hyperlink r:id="rId12" w:history="1">
        <w:r w:rsidRPr="00730FA4">
          <w:rPr>
            <w:rStyle w:val="Hyperlink"/>
            <w:rFonts w:ascii="Arial" w:eastAsia="Times New Roman" w:hAnsi="Arial" w:cs="Arial"/>
            <w:kern w:val="0"/>
            <w:lang w:eastAsia="en-GB"/>
            <w14:ligatures w14:val="none"/>
          </w:rPr>
          <w:t>https://elearningindustry.com/how-ihg-transformed-leadership-training-with-learning-pools-platform</w:t>
        </w:r>
      </w:hyperlink>
      <w:r w:rsidRPr="00730FA4">
        <w:rPr>
          <w:rFonts w:ascii="Arial" w:eastAsia="Times New Roman" w:hAnsi="Arial" w:cs="Arial"/>
          <w:color w:val="auto"/>
          <w:kern w:val="0"/>
          <w:lang w:eastAsia="en-GB"/>
          <w14:ligatures w14:val="none"/>
        </w:rPr>
        <w:t xml:space="preserve"> (Accessed 26 March 2026).</w:t>
      </w:r>
    </w:p>
    <w:p w14:paraId="5E05896B" w14:textId="77777777" w:rsidR="00C54099" w:rsidRPr="00730FA4" w:rsidRDefault="00C54099" w:rsidP="00C54099">
      <w:pPr>
        <w:spacing w:after="120" w:line="360" w:lineRule="auto"/>
        <w:jc w:val="both"/>
        <w:rPr>
          <w:rFonts w:ascii="Arial" w:hAnsi="Arial" w:cs="Arial"/>
        </w:rPr>
      </w:pPr>
      <w:r w:rsidRPr="00730FA4">
        <w:rPr>
          <w:rFonts w:ascii="Arial" w:hAnsi="Arial" w:cs="Arial"/>
        </w:rPr>
        <w:lastRenderedPageBreak/>
        <w:t xml:space="preserve">Hesse, D., Craig, S., Manchanda, N. and Young, B. (2025). Creating five-star associate experiences. </w:t>
      </w:r>
      <w:r w:rsidRPr="00730FA4">
        <w:rPr>
          <w:rFonts w:ascii="Arial" w:hAnsi="Arial" w:cs="Arial"/>
          <w:i/>
          <w:iCs/>
        </w:rPr>
        <w:t>Accenture</w:t>
      </w:r>
      <w:r w:rsidRPr="00730FA4">
        <w:rPr>
          <w:rFonts w:ascii="Arial" w:hAnsi="Arial" w:cs="Arial"/>
        </w:rPr>
        <w:t xml:space="preserve"> [online]. Available at: </w:t>
      </w:r>
      <w:hyperlink r:id="rId13" w:history="1">
        <w:r w:rsidRPr="00730FA4">
          <w:rPr>
            <w:rStyle w:val="Hyperlink"/>
            <w:rFonts w:ascii="Arial" w:hAnsi="Arial" w:cs="Arial"/>
          </w:rPr>
          <w:t>https://www.accenture.com/gb-en/case-studies/travel/marriott-hr-transformation</w:t>
        </w:r>
      </w:hyperlink>
      <w:r w:rsidRPr="00730FA4">
        <w:rPr>
          <w:rFonts w:ascii="Arial" w:hAnsi="Arial" w:cs="Arial"/>
        </w:rPr>
        <w:t xml:space="preserve"> (Accessed 9 March 2026).</w:t>
      </w:r>
    </w:p>
    <w:p w14:paraId="1575B55A"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Hopfner, J. (2022). Negative effects of Goal-Setting and goal-failure at work. </w:t>
      </w:r>
      <w:r w:rsidRPr="00730FA4">
        <w:rPr>
          <w:rFonts w:ascii="Arial" w:hAnsi="Arial" w:cs="Arial"/>
          <w:i/>
          <w:iCs/>
        </w:rPr>
        <w:t>Technical University of Darmstadt</w:t>
      </w:r>
      <w:r w:rsidRPr="00730FA4">
        <w:rPr>
          <w:rFonts w:ascii="Arial" w:hAnsi="Arial" w:cs="Arial"/>
        </w:rPr>
        <w:t xml:space="preserve"> [online]. Available at: </w:t>
      </w:r>
      <w:hyperlink r:id="rId14" w:history="1">
        <w:r w:rsidRPr="00730FA4">
          <w:rPr>
            <w:rStyle w:val="Hyperlink"/>
            <w:rFonts w:ascii="Arial" w:hAnsi="Arial" w:cs="Arial"/>
          </w:rPr>
          <w:t>https://tuprints.ulb.tu-darmstadt.de/entities/publication/ef709633-e3e5-4e65-89f8-5a6f048f5a86</w:t>
        </w:r>
      </w:hyperlink>
      <w:r w:rsidRPr="00730FA4">
        <w:rPr>
          <w:rFonts w:ascii="Arial" w:hAnsi="Arial" w:cs="Arial"/>
        </w:rPr>
        <w:t xml:space="preserve"> (Accessed 29 March 2026).</w:t>
      </w:r>
    </w:p>
    <w:p w14:paraId="5FBAEB40"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ICO (2025). Data protection and monitoring workers. </w:t>
      </w:r>
      <w:r w:rsidRPr="00730FA4">
        <w:rPr>
          <w:rFonts w:ascii="Arial" w:hAnsi="Arial" w:cs="Arial"/>
          <w:i/>
          <w:iCs/>
        </w:rPr>
        <w:t>ICO</w:t>
      </w:r>
      <w:r w:rsidRPr="00730FA4">
        <w:rPr>
          <w:rFonts w:ascii="Arial" w:hAnsi="Arial" w:cs="Arial"/>
        </w:rPr>
        <w:t xml:space="preserve"> [online]. Available at: </w:t>
      </w:r>
      <w:hyperlink r:id="rId15" w:history="1">
        <w:r w:rsidRPr="00730FA4">
          <w:rPr>
            <w:rStyle w:val="Hyperlink"/>
            <w:rFonts w:ascii="Arial" w:hAnsi="Arial" w:cs="Arial"/>
          </w:rPr>
          <w:t>https://ico.org.uk/for-organisations/uk-gdpr-guidance-and-resources/employment/monitoring-workers/data-protection-and-monitoring-workers</w:t>
        </w:r>
      </w:hyperlink>
      <w:r w:rsidRPr="00730FA4">
        <w:rPr>
          <w:rFonts w:ascii="Arial" w:hAnsi="Arial" w:cs="Arial"/>
        </w:rPr>
        <w:t xml:space="preserve"> (Accessed 10 April 2026).</w:t>
      </w:r>
    </w:p>
    <w:p w14:paraId="20DFE0E0"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Kolb, D.A. (1984) Experiential Learning: </w:t>
      </w:r>
      <w:r w:rsidRPr="00730FA4">
        <w:rPr>
          <w:rFonts w:ascii="Arial" w:hAnsi="Arial" w:cs="Arial"/>
          <w:i/>
          <w:iCs/>
        </w:rPr>
        <w:t>Experience as the Source of Learning and Development.</w:t>
      </w:r>
      <w:r w:rsidRPr="00730FA4">
        <w:rPr>
          <w:rFonts w:ascii="Arial" w:hAnsi="Arial" w:cs="Arial"/>
        </w:rPr>
        <w:t xml:space="preserve"> Englewood Cliffs, NJ: Prentice Hall.</w:t>
      </w:r>
    </w:p>
    <w:p w14:paraId="47C2B70F"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Locke, E.A. and Latham, G.P. (1990) </w:t>
      </w:r>
      <w:r w:rsidRPr="00730FA4">
        <w:rPr>
          <w:rFonts w:ascii="Arial" w:hAnsi="Arial" w:cs="Arial"/>
          <w:i/>
          <w:iCs/>
        </w:rPr>
        <w:t>A Theory of Goal Setting and Task Performance. Englewood Cliffs,</w:t>
      </w:r>
      <w:r w:rsidRPr="00730FA4">
        <w:rPr>
          <w:rFonts w:ascii="Arial" w:hAnsi="Arial" w:cs="Arial"/>
        </w:rPr>
        <w:t xml:space="preserve"> NJ: Prentice Hall.</w:t>
      </w:r>
    </w:p>
    <w:p w14:paraId="13F59172"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Lorenzon, A. (2025). TalentLMS product in review 2025: A year of customer-driven innovation. </w:t>
      </w:r>
      <w:r w:rsidRPr="00730FA4">
        <w:rPr>
          <w:rFonts w:ascii="Arial" w:hAnsi="Arial" w:cs="Arial"/>
          <w:i/>
          <w:iCs/>
        </w:rPr>
        <w:t>TalentLMS</w:t>
      </w:r>
      <w:r w:rsidRPr="00730FA4">
        <w:rPr>
          <w:rFonts w:ascii="Arial" w:hAnsi="Arial" w:cs="Arial"/>
        </w:rPr>
        <w:t xml:space="preserve"> [online]. Available at: </w:t>
      </w:r>
      <w:hyperlink r:id="rId16" w:history="1">
        <w:r w:rsidRPr="00730FA4">
          <w:rPr>
            <w:rStyle w:val="Hyperlink"/>
            <w:rFonts w:ascii="Arial" w:hAnsi="Arial" w:cs="Arial"/>
          </w:rPr>
          <w:t>https://www.talentlms.com/blog/talentlms-2025-product-updates/</w:t>
        </w:r>
      </w:hyperlink>
      <w:r w:rsidRPr="00730FA4">
        <w:rPr>
          <w:rFonts w:ascii="Arial" w:hAnsi="Arial" w:cs="Arial"/>
        </w:rPr>
        <w:t xml:space="preserve"> (Accessed 14 March 2026).</w:t>
      </w:r>
    </w:p>
    <w:p w14:paraId="4ED97178"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Madgavkar, A., Smit, S., Woetzel, L., Samandari, H., Carlin, D., Seong, J. and Chockalingam, K. (2022). Human capital at work: The value of experience. </w:t>
      </w:r>
      <w:r w:rsidRPr="00730FA4">
        <w:rPr>
          <w:rFonts w:ascii="Arial" w:hAnsi="Arial" w:cs="Arial"/>
          <w:i/>
          <w:iCs/>
        </w:rPr>
        <w:t>McKinsey &amp; Company</w:t>
      </w:r>
      <w:r w:rsidRPr="00730FA4">
        <w:rPr>
          <w:rFonts w:ascii="Arial" w:hAnsi="Arial" w:cs="Arial"/>
        </w:rPr>
        <w:t xml:space="preserve"> [online]. Available at: </w:t>
      </w:r>
      <w:hyperlink r:id="rId17" w:history="1">
        <w:r w:rsidRPr="00730FA4">
          <w:rPr>
            <w:rStyle w:val="Hyperlink"/>
            <w:rFonts w:ascii="Arial" w:hAnsi="Arial" w:cs="Arial"/>
          </w:rPr>
          <w:t>https://www.mckinsey.com/capabilities/people-and-organizational-performance/our-insights/human-capital-at-work-the-value-of-experience#/</w:t>
        </w:r>
      </w:hyperlink>
      <w:r w:rsidRPr="00730FA4">
        <w:rPr>
          <w:rFonts w:ascii="Arial" w:hAnsi="Arial" w:cs="Arial"/>
        </w:rPr>
        <w:t xml:space="preserve"> (Accessed 18 March 2026).</w:t>
      </w:r>
    </w:p>
    <w:p w14:paraId="06E2E522"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Pickles, M., Duffy, P.O. and Stewart, J. (2025). Addressing global labour challenges: An integrative model for sustainable hospitality workplaces, informed by resource-based view theory and the kaleidoscope career model. </w:t>
      </w:r>
      <w:r w:rsidRPr="00730FA4">
        <w:rPr>
          <w:rFonts w:ascii="Arial" w:hAnsi="Arial" w:cs="Arial"/>
          <w:i/>
          <w:iCs/>
        </w:rPr>
        <w:t>International Journal of Hospitality Management,</w:t>
      </w:r>
      <w:r w:rsidRPr="00730FA4">
        <w:rPr>
          <w:rFonts w:ascii="Arial" w:hAnsi="Arial" w:cs="Arial"/>
        </w:rPr>
        <w:t xml:space="preserve"> 131, 104258. doi: </w:t>
      </w:r>
      <w:hyperlink r:id="rId18" w:history="1">
        <w:r w:rsidRPr="00730FA4">
          <w:rPr>
            <w:rStyle w:val="Hyperlink"/>
            <w:rFonts w:ascii="Arial" w:hAnsi="Arial" w:cs="Arial"/>
          </w:rPr>
          <w:t>https://doi.org/10.1016/j.ijhm.2025.104258</w:t>
        </w:r>
      </w:hyperlink>
      <w:r w:rsidRPr="00730FA4">
        <w:rPr>
          <w:rFonts w:ascii="Arial" w:hAnsi="Arial" w:cs="Arial"/>
        </w:rPr>
        <w:t>.</w:t>
      </w:r>
    </w:p>
    <w:p w14:paraId="497D0957" w14:textId="77777777" w:rsidR="00C54099" w:rsidRPr="00730FA4" w:rsidRDefault="00C54099" w:rsidP="00C54099">
      <w:pPr>
        <w:pStyle w:val="NormalWeb"/>
        <w:spacing w:after="120"/>
        <w:rPr>
          <w:rFonts w:ascii="Arial" w:eastAsia="Times New Roman" w:hAnsi="Arial" w:cs="Arial"/>
          <w:color w:val="auto"/>
          <w:kern w:val="0"/>
          <w:lang w:eastAsia="en-GB"/>
          <w14:ligatures w14:val="none"/>
        </w:rPr>
      </w:pPr>
      <w:r w:rsidRPr="00730FA4">
        <w:rPr>
          <w:rFonts w:ascii="Arial" w:eastAsia="Times New Roman" w:hAnsi="Arial" w:cs="Arial"/>
          <w:color w:val="auto"/>
          <w:kern w:val="0"/>
          <w:lang w:eastAsia="en-GB"/>
          <w14:ligatures w14:val="none"/>
        </w:rPr>
        <w:lastRenderedPageBreak/>
        <w:t xml:space="preserve">Quinn, C. (2026). Four improvements in iSpring LMS (April 2025 update). </w:t>
      </w:r>
      <w:r w:rsidRPr="00730FA4">
        <w:rPr>
          <w:rFonts w:ascii="Arial" w:eastAsia="Times New Roman" w:hAnsi="Arial" w:cs="Arial"/>
          <w:i/>
          <w:iCs/>
          <w:color w:val="auto"/>
          <w:kern w:val="0"/>
          <w:lang w:eastAsia="en-GB"/>
          <w14:ligatures w14:val="none"/>
        </w:rPr>
        <w:t>iSpring</w:t>
      </w:r>
      <w:r w:rsidRPr="00730FA4">
        <w:rPr>
          <w:rFonts w:ascii="Arial" w:eastAsia="Times New Roman" w:hAnsi="Arial" w:cs="Arial"/>
          <w:color w:val="auto"/>
          <w:kern w:val="0"/>
          <w:lang w:eastAsia="en-GB"/>
          <w14:ligatures w14:val="none"/>
        </w:rPr>
        <w:t xml:space="preserve"> [online]. Available at: </w:t>
      </w:r>
      <w:hyperlink r:id="rId19" w:history="1">
        <w:r w:rsidRPr="00730FA4">
          <w:rPr>
            <w:rStyle w:val="Hyperlink"/>
            <w:rFonts w:ascii="Arial" w:eastAsia="Times New Roman" w:hAnsi="Arial" w:cs="Arial"/>
            <w:kern w:val="0"/>
            <w:lang w:eastAsia="en-GB"/>
            <w14:ligatures w14:val="none"/>
          </w:rPr>
          <w:t>https://www.ispring.com/knowledge-hub/ispring-learn-april-2025-update</w:t>
        </w:r>
      </w:hyperlink>
      <w:r w:rsidRPr="00730FA4">
        <w:rPr>
          <w:rFonts w:ascii="Arial" w:eastAsia="Times New Roman" w:hAnsi="Arial" w:cs="Arial"/>
          <w:color w:val="auto"/>
          <w:kern w:val="0"/>
          <w:lang w:eastAsia="en-GB"/>
          <w14:ligatures w14:val="none"/>
        </w:rPr>
        <w:t xml:space="preserve"> (Accessed 19 March 2026).</w:t>
      </w:r>
    </w:p>
    <w:p w14:paraId="5CDC2D17"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Sankar, M., Sathish, D., Nivetha, P., Chitra, M., Prasanth, S. and Kumar, M. (2025). A study on competency mapping for employees in the hotel industry: An empirical study. </w:t>
      </w:r>
      <w:r w:rsidRPr="00730FA4">
        <w:rPr>
          <w:rFonts w:ascii="Arial" w:hAnsi="Arial" w:cs="Arial"/>
          <w:i/>
          <w:iCs/>
        </w:rPr>
        <w:t>Advances in Consumer Research</w:t>
      </w:r>
      <w:r w:rsidRPr="00730FA4">
        <w:rPr>
          <w:rFonts w:ascii="Arial" w:hAnsi="Arial" w:cs="Arial"/>
        </w:rPr>
        <w:t xml:space="preserve">, 2(5), pp. 2018–2024. Available at: </w:t>
      </w:r>
      <w:hyperlink r:id="rId20" w:history="1">
        <w:r w:rsidRPr="00730FA4">
          <w:rPr>
            <w:rStyle w:val="Hyperlink"/>
            <w:rFonts w:ascii="Arial" w:hAnsi="Arial" w:cs="Arial"/>
          </w:rPr>
          <w:t>https://acr-journal.com/article/a-study-on-competency-mapping-for-employees-in-the-hotel-industry-an-empirical-study-1899/</w:t>
        </w:r>
      </w:hyperlink>
      <w:r w:rsidRPr="00730FA4">
        <w:rPr>
          <w:rFonts w:ascii="Arial" w:hAnsi="Arial" w:cs="Arial"/>
        </w:rPr>
        <w:t xml:space="preserve"> (Accessed 11 March 2026).</w:t>
      </w:r>
    </w:p>
    <w:p w14:paraId="05BAA712"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Stepanek, S. and Paul, M. (2022). Training transfer. </w:t>
      </w:r>
      <w:r w:rsidRPr="00730FA4">
        <w:rPr>
          <w:rFonts w:ascii="Arial" w:hAnsi="Arial" w:cs="Arial"/>
          <w:i/>
          <w:iCs/>
        </w:rPr>
        <w:t>DigitalCommons</w:t>
      </w:r>
      <w:r w:rsidRPr="00730FA4">
        <w:rPr>
          <w:rFonts w:ascii="Arial" w:hAnsi="Arial" w:cs="Arial"/>
        </w:rPr>
        <w:t xml:space="preserve"> [online]. Available at: </w:t>
      </w:r>
      <w:hyperlink r:id="rId21" w:history="1">
        <w:r w:rsidRPr="00730FA4">
          <w:rPr>
            <w:rStyle w:val="Hyperlink"/>
            <w:rFonts w:ascii="Arial" w:hAnsi="Arial" w:cs="Arial"/>
          </w:rPr>
          <w:t>https://digitalcommons.unl.edu/qicwdumbrella/3/#main</w:t>
        </w:r>
      </w:hyperlink>
      <w:r w:rsidRPr="00730FA4">
        <w:rPr>
          <w:rFonts w:ascii="Arial" w:hAnsi="Arial" w:cs="Arial"/>
        </w:rPr>
        <w:t xml:space="preserve"> (Accessed 22 March 2026).</w:t>
      </w:r>
    </w:p>
    <w:p w14:paraId="64A81D9A"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TalentLMS (2026). TalentLMS pricing: Annual or monthly LMS pricing plans. </w:t>
      </w:r>
      <w:r w:rsidRPr="00730FA4">
        <w:rPr>
          <w:rFonts w:ascii="Arial" w:hAnsi="Arial" w:cs="Arial"/>
          <w:i/>
          <w:iCs/>
        </w:rPr>
        <w:t>TalentLMS</w:t>
      </w:r>
      <w:r w:rsidRPr="00730FA4">
        <w:rPr>
          <w:rFonts w:ascii="Arial" w:hAnsi="Arial" w:cs="Arial"/>
        </w:rPr>
        <w:t xml:space="preserve"> [online]. Available at: </w:t>
      </w:r>
      <w:hyperlink r:id="rId22" w:history="1">
        <w:r w:rsidRPr="00730FA4">
          <w:rPr>
            <w:rStyle w:val="Hyperlink"/>
            <w:rFonts w:ascii="Arial" w:hAnsi="Arial" w:cs="Arial"/>
          </w:rPr>
          <w:t>https://www.talentlms.com/prices</w:t>
        </w:r>
      </w:hyperlink>
      <w:r w:rsidRPr="00730FA4">
        <w:rPr>
          <w:rFonts w:ascii="Arial" w:hAnsi="Arial" w:cs="Arial"/>
        </w:rPr>
        <w:t xml:space="preserve"> (Accessed 19 March 2026).</w:t>
      </w:r>
    </w:p>
    <w:p w14:paraId="20848267"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UKG (2026a). UKG Beacon drives 17% turnover reduction at Atlas Hotels. </w:t>
      </w:r>
      <w:r w:rsidRPr="00730FA4">
        <w:rPr>
          <w:rFonts w:ascii="Arial" w:hAnsi="Arial" w:cs="Arial"/>
          <w:i/>
          <w:iCs/>
        </w:rPr>
        <w:t>UKG</w:t>
      </w:r>
      <w:r w:rsidRPr="00730FA4">
        <w:rPr>
          <w:rFonts w:ascii="Arial" w:hAnsi="Arial" w:cs="Arial"/>
        </w:rPr>
        <w:t xml:space="preserve"> [online]. Available at: </w:t>
      </w:r>
      <w:hyperlink r:id="rId23" w:history="1">
        <w:r w:rsidRPr="00730FA4">
          <w:rPr>
            <w:rStyle w:val="Hyperlink"/>
            <w:rFonts w:ascii="Arial" w:hAnsi="Arial" w:cs="Arial"/>
          </w:rPr>
          <w:t>https://www.ukg.com/customers/atlas-hotels</w:t>
        </w:r>
      </w:hyperlink>
      <w:r w:rsidRPr="00730FA4">
        <w:rPr>
          <w:rFonts w:ascii="Arial" w:hAnsi="Arial" w:cs="Arial"/>
        </w:rPr>
        <w:t xml:space="preserve"> (Accessed 18 March 2026).</w:t>
      </w:r>
    </w:p>
    <w:p w14:paraId="168B5AA6"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UKG (2026b). UKG Beacon drives 60% increase in employee retention at Hotel Indigo. </w:t>
      </w:r>
      <w:r w:rsidRPr="00730FA4">
        <w:rPr>
          <w:rFonts w:ascii="Arial" w:hAnsi="Arial" w:cs="Arial"/>
          <w:i/>
          <w:iCs/>
        </w:rPr>
        <w:t>UKG</w:t>
      </w:r>
      <w:r w:rsidRPr="00730FA4">
        <w:rPr>
          <w:rFonts w:ascii="Arial" w:hAnsi="Arial" w:cs="Arial"/>
        </w:rPr>
        <w:t xml:space="preserve"> [online]. Available at: </w:t>
      </w:r>
      <w:hyperlink r:id="rId24" w:history="1">
        <w:r w:rsidRPr="00730FA4">
          <w:rPr>
            <w:rStyle w:val="Hyperlink"/>
            <w:rFonts w:ascii="Arial" w:hAnsi="Arial" w:cs="Arial"/>
          </w:rPr>
          <w:t>https://www.ukg.com/customers/hotel-indigo</w:t>
        </w:r>
      </w:hyperlink>
      <w:r w:rsidRPr="00730FA4">
        <w:rPr>
          <w:rFonts w:ascii="Arial" w:hAnsi="Arial" w:cs="Arial"/>
        </w:rPr>
        <w:t xml:space="preserve"> (Accessed 18 March 2026).</w:t>
      </w:r>
    </w:p>
    <w:p w14:paraId="7B2152BD"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Workday (2026). HCM and human capital management software. </w:t>
      </w:r>
      <w:r w:rsidRPr="00730FA4">
        <w:rPr>
          <w:rFonts w:ascii="Arial" w:hAnsi="Arial" w:cs="Arial"/>
          <w:i/>
          <w:iCs/>
        </w:rPr>
        <w:t>Workday</w:t>
      </w:r>
      <w:r w:rsidRPr="00730FA4">
        <w:rPr>
          <w:rFonts w:ascii="Arial" w:hAnsi="Arial" w:cs="Arial"/>
        </w:rPr>
        <w:t xml:space="preserve"> [online]. Available at: </w:t>
      </w:r>
      <w:hyperlink r:id="rId25" w:history="1">
        <w:r w:rsidRPr="00730FA4">
          <w:rPr>
            <w:rStyle w:val="Hyperlink"/>
            <w:rFonts w:ascii="Arial" w:hAnsi="Arial" w:cs="Arial"/>
          </w:rPr>
          <w:t>https://www.workday.com/en-us/products/human-capital-management/overview.html</w:t>
        </w:r>
      </w:hyperlink>
      <w:r w:rsidRPr="00730FA4">
        <w:rPr>
          <w:rFonts w:ascii="Arial" w:hAnsi="Arial" w:cs="Arial"/>
        </w:rPr>
        <w:t xml:space="preserve"> (Accessed 18 March 2026).</w:t>
      </w:r>
    </w:p>
    <w:p w14:paraId="487024F4" w14:textId="77777777" w:rsidR="00C54099" w:rsidRPr="00730FA4" w:rsidRDefault="00C54099" w:rsidP="00C54099">
      <w:pPr>
        <w:spacing w:after="120" w:line="360" w:lineRule="auto"/>
        <w:jc w:val="both"/>
        <w:rPr>
          <w:rFonts w:ascii="Arial" w:hAnsi="Arial" w:cs="Arial"/>
        </w:rPr>
      </w:pPr>
      <w:r w:rsidRPr="00730FA4">
        <w:rPr>
          <w:rFonts w:ascii="Arial" w:hAnsi="Arial" w:cs="Arial"/>
        </w:rPr>
        <w:t xml:space="preserve">Yang, J., Ma, J. and Li, L. (2023). The relationship between performance appraisal interval and employees’ proactive working behavior: Analysis based on time-gain effect and time-loss effect. </w:t>
      </w:r>
      <w:r w:rsidRPr="00730FA4">
        <w:rPr>
          <w:rFonts w:ascii="Arial" w:hAnsi="Arial" w:cs="Arial"/>
          <w:i/>
          <w:iCs/>
        </w:rPr>
        <w:t>Frontiers in Psychology</w:t>
      </w:r>
      <w:r w:rsidRPr="00730FA4">
        <w:rPr>
          <w:rFonts w:ascii="Arial" w:hAnsi="Arial" w:cs="Arial"/>
        </w:rPr>
        <w:t xml:space="preserve">, 14, 1213547. doi: </w:t>
      </w:r>
      <w:hyperlink r:id="rId26" w:history="1">
        <w:r w:rsidRPr="00730FA4">
          <w:rPr>
            <w:rStyle w:val="Hyperlink"/>
            <w:rFonts w:ascii="Arial" w:hAnsi="Arial" w:cs="Arial"/>
          </w:rPr>
          <w:t>https://doi.org/10.3389/fpsyg.2023.1213547</w:t>
        </w:r>
      </w:hyperlink>
      <w:r w:rsidRPr="00730FA4">
        <w:rPr>
          <w:rFonts w:ascii="Arial" w:hAnsi="Arial" w:cs="Arial"/>
        </w:rPr>
        <w:t>.</w:t>
      </w:r>
    </w:p>
    <w:p w14:paraId="3FD3A34F" w14:textId="5AC4EB74" w:rsidR="00C54099" w:rsidRPr="00C54099" w:rsidRDefault="00C54099" w:rsidP="00C54099">
      <w:pPr>
        <w:spacing w:after="120" w:line="360" w:lineRule="auto"/>
        <w:jc w:val="both"/>
        <w:rPr>
          <w:rFonts w:ascii="Arial" w:hAnsi="Arial" w:cs="Arial"/>
        </w:rPr>
      </w:pPr>
      <w:r w:rsidRPr="00730FA4">
        <w:rPr>
          <w:rFonts w:ascii="Arial" w:hAnsi="Arial" w:cs="Arial"/>
        </w:rPr>
        <w:t xml:space="preserve">Zenagui, S.A. (2025). Reassessing the criticism of human capital theory. </w:t>
      </w:r>
      <w:r w:rsidRPr="00730FA4">
        <w:rPr>
          <w:rFonts w:ascii="Arial" w:hAnsi="Arial" w:cs="Arial"/>
          <w:i/>
          <w:iCs/>
        </w:rPr>
        <w:t>ASJP</w:t>
      </w:r>
      <w:r w:rsidRPr="00730FA4">
        <w:rPr>
          <w:rFonts w:ascii="Arial" w:hAnsi="Arial" w:cs="Arial"/>
        </w:rPr>
        <w:t xml:space="preserve"> [online]. Available at: </w:t>
      </w:r>
      <w:hyperlink r:id="rId27" w:history="1">
        <w:r w:rsidRPr="00730FA4">
          <w:rPr>
            <w:rStyle w:val="Hyperlink"/>
            <w:rFonts w:ascii="Arial" w:hAnsi="Arial" w:cs="Arial"/>
          </w:rPr>
          <w:t>https://asjp.cerist.dz/en/article/266693</w:t>
        </w:r>
      </w:hyperlink>
      <w:r w:rsidRPr="00730FA4">
        <w:rPr>
          <w:rFonts w:ascii="Arial" w:hAnsi="Arial" w:cs="Arial"/>
        </w:rPr>
        <w:t xml:space="preserve"> (Accessed 8 April 2026).</w:t>
      </w:r>
    </w:p>
    <w:p w14:paraId="6A552157" w14:textId="77777777" w:rsidR="00A45F53" w:rsidRPr="00E57535" w:rsidRDefault="00A45F53" w:rsidP="00326715">
      <w:pPr>
        <w:spacing w:line="360" w:lineRule="auto"/>
        <w:jc w:val="both"/>
        <w:rPr>
          <w:rFonts w:ascii="Arial" w:hAnsi="Arial" w:cs="Arial"/>
          <w:b/>
          <w:bCs/>
          <w:sz w:val="22"/>
          <w:szCs w:val="22"/>
        </w:rPr>
      </w:pPr>
    </w:p>
    <w:sectPr w:rsidR="00A45F53" w:rsidRPr="00E57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571"/>
    <w:rsid w:val="000065D1"/>
    <w:rsid w:val="00020799"/>
    <w:rsid w:val="00326715"/>
    <w:rsid w:val="003359B6"/>
    <w:rsid w:val="00395543"/>
    <w:rsid w:val="003C1C76"/>
    <w:rsid w:val="00463F2A"/>
    <w:rsid w:val="005B355C"/>
    <w:rsid w:val="005F44B5"/>
    <w:rsid w:val="005F538B"/>
    <w:rsid w:val="00641A1D"/>
    <w:rsid w:val="00682ED5"/>
    <w:rsid w:val="0068573F"/>
    <w:rsid w:val="007A7B5E"/>
    <w:rsid w:val="00811B81"/>
    <w:rsid w:val="00834041"/>
    <w:rsid w:val="008C5841"/>
    <w:rsid w:val="008E3AD8"/>
    <w:rsid w:val="00A15062"/>
    <w:rsid w:val="00A45F53"/>
    <w:rsid w:val="00BB04BC"/>
    <w:rsid w:val="00BD3F1A"/>
    <w:rsid w:val="00C54099"/>
    <w:rsid w:val="00CB425F"/>
    <w:rsid w:val="00CC0515"/>
    <w:rsid w:val="00D6267C"/>
    <w:rsid w:val="00D9090D"/>
    <w:rsid w:val="00DE0957"/>
    <w:rsid w:val="00E5052F"/>
    <w:rsid w:val="00E57535"/>
    <w:rsid w:val="00F16571"/>
    <w:rsid w:val="00FE3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7898"/>
  <w15:chartTrackingRefBased/>
  <w15:docId w15:val="{20561672-31CA-4A47-B7E5-44C6FE3FA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5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65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65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65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65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6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6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6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6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5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65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65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65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65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6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6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6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6571"/>
    <w:rPr>
      <w:rFonts w:eastAsiaTheme="majorEastAsia" w:cstheme="majorBidi"/>
      <w:color w:val="272727" w:themeColor="text1" w:themeTint="D8"/>
    </w:rPr>
  </w:style>
  <w:style w:type="paragraph" w:styleId="Title">
    <w:name w:val="Title"/>
    <w:basedOn w:val="Normal"/>
    <w:next w:val="Normal"/>
    <w:link w:val="TitleChar"/>
    <w:uiPriority w:val="10"/>
    <w:qFormat/>
    <w:rsid w:val="00F16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6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6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6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6571"/>
    <w:pPr>
      <w:spacing w:before="160"/>
      <w:jc w:val="center"/>
    </w:pPr>
    <w:rPr>
      <w:i/>
      <w:iCs/>
      <w:color w:val="404040" w:themeColor="text1" w:themeTint="BF"/>
    </w:rPr>
  </w:style>
  <w:style w:type="character" w:customStyle="1" w:styleId="QuoteChar">
    <w:name w:val="Quote Char"/>
    <w:basedOn w:val="DefaultParagraphFont"/>
    <w:link w:val="Quote"/>
    <w:uiPriority w:val="29"/>
    <w:rsid w:val="00F16571"/>
    <w:rPr>
      <w:i/>
      <w:iCs/>
      <w:color w:val="404040" w:themeColor="text1" w:themeTint="BF"/>
    </w:rPr>
  </w:style>
  <w:style w:type="paragraph" w:styleId="ListParagraph">
    <w:name w:val="List Paragraph"/>
    <w:basedOn w:val="Normal"/>
    <w:uiPriority w:val="34"/>
    <w:qFormat/>
    <w:rsid w:val="00F16571"/>
    <w:pPr>
      <w:ind w:left="720"/>
      <w:contextualSpacing/>
    </w:pPr>
  </w:style>
  <w:style w:type="character" w:styleId="IntenseEmphasis">
    <w:name w:val="Intense Emphasis"/>
    <w:basedOn w:val="DefaultParagraphFont"/>
    <w:uiPriority w:val="21"/>
    <w:qFormat/>
    <w:rsid w:val="00F16571"/>
    <w:rPr>
      <w:i/>
      <w:iCs/>
      <w:color w:val="2F5496" w:themeColor="accent1" w:themeShade="BF"/>
    </w:rPr>
  </w:style>
  <w:style w:type="paragraph" w:styleId="IntenseQuote">
    <w:name w:val="Intense Quote"/>
    <w:basedOn w:val="Normal"/>
    <w:next w:val="Normal"/>
    <w:link w:val="IntenseQuoteChar"/>
    <w:uiPriority w:val="30"/>
    <w:qFormat/>
    <w:rsid w:val="00F165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6571"/>
    <w:rPr>
      <w:i/>
      <w:iCs/>
      <w:color w:val="2F5496" w:themeColor="accent1" w:themeShade="BF"/>
    </w:rPr>
  </w:style>
  <w:style w:type="character" w:styleId="IntenseReference">
    <w:name w:val="Intense Reference"/>
    <w:basedOn w:val="DefaultParagraphFont"/>
    <w:uiPriority w:val="32"/>
    <w:qFormat/>
    <w:rsid w:val="00F16571"/>
    <w:rPr>
      <w:b/>
      <w:bCs/>
      <w:smallCaps/>
      <w:color w:val="2F5496" w:themeColor="accent1" w:themeShade="BF"/>
      <w:spacing w:val="5"/>
    </w:rPr>
  </w:style>
  <w:style w:type="character" w:styleId="Hyperlink">
    <w:name w:val="Hyperlink"/>
    <w:uiPriority w:val="99"/>
    <w:unhideWhenUsed/>
    <w:rsid w:val="008E3AD8"/>
    <w:rPr>
      <w:color w:val="0563C1"/>
      <w:u w:val="single"/>
    </w:rPr>
  </w:style>
  <w:style w:type="paragraph" w:styleId="NormalWeb">
    <w:name w:val="Normal (Web)"/>
    <w:basedOn w:val="Normal"/>
    <w:uiPriority w:val="99"/>
    <w:unhideWhenUsed/>
    <w:rsid w:val="00C54099"/>
    <w:pPr>
      <w:spacing w:line="360" w:lineRule="auto"/>
      <w:jc w:val="both"/>
    </w:pPr>
    <w:rPr>
      <w:rFonts w:ascii="Times New Roman" w:hAnsi="Times New Roman" w:cs="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5025954" TargetMode="External"/><Relationship Id="rId13" Type="http://schemas.openxmlformats.org/officeDocument/2006/relationships/hyperlink" Target="https://www.accenture.com/gb-en/case-studies/travel/marriott-hr-transformation" TargetMode="External"/><Relationship Id="rId18" Type="http://schemas.openxmlformats.org/officeDocument/2006/relationships/hyperlink" Target="https://doi.org/10.1016/j.ijhm.2025.104258" TargetMode="External"/><Relationship Id="rId26" Type="http://schemas.openxmlformats.org/officeDocument/2006/relationships/hyperlink" Target="https://doi.org/10.3389/fpsyg.2023.1213547" TargetMode="External"/><Relationship Id="rId3" Type="http://schemas.openxmlformats.org/officeDocument/2006/relationships/webSettings" Target="webSettings.xml"/><Relationship Id="rId21" Type="http://schemas.openxmlformats.org/officeDocument/2006/relationships/hyperlink" Target="https://digitalcommons.unl.edu/qicwdumbrella/3/%23main" TargetMode="External"/><Relationship Id="rId7" Type="http://schemas.openxmlformats.org/officeDocument/2006/relationships/hyperlink" Target="https://www.breakroom.cc/en-gb/employers/premier-inn/job-reviews?job=managers" TargetMode="External"/><Relationship Id="rId12" Type="http://schemas.openxmlformats.org/officeDocument/2006/relationships/hyperlink" Target="https://elearningindustry.com/how-ihg-transformed-leadership-training-with-learning-pools-platform%20" TargetMode="External"/><Relationship Id="rId17" Type="http://schemas.openxmlformats.org/officeDocument/2006/relationships/hyperlink" Target="https://www.mckinsey.com/capabilities/people-and-organizational-performance/our-insights/human-capital-at-work-the-value-of-experience%23/" TargetMode="External"/><Relationship Id="rId25" Type="http://schemas.openxmlformats.org/officeDocument/2006/relationships/hyperlink" Target="https://www.workday.com/en-us/products/human-capital-management/overview.html" TargetMode="External"/><Relationship Id="rId2" Type="http://schemas.openxmlformats.org/officeDocument/2006/relationships/settings" Target="settings.xml"/><Relationship Id="rId16" Type="http://schemas.openxmlformats.org/officeDocument/2006/relationships/hyperlink" Target="https://www.talentlms.com/blog/talentlms-2025-product-updates/" TargetMode="External"/><Relationship Id="rId20" Type="http://schemas.openxmlformats.org/officeDocument/2006/relationships/hyperlink" Target="https://acr-journal.com/article/a-study-on-competency-mapping-for-employees-in-the-hotel-industry-an-empirical-study-1899/"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15five.com/pricing" TargetMode="External"/><Relationship Id="rId11" Type="http://schemas.openxmlformats.org/officeDocument/2006/relationships/hyperlink" Target="https://doi.org/10.1111/joop.70017" TargetMode="External"/><Relationship Id="rId24" Type="http://schemas.openxmlformats.org/officeDocument/2006/relationships/hyperlink" Target="https://www.ukg.com/customers/hotel-indigo" TargetMode="External"/><Relationship Id="rId5" Type="http://schemas.openxmlformats.org/officeDocument/2006/relationships/hyperlink" Target="https://gcom.pdo.aws.gartner.com/reviews/product/fifteenfive" TargetMode="External"/><Relationship Id="rId15" Type="http://schemas.openxmlformats.org/officeDocument/2006/relationships/hyperlink" Target="https://ico.org.uk/for-organisations/uk-gdpr-guidance-and-resources/employment/monitoring-workers/data-protection-and-monitoring-workers" TargetMode="External"/><Relationship Id="rId23" Type="http://schemas.openxmlformats.org/officeDocument/2006/relationships/hyperlink" Target="https://www.ukg.com/customers/atlas-hotels" TargetMode="External"/><Relationship Id="rId28" Type="http://schemas.openxmlformats.org/officeDocument/2006/relationships/fontTable" Target="fontTable.xml"/><Relationship Id="rId10" Type="http://schemas.openxmlformats.org/officeDocument/2006/relationships/hyperlink" Target="https://doi.org/10.54254/2754-1169/54/20230868" TargetMode="External"/><Relationship Id="rId19" Type="http://schemas.openxmlformats.org/officeDocument/2006/relationships/hyperlink" Target="https://www.ispring.com/knowledge-hub/ispring-learn-april-2025-update" TargetMode="External"/><Relationship Id="rId4" Type="http://schemas.openxmlformats.org/officeDocument/2006/relationships/hyperlink" Target="https://uowtsd-my.sharepoint.com/:v:/g/personal/2223630_student_uwtsd_ac_uk/IQCnSS4WKxpPSa8QKHuasEvnAd_CAhe3k_vpzX9PUcgbCgI" TargetMode="External"/><Relationship Id="rId9" Type="http://schemas.openxmlformats.org/officeDocument/2006/relationships/hyperlink" Target="https://doi.org/10.18.276/978-83-8419-053-1-20" TargetMode="External"/><Relationship Id="rId14" Type="http://schemas.openxmlformats.org/officeDocument/2006/relationships/hyperlink" Target="https://tuprints.ulb.tu-darmstadt.de/entities/publication/ef709633-e3e5-4e65-89f8-5a6f048f5a86" TargetMode="External"/><Relationship Id="rId22" Type="http://schemas.openxmlformats.org/officeDocument/2006/relationships/hyperlink" Target="https://www.talentlms.com/prices" TargetMode="External"/><Relationship Id="rId27" Type="http://schemas.openxmlformats.org/officeDocument/2006/relationships/hyperlink" Target="https://asjp.cerist.dz/en/article/2666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10</Pages>
  <Words>2854</Words>
  <Characters>16273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cp:lastModifiedBy>
  <cp:revision>21</cp:revision>
  <dcterms:created xsi:type="dcterms:W3CDTF">2026-03-11T12:02:00Z</dcterms:created>
  <dcterms:modified xsi:type="dcterms:W3CDTF">2026-05-01T14:42:00Z</dcterms:modified>
</cp:coreProperties>
</file>