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702903043"/>
        <w:docPartObj>
          <w:docPartGallery w:val="Cover Pages"/>
          <w:docPartUnique/>
        </w:docPartObj>
      </w:sdtPr>
      <w:sdtEndPr>
        <w:rPr>
          <w:rFonts w:ascii="Arial" w:eastAsiaTheme="minorHAnsi" w:hAnsi="Arial" w:cs="Arial"/>
          <w:b/>
          <w:color w:val="auto"/>
          <w:sz w:val="24"/>
        </w:rPr>
      </w:sdtEndPr>
      <w:sdtContent>
        <w:p w14:paraId="684074F4" w14:textId="5EDBD67E" w:rsidR="00135DDF" w:rsidRDefault="00135DDF">
          <w:pPr>
            <w:pStyle w:val="NoSpacing"/>
            <w:spacing w:before="1540" w:after="240"/>
            <w:jc w:val="center"/>
            <w:rPr>
              <w:color w:val="4472C4" w:themeColor="accent1"/>
            </w:rPr>
          </w:pPr>
          <w:r>
            <w:rPr>
              <w:noProof/>
              <w:color w:val="4472C4" w:themeColor="accent1"/>
            </w:rPr>
            <w:drawing>
              <wp:inline distT="0" distB="0" distL="0" distR="0" wp14:anchorId="6696C7DF" wp14:editId="417EAE6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Times New Roman" w:hAnsi="Calibri Light" w:cs="Calibri"/>
              <w:caps/>
              <w:color w:val="4472C4" w:themeColor="accent1"/>
              <w:sz w:val="80"/>
              <w:szCs w:val="80"/>
              <w:lang w:val="en-GB"/>
            </w:rPr>
            <w:alias w:val="Title"/>
            <w:tag w:val=""/>
            <w:id w:val="1735040861"/>
            <w:placeholder>
              <w:docPart w:val="0724F9E9842A48CB9BE13495CEB89A27"/>
            </w:placeholder>
            <w:dataBinding w:prefixMappings="xmlns:ns0='http://purl.org/dc/elements/1.1/' xmlns:ns1='http://schemas.openxmlformats.org/package/2006/metadata/core-properties' " w:xpath="/ns1:coreProperties[1]/ns0:title[1]" w:storeItemID="{6C3C8BC8-F283-45AE-878A-BAB7291924A1}"/>
            <w:text/>
          </w:sdtPr>
          <w:sdtContent>
            <w:p w14:paraId="0BD3B658" w14:textId="6DC43479" w:rsidR="00135DDF" w:rsidRDefault="00135DD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35DDF">
                <w:rPr>
                  <w:rFonts w:ascii="Calibri Light" w:eastAsia="Times New Roman" w:hAnsi="Calibri Light" w:cs="Calibri"/>
                  <w:caps/>
                  <w:color w:val="4472C4" w:themeColor="accent1"/>
                  <w:sz w:val="80"/>
                  <w:szCs w:val="80"/>
                  <w:lang w:val="en-GB"/>
                </w:rPr>
                <w:t>WRITTEN REPORT</w:t>
              </w:r>
            </w:p>
          </w:sdtContent>
        </w:sdt>
        <w:p w14:paraId="2E394848" w14:textId="77777777" w:rsidR="00135DDF" w:rsidRDefault="00135DD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F63B1A" wp14:editId="0846346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89F78A" w14:textId="77777777" w:rsidR="00135DDF" w:rsidRDefault="00135DDF" w:rsidP="00135DDF">
                                <w:pPr>
                                  <w:pStyle w:val="NoSpacing"/>
                                  <w:spacing w:after="40"/>
                                  <w:rPr>
                                    <w:caps/>
                                    <w:color w:val="4472C4" w:themeColor="accent1"/>
                                    <w:sz w:val="28"/>
                                    <w:szCs w:val="28"/>
                                  </w:rPr>
                                </w:pPr>
                                <w:r>
                                  <w:rPr>
                                    <w:caps/>
                                    <w:color w:val="4472C4" w:themeColor="accent1"/>
                                    <w:sz w:val="28"/>
                                    <w:szCs w:val="28"/>
                                  </w:rPr>
                                  <w:t xml:space="preserve">MODULE: HEALTH, </w:t>
                                </w:r>
                                <w:proofErr w:type="gramStart"/>
                                <w:r>
                                  <w:rPr>
                                    <w:caps/>
                                    <w:color w:val="4472C4" w:themeColor="accent1"/>
                                    <w:sz w:val="28"/>
                                    <w:szCs w:val="28"/>
                                  </w:rPr>
                                  <w:t>WELL-BEING</w:t>
                                </w:r>
                                <w:proofErr w:type="gramEnd"/>
                                <w:r>
                                  <w:rPr>
                                    <w:caps/>
                                    <w:color w:val="4472C4" w:themeColor="accent1"/>
                                    <w:sz w:val="28"/>
                                    <w:szCs w:val="28"/>
                                  </w:rPr>
                                  <w:t xml:space="preserve"> AND SUSTAINABLE DEVELOPMENT</w:t>
                                </w:r>
                              </w:p>
                              <w:p w14:paraId="6BEA50E8" w14:textId="47EB48E3" w:rsidR="00135DDF" w:rsidRDefault="00135DDF" w:rsidP="00135DDF">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DC34DC">
                                      <w:rPr>
                                        <w:caps/>
                                        <w:color w:val="4472C4" w:themeColor="accent1"/>
                                      </w:rPr>
                                      <w:t>MODULE CODE: BMHP6021_BIRM</w:t>
                                    </w:r>
                                  </w:sdtContent>
                                </w:sdt>
                              </w:p>
                              <w:p w14:paraId="172EC427" w14:textId="77777777" w:rsidR="00135DDF" w:rsidRDefault="00135DDF" w:rsidP="00135DDF">
                                <w:pPr>
                                  <w:pStyle w:val="NoSpacing"/>
                                  <w:rPr>
                                    <w:color w:val="4472C4" w:themeColor="accent1"/>
                                  </w:rPr>
                                </w:pPr>
                                <w:r>
                                  <w:rPr>
                                    <w:color w:val="4472C4" w:themeColor="accent1"/>
                                  </w:rPr>
                                  <w:t>LECTURER: JOANNE DAVIES</w:t>
                                </w:r>
                              </w:p>
                              <w:p w14:paraId="7827C6FC" w14:textId="47441422" w:rsidR="00135DDF" w:rsidRDefault="00135DDF" w:rsidP="00135DDF">
                                <w:pPr>
                                  <w:pStyle w:val="NoSpacing"/>
                                  <w:rPr>
                                    <w:color w:val="4472C4" w:themeColor="accent1"/>
                                  </w:rPr>
                                </w:pPr>
                                <w:r>
                                  <w:rPr>
                                    <w:color w:val="4472C4" w:themeColor="accent1"/>
                                  </w:rPr>
                                  <w:t>STUDENT: MARGARETA ALICE OLTEANU</w:t>
                                </w:r>
                                <w:r>
                                  <w:rPr>
                                    <w:color w:val="4472C4" w:themeColor="accent1"/>
                                  </w:rPr>
                                  <w:t xml:space="preserve"> </w:t>
                                </w:r>
                                <w:r>
                                  <w:rPr>
                                    <w:color w:val="4472C4" w:themeColor="accent1"/>
                                  </w:rPr>
                                  <w:t>(2017649)</w:t>
                                </w:r>
                              </w:p>
                              <w:p w14:paraId="0F5CA6D5" w14:textId="500896B1" w:rsidR="00135DDF" w:rsidRDefault="00135DD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F63B1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489F78A" w14:textId="77777777" w:rsidR="00135DDF" w:rsidRDefault="00135DDF" w:rsidP="00135DDF">
                          <w:pPr>
                            <w:pStyle w:val="NoSpacing"/>
                            <w:spacing w:after="40"/>
                            <w:rPr>
                              <w:caps/>
                              <w:color w:val="4472C4" w:themeColor="accent1"/>
                              <w:sz w:val="28"/>
                              <w:szCs w:val="28"/>
                            </w:rPr>
                          </w:pPr>
                          <w:r>
                            <w:rPr>
                              <w:caps/>
                              <w:color w:val="4472C4" w:themeColor="accent1"/>
                              <w:sz w:val="28"/>
                              <w:szCs w:val="28"/>
                            </w:rPr>
                            <w:t xml:space="preserve">MODULE: HEALTH, </w:t>
                          </w:r>
                          <w:proofErr w:type="gramStart"/>
                          <w:r>
                            <w:rPr>
                              <w:caps/>
                              <w:color w:val="4472C4" w:themeColor="accent1"/>
                              <w:sz w:val="28"/>
                              <w:szCs w:val="28"/>
                            </w:rPr>
                            <w:t>WELL-BEING</w:t>
                          </w:r>
                          <w:proofErr w:type="gramEnd"/>
                          <w:r>
                            <w:rPr>
                              <w:caps/>
                              <w:color w:val="4472C4" w:themeColor="accent1"/>
                              <w:sz w:val="28"/>
                              <w:szCs w:val="28"/>
                            </w:rPr>
                            <w:t xml:space="preserve"> AND SUSTAINABLE DEVELOPMENT</w:t>
                          </w:r>
                        </w:p>
                        <w:p w14:paraId="6BEA50E8" w14:textId="47EB48E3" w:rsidR="00135DDF" w:rsidRDefault="00135DDF" w:rsidP="00135DDF">
                          <w:pPr>
                            <w:pStyle w:val="NoSpacing"/>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DC34DC">
                                <w:rPr>
                                  <w:caps/>
                                  <w:color w:val="4472C4" w:themeColor="accent1"/>
                                </w:rPr>
                                <w:t>MODULE CODE: BMHP6021_BIRM</w:t>
                              </w:r>
                            </w:sdtContent>
                          </w:sdt>
                        </w:p>
                        <w:p w14:paraId="172EC427" w14:textId="77777777" w:rsidR="00135DDF" w:rsidRDefault="00135DDF" w:rsidP="00135DDF">
                          <w:pPr>
                            <w:pStyle w:val="NoSpacing"/>
                            <w:rPr>
                              <w:color w:val="4472C4" w:themeColor="accent1"/>
                            </w:rPr>
                          </w:pPr>
                          <w:r>
                            <w:rPr>
                              <w:color w:val="4472C4" w:themeColor="accent1"/>
                            </w:rPr>
                            <w:t>LECTURER: JOANNE DAVIES</w:t>
                          </w:r>
                        </w:p>
                        <w:p w14:paraId="7827C6FC" w14:textId="47441422" w:rsidR="00135DDF" w:rsidRDefault="00135DDF" w:rsidP="00135DDF">
                          <w:pPr>
                            <w:pStyle w:val="NoSpacing"/>
                            <w:rPr>
                              <w:color w:val="4472C4" w:themeColor="accent1"/>
                            </w:rPr>
                          </w:pPr>
                          <w:r>
                            <w:rPr>
                              <w:color w:val="4472C4" w:themeColor="accent1"/>
                            </w:rPr>
                            <w:t>STUDENT: MARGARETA ALICE OLTEANU</w:t>
                          </w:r>
                          <w:r>
                            <w:rPr>
                              <w:color w:val="4472C4" w:themeColor="accent1"/>
                            </w:rPr>
                            <w:t xml:space="preserve"> </w:t>
                          </w:r>
                          <w:r>
                            <w:rPr>
                              <w:color w:val="4472C4" w:themeColor="accent1"/>
                            </w:rPr>
                            <w:t>(2017649)</w:t>
                          </w:r>
                        </w:p>
                        <w:p w14:paraId="0F5CA6D5" w14:textId="500896B1" w:rsidR="00135DDF" w:rsidRDefault="00135DDF">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08562D97" wp14:editId="6D1FB439">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5BC2E9" w14:textId="5AEDD84A" w:rsidR="00135DDF" w:rsidRDefault="00135DDF">
          <w:pPr>
            <w:spacing w:after="160" w:line="259" w:lineRule="auto"/>
            <w:rPr>
              <w:rFonts w:ascii="Arial" w:hAnsi="Arial" w:cs="Arial"/>
              <w:b/>
            </w:rPr>
          </w:pPr>
          <w:r>
            <w:rPr>
              <w:rFonts w:ascii="Arial" w:hAnsi="Arial" w:cs="Arial"/>
              <w:b/>
            </w:rPr>
            <w:br w:type="page"/>
          </w:r>
        </w:p>
      </w:sdtContent>
    </w:sdt>
    <w:p w14:paraId="030446B9" w14:textId="77777777" w:rsidR="00135DDF" w:rsidRPr="00135EA0" w:rsidRDefault="00135DDF" w:rsidP="00135DDF">
      <w:pPr>
        <w:spacing w:line="360" w:lineRule="auto"/>
        <w:rPr>
          <w:rFonts w:ascii="Arial" w:hAnsi="Arial" w:cs="Arial"/>
          <w:b/>
        </w:rPr>
      </w:pPr>
    </w:p>
    <w:sdt>
      <w:sdtPr>
        <w:rPr>
          <w:rFonts w:ascii="Arial" w:eastAsiaTheme="minorHAnsi" w:hAnsi="Arial" w:cs="Arial"/>
          <w:color w:val="auto"/>
          <w:sz w:val="24"/>
          <w:szCs w:val="22"/>
        </w:rPr>
        <w:id w:val="1342899892"/>
        <w:docPartObj>
          <w:docPartGallery w:val="Table of Contents"/>
          <w:docPartUnique/>
        </w:docPartObj>
      </w:sdtPr>
      <w:sdtEndPr>
        <w:rPr>
          <w:b/>
          <w:bCs/>
          <w:noProof/>
        </w:rPr>
      </w:sdtEndPr>
      <w:sdtContent>
        <w:p w14:paraId="36D0698E" w14:textId="77777777" w:rsidR="00135DDF" w:rsidRPr="00135EA0" w:rsidRDefault="00135DDF" w:rsidP="00135DDF">
          <w:pPr>
            <w:pStyle w:val="TOCHeading"/>
            <w:spacing w:line="360" w:lineRule="auto"/>
            <w:jc w:val="center"/>
            <w:rPr>
              <w:rFonts w:ascii="Arial" w:hAnsi="Arial" w:cs="Arial"/>
            </w:rPr>
          </w:pPr>
          <w:r w:rsidRPr="00135EA0">
            <w:rPr>
              <w:rFonts w:ascii="Arial" w:hAnsi="Arial" w:cs="Arial"/>
            </w:rPr>
            <w:t>Contents</w:t>
          </w:r>
        </w:p>
        <w:p w14:paraId="746E3BB5" w14:textId="77777777" w:rsidR="00135DDF" w:rsidRDefault="00135DDF" w:rsidP="00135DDF">
          <w:pPr>
            <w:pStyle w:val="TOC1"/>
            <w:tabs>
              <w:tab w:val="right" w:leader="dot" w:pos="9350"/>
            </w:tabs>
            <w:rPr>
              <w:rFonts w:asciiTheme="minorHAnsi" w:eastAsiaTheme="minorEastAsia" w:hAnsiTheme="minorHAnsi"/>
              <w:noProof/>
              <w:kern w:val="2"/>
              <w:sz w:val="22"/>
              <w:lang w:val="en-GB" w:eastAsia="en-GB"/>
              <w14:ligatures w14:val="standardContextual"/>
            </w:rPr>
          </w:pPr>
          <w:r w:rsidRPr="00135EA0">
            <w:rPr>
              <w:rFonts w:ascii="Arial" w:hAnsi="Arial" w:cs="Arial"/>
            </w:rPr>
            <w:fldChar w:fldCharType="begin"/>
          </w:r>
          <w:r w:rsidRPr="00135EA0">
            <w:rPr>
              <w:rFonts w:ascii="Arial" w:hAnsi="Arial" w:cs="Arial"/>
            </w:rPr>
            <w:instrText xml:space="preserve"> TOC \o "1-3" \h \z \u </w:instrText>
          </w:r>
          <w:r w:rsidRPr="00135EA0">
            <w:rPr>
              <w:rFonts w:ascii="Arial" w:hAnsi="Arial" w:cs="Arial"/>
            </w:rPr>
            <w:fldChar w:fldCharType="separate"/>
          </w:r>
          <w:hyperlink w:anchor="_Toc151920918" w:history="1">
            <w:r w:rsidRPr="00EB582F">
              <w:rPr>
                <w:rStyle w:val="Hyperlink"/>
                <w:rFonts w:ascii="Arial" w:hAnsi="Arial" w:cs="Arial"/>
                <w:noProof/>
              </w:rPr>
              <w:t>Abstract</w:t>
            </w:r>
            <w:r>
              <w:rPr>
                <w:noProof/>
                <w:webHidden/>
              </w:rPr>
              <w:tab/>
            </w:r>
            <w:r>
              <w:rPr>
                <w:noProof/>
                <w:webHidden/>
              </w:rPr>
              <w:fldChar w:fldCharType="begin"/>
            </w:r>
            <w:r>
              <w:rPr>
                <w:noProof/>
                <w:webHidden/>
              </w:rPr>
              <w:instrText xml:space="preserve"> PAGEREF _Toc151920918 \h </w:instrText>
            </w:r>
            <w:r>
              <w:rPr>
                <w:noProof/>
                <w:webHidden/>
              </w:rPr>
            </w:r>
            <w:r>
              <w:rPr>
                <w:noProof/>
                <w:webHidden/>
              </w:rPr>
              <w:fldChar w:fldCharType="separate"/>
            </w:r>
            <w:r>
              <w:rPr>
                <w:noProof/>
                <w:webHidden/>
              </w:rPr>
              <w:t>2</w:t>
            </w:r>
            <w:r>
              <w:rPr>
                <w:noProof/>
                <w:webHidden/>
              </w:rPr>
              <w:fldChar w:fldCharType="end"/>
            </w:r>
          </w:hyperlink>
        </w:p>
        <w:p w14:paraId="43F587C3" w14:textId="77777777" w:rsidR="00135DDF" w:rsidRDefault="00135DDF" w:rsidP="00135DDF">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1920919" w:history="1">
            <w:r w:rsidRPr="00EB582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_Toc151920919 \h </w:instrText>
            </w:r>
            <w:r>
              <w:rPr>
                <w:noProof/>
                <w:webHidden/>
              </w:rPr>
            </w:r>
            <w:r>
              <w:rPr>
                <w:noProof/>
                <w:webHidden/>
              </w:rPr>
              <w:fldChar w:fldCharType="separate"/>
            </w:r>
            <w:r>
              <w:rPr>
                <w:noProof/>
                <w:webHidden/>
              </w:rPr>
              <w:t>3</w:t>
            </w:r>
            <w:r>
              <w:rPr>
                <w:noProof/>
                <w:webHidden/>
              </w:rPr>
              <w:fldChar w:fldCharType="end"/>
            </w:r>
          </w:hyperlink>
        </w:p>
        <w:p w14:paraId="3D662B2B" w14:textId="77777777" w:rsidR="00135DDF" w:rsidRDefault="00135DDF" w:rsidP="00135DDF">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1920920" w:history="1">
            <w:r w:rsidRPr="00EB582F">
              <w:rPr>
                <w:rStyle w:val="Hyperlink"/>
                <w:rFonts w:ascii="Arial" w:hAnsi="Arial" w:cs="Arial"/>
                <w:noProof/>
              </w:rPr>
              <w:t>Introduction to Concepts</w:t>
            </w:r>
            <w:r>
              <w:rPr>
                <w:noProof/>
                <w:webHidden/>
              </w:rPr>
              <w:tab/>
            </w:r>
            <w:r>
              <w:rPr>
                <w:noProof/>
                <w:webHidden/>
              </w:rPr>
              <w:fldChar w:fldCharType="begin"/>
            </w:r>
            <w:r>
              <w:rPr>
                <w:noProof/>
                <w:webHidden/>
              </w:rPr>
              <w:instrText xml:space="preserve"> PAGEREF _Toc151920920 \h </w:instrText>
            </w:r>
            <w:r>
              <w:rPr>
                <w:noProof/>
                <w:webHidden/>
              </w:rPr>
            </w:r>
            <w:r>
              <w:rPr>
                <w:noProof/>
                <w:webHidden/>
              </w:rPr>
              <w:fldChar w:fldCharType="separate"/>
            </w:r>
            <w:r>
              <w:rPr>
                <w:noProof/>
                <w:webHidden/>
              </w:rPr>
              <w:t>4</w:t>
            </w:r>
            <w:r>
              <w:rPr>
                <w:noProof/>
                <w:webHidden/>
              </w:rPr>
              <w:fldChar w:fldCharType="end"/>
            </w:r>
          </w:hyperlink>
        </w:p>
        <w:p w14:paraId="1392D69B" w14:textId="77777777" w:rsidR="00135DDF" w:rsidRDefault="00135DDF" w:rsidP="00135DDF">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1920921" w:history="1">
            <w:r w:rsidRPr="00EB582F">
              <w:rPr>
                <w:rStyle w:val="Hyperlink"/>
                <w:rFonts w:ascii="Arial" w:hAnsi="Arial" w:cs="Arial"/>
                <w:noProof/>
              </w:rPr>
              <w:t>Goal 1: SDG 1 - No Poverty</w:t>
            </w:r>
            <w:r>
              <w:rPr>
                <w:noProof/>
                <w:webHidden/>
              </w:rPr>
              <w:tab/>
            </w:r>
            <w:r>
              <w:rPr>
                <w:noProof/>
                <w:webHidden/>
              </w:rPr>
              <w:fldChar w:fldCharType="begin"/>
            </w:r>
            <w:r>
              <w:rPr>
                <w:noProof/>
                <w:webHidden/>
              </w:rPr>
              <w:instrText xml:space="preserve"> PAGEREF _Toc151920921 \h </w:instrText>
            </w:r>
            <w:r>
              <w:rPr>
                <w:noProof/>
                <w:webHidden/>
              </w:rPr>
            </w:r>
            <w:r>
              <w:rPr>
                <w:noProof/>
                <w:webHidden/>
              </w:rPr>
              <w:fldChar w:fldCharType="separate"/>
            </w:r>
            <w:r>
              <w:rPr>
                <w:noProof/>
                <w:webHidden/>
              </w:rPr>
              <w:t>6</w:t>
            </w:r>
            <w:r>
              <w:rPr>
                <w:noProof/>
                <w:webHidden/>
              </w:rPr>
              <w:fldChar w:fldCharType="end"/>
            </w:r>
          </w:hyperlink>
        </w:p>
        <w:p w14:paraId="033FC4D0" w14:textId="77777777" w:rsidR="00135DDF" w:rsidRDefault="00135DDF" w:rsidP="00135DDF">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1920922" w:history="1">
            <w:r w:rsidRPr="00EB582F">
              <w:rPr>
                <w:rStyle w:val="Hyperlink"/>
                <w:rFonts w:ascii="Arial" w:hAnsi="Arial" w:cs="Arial"/>
                <w:noProof/>
              </w:rPr>
              <w:t>Goal 2: SDG 2 - Zero Hunger</w:t>
            </w:r>
            <w:r>
              <w:rPr>
                <w:noProof/>
                <w:webHidden/>
              </w:rPr>
              <w:tab/>
            </w:r>
            <w:r>
              <w:rPr>
                <w:noProof/>
                <w:webHidden/>
              </w:rPr>
              <w:fldChar w:fldCharType="begin"/>
            </w:r>
            <w:r>
              <w:rPr>
                <w:noProof/>
                <w:webHidden/>
              </w:rPr>
              <w:instrText xml:space="preserve"> PAGEREF _Toc151920922 \h </w:instrText>
            </w:r>
            <w:r>
              <w:rPr>
                <w:noProof/>
                <w:webHidden/>
              </w:rPr>
            </w:r>
            <w:r>
              <w:rPr>
                <w:noProof/>
                <w:webHidden/>
              </w:rPr>
              <w:fldChar w:fldCharType="separate"/>
            </w:r>
            <w:r>
              <w:rPr>
                <w:noProof/>
                <w:webHidden/>
              </w:rPr>
              <w:t>9</w:t>
            </w:r>
            <w:r>
              <w:rPr>
                <w:noProof/>
                <w:webHidden/>
              </w:rPr>
              <w:fldChar w:fldCharType="end"/>
            </w:r>
          </w:hyperlink>
        </w:p>
        <w:p w14:paraId="406E247F" w14:textId="77777777" w:rsidR="00135DDF" w:rsidRDefault="00135DDF" w:rsidP="00135DDF">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1920923" w:history="1">
            <w:r w:rsidRPr="00EB582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_Toc151920923 \h </w:instrText>
            </w:r>
            <w:r>
              <w:rPr>
                <w:noProof/>
                <w:webHidden/>
              </w:rPr>
            </w:r>
            <w:r>
              <w:rPr>
                <w:noProof/>
                <w:webHidden/>
              </w:rPr>
              <w:fldChar w:fldCharType="separate"/>
            </w:r>
            <w:r>
              <w:rPr>
                <w:noProof/>
                <w:webHidden/>
              </w:rPr>
              <w:t>12</w:t>
            </w:r>
            <w:r>
              <w:rPr>
                <w:noProof/>
                <w:webHidden/>
              </w:rPr>
              <w:fldChar w:fldCharType="end"/>
            </w:r>
          </w:hyperlink>
        </w:p>
        <w:p w14:paraId="5C7AFA2C" w14:textId="77777777" w:rsidR="00135DDF" w:rsidRDefault="00135DDF" w:rsidP="00135DDF">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51920924" w:history="1">
            <w:r w:rsidRPr="00EB582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_Toc151920924 \h </w:instrText>
            </w:r>
            <w:r>
              <w:rPr>
                <w:noProof/>
                <w:webHidden/>
              </w:rPr>
            </w:r>
            <w:r>
              <w:rPr>
                <w:noProof/>
                <w:webHidden/>
              </w:rPr>
              <w:fldChar w:fldCharType="separate"/>
            </w:r>
            <w:r>
              <w:rPr>
                <w:noProof/>
                <w:webHidden/>
              </w:rPr>
              <w:t>13</w:t>
            </w:r>
            <w:r>
              <w:rPr>
                <w:noProof/>
                <w:webHidden/>
              </w:rPr>
              <w:fldChar w:fldCharType="end"/>
            </w:r>
          </w:hyperlink>
        </w:p>
        <w:p w14:paraId="74DC5940" w14:textId="77777777" w:rsidR="00135DDF" w:rsidRPr="00135EA0" w:rsidRDefault="00135DDF" w:rsidP="00135DDF">
          <w:pPr>
            <w:spacing w:line="360" w:lineRule="auto"/>
            <w:rPr>
              <w:rFonts w:ascii="Arial" w:hAnsi="Arial" w:cs="Arial"/>
            </w:rPr>
          </w:pPr>
          <w:r w:rsidRPr="00135EA0">
            <w:rPr>
              <w:rFonts w:ascii="Arial" w:hAnsi="Arial" w:cs="Arial"/>
              <w:b/>
              <w:bCs/>
              <w:noProof/>
            </w:rPr>
            <w:fldChar w:fldCharType="end"/>
          </w:r>
        </w:p>
      </w:sdtContent>
    </w:sdt>
    <w:p w14:paraId="4458E256" w14:textId="77777777" w:rsidR="00135DDF" w:rsidRPr="00135EA0" w:rsidRDefault="00135DDF" w:rsidP="00135DDF">
      <w:pPr>
        <w:spacing w:line="360" w:lineRule="auto"/>
        <w:rPr>
          <w:rFonts w:ascii="Arial" w:hAnsi="Arial" w:cs="Arial"/>
          <w:b/>
        </w:rPr>
      </w:pPr>
    </w:p>
    <w:p w14:paraId="20EFE146" w14:textId="77777777" w:rsidR="00135DDF" w:rsidRPr="00135EA0" w:rsidRDefault="00135DDF" w:rsidP="00135DDF">
      <w:pPr>
        <w:spacing w:line="360" w:lineRule="auto"/>
        <w:rPr>
          <w:rFonts w:ascii="Arial" w:hAnsi="Arial" w:cs="Arial"/>
          <w:b/>
        </w:rPr>
      </w:pPr>
      <w:r w:rsidRPr="00135EA0">
        <w:rPr>
          <w:rFonts w:ascii="Arial" w:hAnsi="Arial" w:cs="Arial"/>
          <w:b/>
        </w:rPr>
        <w:br w:type="page"/>
      </w:r>
    </w:p>
    <w:p w14:paraId="2DA200B7" w14:textId="77777777" w:rsidR="00135DDF" w:rsidRPr="00135EA0" w:rsidRDefault="00135DDF" w:rsidP="00135DDF">
      <w:pPr>
        <w:pStyle w:val="Heading1"/>
        <w:spacing w:line="360" w:lineRule="auto"/>
        <w:jc w:val="center"/>
        <w:rPr>
          <w:rFonts w:ascii="Arial" w:hAnsi="Arial" w:cs="Arial"/>
        </w:rPr>
      </w:pPr>
      <w:bookmarkStart w:id="0" w:name="_Toc151920918"/>
      <w:r w:rsidRPr="00135EA0">
        <w:rPr>
          <w:rFonts w:ascii="Arial" w:hAnsi="Arial" w:cs="Arial"/>
        </w:rPr>
        <w:lastRenderedPageBreak/>
        <w:t>Abstract</w:t>
      </w:r>
      <w:bookmarkEnd w:id="0"/>
    </w:p>
    <w:p w14:paraId="3B022E7E"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This research paper offers a critical assessment of the United Kingdom's progress towards achieving two Sustainable Development Goals (SDGs) and their implications for health, well-being, and sustainable development within the healthcare sector. Specifically, it delves into the advancements and challenges associated with SDG 1, "No Poverty," and SDG 2, "Zero Hunger." The report conducts a thorough analysis of these goals, the strategies deployed to attain them, and the obstacles encountered, and suggests recommendations for further enhancement. The study highlights the significance of addressing the issues of poverty and hunger, emphasizing their far-reaching impacts on health and sustainable development within the UK. By concentrating on SDG 1, it scrutinizes the nation's efforts to alleviate poverty, reduce income inequality, and improve social protection mechanisms. Furthermore, it explores how the reduction of poverty can have cascading effects on overall well-being and sustainable development, particularly in the context of healthcare accessibility and quality.</w:t>
      </w:r>
    </w:p>
    <w:p w14:paraId="5DBE7296"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In addition, the research delves into the pursuit of SDG 2, which </w:t>
      </w:r>
      <w:proofErr w:type="spellStart"/>
      <w:r>
        <w:rPr>
          <w:rFonts w:ascii="Arial" w:hAnsi="Arial" w:cs="Arial"/>
          <w:sz w:val="22"/>
        </w:rPr>
        <w:t>centres</w:t>
      </w:r>
      <w:proofErr w:type="spellEnd"/>
      <w:r w:rsidRPr="004162B2">
        <w:rPr>
          <w:rFonts w:ascii="Arial" w:hAnsi="Arial" w:cs="Arial"/>
          <w:sz w:val="22"/>
        </w:rPr>
        <w:t xml:space="preserve"> on eradicating hunger, ensuring food security, and promoting sustainable agriculture. It examines the initiatives aimed at mitigating hunger-related issues and enhancing food sustainability, thereby shedding light on the positive consequences for health and the environment, specifically within the healthcare sector. Through a comprehensive assessment of these two SDGs, this paper underscores the need to address poverty and hunger as critical determinants of health and sustainable development in the UK. It offers insights into the nation's achievements and the hurdles it faces while providing actionable recommendations for further progress, promoting a healthier and more sustainable future.</w:t>
      </w:r>
    </w:p>
    <w:p w14:paraId="6E3EC406" w14:textId="77777777" w:rsidR="00135DDF" w:rsidRPr="004162B2" w:rsidRDefault="00135DDF" w:rsidP="00135DDF">
      <w:pPr>
        <w:spacing w:line="360" w:lineRule="auto"/>
        <w:jc w:val="both"/>
        <w:rPr>
          <w:rFonts w:ascii="Arial" w:eastAsiaTheme="majorEastAsia" w:hAnsi="Arial" w:cs="Arial"/>
          <w:color w:val="2F5496" w:themeColor="accent1" w:themeShade="BF"/>
          <w:sz w:val="22"/>
        </w:rPr>
      </w:pPr>
      <w:r w:rsidRPr="004162B2">
        <w:rPr>
          <w:rFonts w:ascii="Arial" w:hAnsi="Arial" w:cs="Arial"/>
          <w:sz w:val="22"/>
        </w:rPr>
        <w:br w:type="page"/>
      </w:r>
    </w:p>
    <w:p w14:paraId="78F30AB8" w14:textId="77777777" w:rsidR="00135DDF" w:rsidRPr="004162B2" w:rsidRDefault="00135DDF" w:rsidP="00135DDF">
      <w:pPr>
        <w:pStyle w:val="Heading1"/>
        <w:spacing w:line="360" w:lineRule="auto"/>
        <w:jc w:val="both"/>
        <w:rPr>
          <w:rFonts w:ascii="Arial" w:hAnsi="Arial" w:cs="Arial"/>
          <w:sz w:val="24"/>
          <w:szCs w:val="24"/>
        </w:rPr>
      </w:pPr>
      <w:bookmarkStart w:id="1" w:name="_Toc151920919"/>
      <w:r w:rsidRPr="004162B2">
        <w:rPr>
          <w:rFonts w:ascii="Arial" w:hAnsi="Arial" w:cs="Arial"/>
          <w:sz w:val="24"/>
          <w:szCs w:val="24"/>
        </w:rPr>
        <w:lastRenderedPageBreak/>
        <w:t>Introduction</w:t>
      </w:r>
      <w:bookmarkEnd w:id="1"/>
    </w:p>
    <w:p w14:paraId="1EEF2E74"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This report is addressed to National Health Service Chief in relation to SDG and the purpose of this report is to comprehensively evaluate the progress made in implementing two pivotal Sustainable Development Goals (SDGs) within the United Kingdom, with a specific emphasis on their implications for health, well-being, and sustainable development within the healthcare sector. The selected SDGs subjected to in-depth analysis are SDG 1: "No Poverty" and SDG 2: "Zero Hunger (United Nations, </w:t>
      </w:r>
      <w:proofErr w:type="spellStart"/>
      <w:r w:rsidRPr="004162B2">
        <w:rPr>
          <w:rFonts w:ascii="Arial" w:hAnsi="Arial" w:cs="Arial"/>
          <w:sz w:val="22"/>
        </w:rPr>
        <w:t>n.d</w:t>
      </w:r>
      <w:proofErr w:type="spellEnd"/>
      <w:r w:rsidRPr="004162B2">
        <w:rPr>
          <w:rFonts w:ascii="Arial" w:hAnsi="Arial" w:cs="Arial"/>
          <w:sz w:val="22"/>
        </w:rPr>
        <w:t>)." Through an intricate examination of these goals, this paper seeks to provide a thorough assessment of the strategies and programs put in place to achieve them, evaluating the advancements made to date, critically scrutinizing their impact on health, wellbeing, and sustainable development within the UK's healthcare sectors, pinpointing the challenges that have arisen, and offering well-supported recommendations for further enhancements (Deveci et al., 2022).</w:t>
      </w:r>
    </w:p>
    <w:p w14:paraId="58D5EA7C"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SDGs, established by the United Nations, represent a global commitment to addressing some of humanity's most pressing challenges, and their realization is crucial for a better, more equitable world (WHO, </w:t>
      </w:r>
      <w:proofErr w:type="spellStart"/>
      <w:r w:rsidRPr="004162B2">
        <w:rPr>
          <w:rFonts w:ascii="Arial" w:hAnsi="Arial" w:cs="Arial"/>
          <w:sz w:val="22"/>
        </w:rPr>
        <w:t>n.d</w:t>
      </w:r>
      <w:proofErr w:type="spellEnd"/>
      <w:r w:rsidRPr="004162B2">
        <w:rPr>
          <w:rFonts w:ascii="Arial" w:hAnsi="Arial" w:cs="Arial"/>
          <w:sz w:val="22"/>
        </w:rPr>
        <w:t>). Among the 17 SDGs, this report zeroes in on SDG 1 and SDG 2 due to their profound impact on the overall health and well-being of individuals and their significance in the context of healthcare within the UK (Deveci et al., 2022).</w:t>
      </w:r>
    </w:p>
    <w:p w14:paraId="219188CA"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SDG 1, "No Poverty," addresses the eradication of poverty in all its forms. The United Kingdom has made noteworthy strides in its commitment to this goal, evident through various government policies and initiatives designed to reduce poverty and inequality (United Nations, </w:t>
      </w:r>
      <w:proofErr w:type="spellStart"/>
      <w:r w:rsidRPr="004162B2">
        <w:rPr>
          <w:rFonts w:ascii="Arial" w:hAnsi="Arial" w:cs="Arial"/>
          <w:sz w:val="22"/>
        </w:rPr>
        <w:t>n.d</w:t>
      </w:r>
      <w:proofErr w:type="spellEnd"/>
      <w:r w:rsidRPr="004162B2">
        <w:rPr>
          <w:rFonts w:ascii="Arial" w:hAnsi="Arial" w:cs="Arial"/>
          <w:sz w:val="22"/>
        </w:rPr>
        <w:t>). However, it is imperative to recognize that while commendable progress has been made, poverty continues to persist in various forms, affecting vulnerable populations, such as children, the elderly, and marginalized communities (Deveci et al., 2022). Achieving SDG 1 requires more than superficial measures; it demands comprehensive strategies that delve into the root causes and systemic issues contributing to poverty.</w:t>
      </w:r>
    </w:p>
    <w:p w14:paraId="67397CE1"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SDG 2, "Zero Hunger," is another critical goal that has received attention in the UK. This goal aims to eliminate hunger, ensure food security, and promote sustainable agriculture. The UK has introduced initiatives like the School Fruit and Vegetable Scheme and Food Banks to address the issue of food insecurity (UK Parliament, </w:t>
      </w:r>
      <w:proofErr w:type="spellStart"/>
      <w:r w:rsidRPr="004162B2">
        <w:rPr>
          <w:rFonts w:ascii="Arial" w:hAnsi="Arial" w:cs="Arial"/>
          <w:sz w:val="22"/>
        </w:rPr>
        <w:t>n.d</w:t>
      </w:r>
      <w:proofErr w:type="spellEnd"/>
      <w:r w:rsidRPr="004162B2">
        <w:rPr>
          <w:rFonts w:ascii="Arial" w:hAnsi="Arial" w:cs="Arial"/>
          <w:sz w:val="22"/>
        </w:rPr>
        <w:t>). Nevertheless, challenges remain, particularly with the rising cost of living and limited access to nutritious food, which affect a huge portion of the population (Gehringer, 2020). Achieving SDG 2 necessitates a holistic approach that guarantees affordable and nutritious food access for all, underscoring the interconnectedness of food security, health, and well-being. According to NHS Estates (</w:t>
      </w:r>
      <w:proofErr w:type="spellStart"/>
      <w:r w:rsidRPr="004162B2">
        <w:rPr>
          <w:rFonts w:ascii="Arial" w:hAnsi="Arial" w:cs="Arial"/>
          <w:sz w:val="22"/>
        </w:rPr>
        <w:t>n.d</w:t>
      </w:r>
      <w:proofErr w:type="spellEnd"/>
      <w:r w:rsidRPr="004162B2">
        <w:rPr>
          <w:rFonts w:ascii="Arial" w:hAnsi="Arial" w:cs="Arial"/>
          <w:sz w:val="22"/>
        </w:rPr>
        <w:t>), the healthcare sector, as a cornerstone of public welfare, plays a pivotal role in these pursuits. Its performance and strategies have a direct impact on the health and well-being of individuals and communities, making it crucial to assess how the progress towards SDGs 1 and 2 relates to this sector (Gehringer, 2020).</w:t>
      </w:r>
    </w:p>
    <w:p w14:paraId="2378B93A" w14:textId="77777777" w:rsidR="00135DDF" w:rsidRPr="004162B2" w:rsidRDefault="00135DDF" w:rsidP="00135DDF">
      <w:pPr>
        <w:pStyle w:val="Heading1"/>
        <w:spacing w:line="360" w:lineRule="auto"/>
        <w:jc w:val="both"/>
        <w:rPr>
          <w:rFonts w:ascii="Arial" w:hAnsi="Arial" w:cs="Arial"/>
          <w:sz w:val="24"/>
          <w:szCs w:val="24"/>
        </w:rPr>
      </w:pPr>
      <w:bookmarkStart w:id="2" w:name="_Toc151920920"/>
      <w:r w:rsidRPr="004162B2">
        <w:rPr>
          <w:rFonts w:ascii="Arial" w:hAnsi="Arial" w:cs="Arial"/>
          <w:sz w:val="24"/>
          <w:szCs w:val="24"/>
        </w:rPr>
        <w:lastRenderedPageBreak/>
        <w:t>Introduction to Concepts</w:t>
      </w:r>
      <w:bookmarkEnd w:id="2"/>
    </w:p>
    <w:p w14:paraId="6966B8B7"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Before delving into the specific Sustainable Development Goals (SDGs) and their implementation, it is essential to establish a comprehensive understanding of the fundamental concepts that underpin this research. These concepts include well-being, sustainable development, health, and the significance of the Sustainable Development Goals. Well-being, as a multifaceted concept, encompasses the holistic state of an individual's physical, mental, and social health. It extends beyond the mere absence of disease and discomfort, emphasizing a positive state of thriving and flourishing. (Said &amp; Ahmad, 2021) This multifaceted nature of well-being implies that it comprises a combination of factors that contribute to an individual's overall quality of life. These factors include physical health, mental health, social relationships, economic security, environmental conditions, and personal fulfilment. </w:t>
      </w:r>
    </w:p>
    <w:p w14:paraId="24C92BBC"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Well-being is a vital determinant of one's overall life satisfaction and societal contribution. When individuals experience an important level of well-being, they are more likely to lead fulfilling and purposeful lives (Kwon, 2019). A powerful sense of well-being not only enhances personal contentment and happiness but also empowers individuals to engage in their communities, make meaningful contributions to society, and create a positive impact on the world around them. In the context of this research, understanding well-being is pivotal as it serves as a foundational pillar upon which the assessment of the impact of Sustainable Development Goals (SDGs) on health and sustainable development in the United Kingdom is built (Said &amp; Ahmad, 2021). The achievement of SDGs, such as those related to poverty reduction, food security, and access to quality education and healthcare, significantly influences the well-being of the population. Assessing the impact of these goals on well-being is crucial to understanding how the efforts to meet SDGs can lead to an improved quality of life for individuals and communities, fostering a more prosperous and equitable society.</w:t>
      </w:r>
    </w:p>
    <w:p w14:paraId="549F8A50"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Sustainable development, on the other hand, represents a comprehensive and forward-thinking approach to meeting present needs while simultaneously ensuring the preservation of future generations' capacity to meet their own needs (Said &amp; Ahmad, 2021). This intricate balance necessitates the integration of various elements, encompassing economic growth, environmental protection, and social progress. Sustainable development is not confined to one specific domain; rather, it is an all-encompassing endeavor that seeks to harmonize the often-competing goals of economic prosperity, environmental conservation, and societal well-being. It strives to create a world where future generations can inherit a planet that is habitable, prosperous, and socially equitable (Kwon, 2019). At its core, sustainable development acknowledges that human activities, particularly industrialization and urbanization, have far-reaching impacts on the environment, which, in turn, affects the health and well-being of both current and future generations. It recognizes that unchecked </w:t>
      </w:r>
      <w:r w:rsidRPr="004162B2">
        <w:rPr>
          <w:rFonts w:ascii="Arial" w:hAnsi="Arial" w:cs="Arial"/>
          <w:sz w:val="22"/>
        </w:rPr>
        <w:lastRenderedPageBreak/>
        <w:t>exploitation of natural resources, environmental degradation, and social inequalities can jeopardize the stability and prosperity of society in the long term.</w:t>
      </w:r>
    </w:p>
    <w:p w14:paraId="0789EFB0"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Sustainable development places a strong emphasis on responsible resource management, seeking to minimize the depletion of finite resources while maximizing efficiency and minimizing waste. This approach is essential for maintaining economic growth, ensuring environmental integrity, and promoting social equity. It involves setting ecological limits and defining social standards to guide development in a direction that safeguards the planet's natural systems, while also ensuring that societal needs are met (Kwon, 2019).</w:t>
      </w:r>
    </w:p>
    <w:p w14:paraId="51BCF77F"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In the context of the United Kingdom, sustainable development is a guiding principle that shapes the nation's approach to policymaking, business practices, and societal behaviors. It influences the way industries operate, cities are planned, and natural resources are conserved. The pursuit of sustainable development is intertwined with efforts to address issues such as climate change, resource depletion, environmental degradation, and social inequalities (Breuer et al., 2023). Understanding sustainable development is pivotal for this research, as it forms the backdrop against which the impact of Sustainable Development Goals (SDGs) on health, well-being, and sustainable development in the UK will be assessed. It is the very essence of SDGs, serving as a blueprint to guide countries like the UK in creating a more balanced, equitable, and resilient future (Breuer et al., 2023). The achievement of SDGs aims to propel the nation towards a state of equilibrium, where economic growth is in harmony with environmental stewardship and social progress, thus ensuring a sustainable legacy for future generations.</w:t>
      </w:r>
    </w:p>
    <w:p w14:paraId="596FA4B1"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Health, as defined by the World Health Organization (WHO), surpasses the mere absence of disease and infirmity. It encompasses a state of complete physical, mental, and social well-being. Health is a fundamental human right and a critical asset for individuals, communities, and nations. It influences every aspect of human existence, from individual quality of life to societal productivity (Breuer et al., 2023). The intertwining of health with well-being and sustainable development forms the core of this research, as it explores how achieving SDGs can positively impact health outcomes and, by extension, societal prosperity.</w:t>
      </w:r>
    </w:p>
    <w:p w14:paraId="2B0E072C"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The Sustainable Development Goals (SDGs), established in 2015, are a seminal global initiative, representing a shared commitment among United Nations Member States to address a wide spectrum of global challenges (Breuer et al., 2023). These seventeen distinct goals serve as a universal blueprint, guiding countries in their quest for a more just, equitable, and sustainable world. The significance of these goals cannot be overstated, as they encompass multifaceted issues ranging from poverty and inequality to climate change and environmental degradation.</w:t>
      </w:r>
    </w:p>
    <w:p w14:paraId="5435F9E6"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The SDGs unite nations, governments, non-governmental organizations, businesses, and individuals in a collective Endeavor to tackle the world's most pressing problems. They </w:t>
      </w:r>
      <w:r w:rsidRPr="004162B2">
        <w:rPr>
          <w:rFonts w:ascii="Arial" w:hAnsi="Arial" w:cs="Arial"/>
          <w:sz w:val="22"/>
        </w:rPr>
        <w:lastRenderedPageBreak/>
        <w:t>embody the spirit of international cooperation and shared responsibility in creating a brighter future for present and future generations (Menne, 2017). These goals provide a structured framework for measuring progress, setting strategic priorities, and fostering collaboration on a global scale. In doing so, they foster the hope and belief that a better world is not only possible but attainable through concerted efforts and a shared vision for the future (Menne, 2017).</w:t>
      </w:r>
    </w:p>
    <w:p w14:paraId="35C0E15E"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Therefore, these fundamental concepts - wellbeing, sustainable development, health, and the Sustainable Development Goals - lay the groundwork for a comprehensive assessment of how the UK is progressing in its efforts to enhance health, well-being, and sustainable development through the implementation of specific SDGs. Understanding these concepts is essential for interpreting and evaluating the impact of SDGs on the healthcare sector and society at large, as they serve as guiding principles for the achievement of a more prosperous and equitable future (Menne, 2017).</w:t>
      </w:r>
    </w:p>
    <w:p w14:paraId="4392B3CE" w14:textId="77777777" w:rsidR="00135DDF" w:rsidRPr="004162B2" w:rsidRDefault="00135DDF" w:rsidP="00135DDF">
      <w:pPr>
        <w:pStyle w:val="Heading1"/>
        <w:spacing w:line="360" w:lineRule="auto"/>
        <w:jc w:val="both"/>
        <w:rPr>
          <w:rFonts w:ascii="Arial" w:hAnsi="Arial" w:cs="Arial"/>
          <w:sz w:val="24"/>
          <w:szCs w:val="24"/>
        </w:rPr>
      </w:pPr>
      <w:bookmarkStart w:id="3" w:name="_Toc151920921"/>
      <w:r w:rsidRPr="004162B2">
        <w:rPr>
          <w:rFonts w:ascii="Arial" w:hAnsi="Arial" w:cs="Arial"/>
          <w:sz w:val="24"/>
          <w:szCs w:val="24"/>
        </w:rPr>
        <w:t>Goal 1: SDG 1 - No Poverty</w:t>
      </w:r>
      <w:bookmarkEnd w:id="3"/>
    </w:p>
    <w:p w14:paraId="6E08CBD0"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SDG 1, "No Poverty," is a globally recognized initiative with the primary aim of eradicating extreme poverty in all its dimensions by the year 2030 (United Nations, </w:t>
      </w:r>
      <w:proofErr w:type="spellStart"/>
      <w:r w:rsidRPr="004162B2">
        <w:rPr>
          <w:rFonts w:ascii="Arial" w:hAnsi="Arial" w:cs="Arial"/>
          <w:sz w:val="22"/>
        </w:rPr>
        <w:t>n.d</w:t>
      </w:r>
      <w:proofErr w:type="spellEnd"/>
      <w:r w:rsidRPr="004162B2">
        <w:rPr>
          <w:rFonts w:ascii="Arial" w:hAnsi="Arial" w:cs="Arial"/>
          <w:sz w:val="22"/>
        </w:rPr>
        <w:t>). It extends its reach beyond just income poverty and encompasses various aspects, including essential service access, education, healthcare, and social inclusion. In the context of the United Kingdom, this goal translates into a comprehensive approach to address income inequality, food poverty, and social exclusion (Ashraf et al., 2019). The UK government has initiated several programs to tackle poverty, such as Universal Credit and the Pupil Premium. Universal Credit is designed to provide welfare support, while the Pupil Premium focuses on enhancing educational opportunities for disadvantaged students. However, both programs have faced criticism, with issues like delays in Universal Credit payments and variations in the effectiveness of the Pupil Premium. These critiques emphasize the need for improvements in these programs to ensure their efficiency and reach (Ashraf et al., 2019).</w:t>
      </w:r>
    </w:p>
    <w:p w14:paraId="627FCC91"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SDG 1, the Sustainable Development Goal that aims to eradicate poverty in all its forms, carries profound significance for the United Kingdom. The government's commitment to regularly reporting on poverty rates underscores the nation's dedication to addressing this pressing issue. Nevertheless, the onset of the COVID-19 pandemic has illuminated the imperative need for even more comprehensive actions to tackle the multifaceted challenges of poverty (Ashraf et al., 2019). The pandemic exposed and exacerbated existing inequalities within the country, disproportionately impacting vulnerable and marginalized communities. As millions of individuals faced economic hardship, unemployment, and reduced access to essential services, the need for targeted poverty alleviation measures became even more apparent (</w:t>
      </w:r>
      <w:proofErr w:type="spellStart"/>
      <w:r w:rsidRPr="004162B2">
        <w:rPr>
          <w:rFonts w:ascii="Arial" w:hAnsi="Arial" w:cs="Arial"/>
          <w:sz w:val="22"/>
        </w:rPr>
        <w:t>Dafevwakpo</w:t>
      </w:r>
      <w:proofErr w:type="spellEnd"/>
      <w:r w:rsidRPr="004162B2">
        <w:rPr>
          <w:rFonts w:ascii="Arial" w:hAnsi="Arial" w:cs="Arial"/>
          <w:sz w:val="22"/>
        </w:rPr>
        <w:t xml:space="preserve"> et al., 2023). The government's response to the pandemic, including </w:t>
      </w:r>
      <w:r w:rsidRPr="004162B2">
        <w:rPr>
          <w:rFonts w:ascii="Arial" w:hAnsi="Arial" w:cs="Arial"/>
          <w:sz w:val="22"/>
        </w:rPr>
        <w:lastRenderedPageBreak/>
        <w:t>measures like furlough schemes and direct financial assistance, underlines the urgency of addressing poverty as a key aspect of a resilient and equitable society (</w:t>
      </w:r>
      <w:proofErr w:type="spellStart"/>
      <w:r w:rsidRPr="004162B2">
        <w:rPr>
          <w:rFonts w:ascii="Arial" w:hAnsi="Arial" w:cs="Arial"/>
          <w:sz w:val="22"/>
        </w:rPr>
        <w:t>Dafevwakpo</w:t>
      </w:r>
      <w:proofErr w:type="spellEnd"/>
      <w:r w:rsidRPr="004162B2">
        <w:rPr>
          <w:rFonts w:ascii="Arial" w:hAnsi="Arial" w:cs="Arial"/>
          <w:sz w:val="22"/>
        </w:rPr>
        <w:t xml:space="preserve"> et al., 2023).</w:t>
      </w:r>
    </w:p>
    <w:p w14:paraId="5BD7C6FE"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Reducing poverty in the UK holds the potential to create a ripple effect of positive outcomes that extend far beyond financial well-being. It can significantly improve the health and well-being of the population by ensuring access to necessities, adequate housing, and quality healthcare</w:t>
      </w:r>
      <w:r w:rsidRPr="004162B2">
        <w:rPr>
          <w:sz w:val="22"/>
        </w:rPr>
        <w:t xml:space="preserve"> </w:t>
      </w:r>
      <w:r w:rsidRPr="004162B2">
        <w:rPr>
          <w:rFonts w:ascii="Arial" w:hAnsi="Arial" w:cs="Arial"/>
          <w:sz w:val="22"/>
        </w:rPr>
        <w:t>(Schmeiser and Hogarth, 2013). A population with reduced poverty is more likely to be productive and economically self-sufficient, which benefits the overall economy and reduces the burden on social services. Furthermore, poverty reduction promotes inclusivity, which is a cornerstone of sustainable development. A society where everyone has an equal opportunity to participate and contribute to the economy, culture, and civic life is more resilient and harmonious. By addressing poverty and its root causes, the UK can foster social cohesion and greater social mobility, paving the way for a more just and sustainable future. SDG 1 plays a pivotal role in the UK's commitment to addressing poverty and promoting sustainable development</w:t>
      </w:r>
      <w:r w:rsidRPr="004162B2">
        <w:rPr>
          <w:sz w:val="22"/>
        </w:rPr>
        <w:t xml:space="preserve"> </w:t>
      </w:r>
      <w:r w:rsidRPr="004162B2">
        <w:rPr>
          <w:rFonts w:ascii="Arial" w:hAnsi="Arial" w:cs="Arial"/>
          <w:sz w:val="22"/>
        </w:rPr>
        <w:t>(Pontin et al., 2013). The COVID-19 pandemic has underscored the importance of these efforts, and ongoing action is essential to create a healthier, more productive, and inclusive society for all citizens. By prioritizing the reduction of poverty, the UK can build a more resilient and equitable nation, where all share the benefits of economic progress.</w:t>
      </w:r>
    </w:p>
    <w:p w14:paraId="7FF9E2D3"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Challenges in implementing SDG 1 in the UK include the persistence of income inequality, the dynamic nature of labor markets, and the economic shocks that have arisen, particularly in the wake of the pandemic (United Nations, </w:t>
      </w:r>
      <w:proofErr w:type="spellStart"/>
      <w:r w:rsidRPr="004162B2">
        <w:rPr>
          <w:rFonts w:ascii="Arial" w:hAnsi="Arial" w:cs="Arial"/>
          <w:sz w:val="22"/>
        </w:rPr>
        <w:t>n.d</w:t>
      </w:r>
      <w:proofErr w:type="spellEnd"/>
      <w:r w:rsidRPr="004162B2">
        <w:rPr>
          <w:rFonts w:ascii="Arial" w:hAnsi="Arial" w:cs="Arial"/>
          <w:sz w:val="22"/>
        </w:rPr>
        <w:t>). The unforeseen economic challenges brought about by the COVID-19 crisis have exacerbated the urgency of addressing poverty-related issues. Therefore, it is imperative to develop comprehensive strategies that effectively tackle these challenges and promote meaningful progress towards SDG 1. The implementation of SDG 1 in the United Kingdom presents several significant challenges that demand careful consideration. One of the foremost challenges is the persistent issue of income inequality. Despite being an advanced nation, the UK still grapples with substantial income disparities among its citizens. This inequality can hinder efforts to lift individuals and communities out of poverty, as those at the lower end of the income spectrum face limited access to essential resources and opportunities</w:t>
      </w:r>
      <w:r w:rsidRPr="004162B2">
        <w:rPr>
          <w:sz w:val="22"/>
        </w:rPr>
        <w:t xml:space="preserve"> </w:t>
      </w:r>
      <w:r w:rsidRPr="004162B2">
        <w:rPr>
          <w:rFonts w:ascii="Arial" w:hAnsi="Arial" w:cs="Arial"/>
          <w:sz w:val="22"/>
        </w:rPr>
        <w:t>(O’Connor and Cavanagh, 2013). Another complex challenge is the dynamic nature of labor markets. The UK's workforce is continuously evolving, with job opportunities and employment patterns fluctuating in response to technological advancements and economic shifts. This dynamism can lead to job insecurity, making it difficult for many to break free from the cycle of poverty.</w:t>
      </w:r>
    </w:p>
    <w:p w14:paraId="307FAFB7"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The economic shocks that have recently arisen, particularly in the wake of the COVID-19 pandemic, have further compounded the challenges. The unforeseen economic turbulence </w:t>
      </w:r>
      <w:r w:rsidRPr="004162B2">
        <w:rPr>
          <w:rFonts w:ascii="Arial" w:hAnsi="Arial" w:cs="Arial"/>
          <w:sz w:val="22"/>
        </w:rPr>
        <w:lastRenderedPageBreak/>
        <w:t>brought about by the crisis has highlighted the urgency of addressing poverty-related issues. The pandemic has disproportionately affected vulnerable populations, leading to increased unemployment, reduced incomes, and amplified social and economic vulnerabilities (Sharma and Anderson, 2020). Therefore, it is imperative to develop comprehensive and adaptive strategies that effectively tackle these multifaceted challenges and promote meaningful progress towards SDG 1. These strategies should encompass measures to not only alleviate immediate financial hardships but also address the root causes of poverty, including inadequate access to education, healthcare, and affordable housing</w:t>
      </w:r>
      <w:r w:rsidRPr="004162B2">
        <w:rPr>
          <w:sz w:val="22"/>
        </w:rPr>
        <w:t xml:space="preserve"> </w:t>
      </w:r>
      <w:r w:rsidRPr="004162B2">
        <w:rPr>
          <w:rFonts w:ascii="Arial" w:hAnsi="Arial" w:cs="Arial"/>
          <w:sz w:val="22"/>
        </w:rPr>
        <w:t>(</w:t>
      </w:r>
      <w:proofErr w:type="spellStart"/>
      <w:r w:rsidRPr="004162B2">
        <w:rPr>
          <w:rFonts w:ascii="Arial" w:hAnsi="Arial" w:cs="Arial"/>
          <w:sz w:val="22"/>
        </w:rPr>
        <w:t>Birkenmaier</w:t>
      </w:r>
      <w:proofErr w:type="spellEnd"/>
      <w:r w:rsidRPr="004162B2">
        <w:rPr>
          <w:rFonts w:ascii="Arial" w:hAnsi="Arial" w:cs="Arial"/>
          <w:sz w:val="22"/>
        </w:rPr>
        <w:t xml:space="preserve"> and Fu, 2021). It is essential to maintain a long-term perspective and engage in continuous collaboration with experts, policymakers, and community stakeholders to ensure that the pursuit of SDG 1 in the UK is both robust and responsive to the evolving socioeconomic landscape (Bussell, 2022).</w:t>
      </w:r>
    </w:p>
    <w:p w14:paraId="2D84CB16"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To bolster the UK's efforts in addressing poverty and promoting sustainable development, several recommendations are essential. First, there should be a concerted effort to strengthen safety nets such as Universal Credit. This means making the system more responsive, flexible, and accessible to those in need. Ensuring that the benefits provided are sufficient to cover essential living costs and that the application process is straightforward and efficient can go a long way in mitigating poverty. Additionally, considering periodic adjustments in response to changing economic conditions is crucial to maintaining the program's effectiveness (Kok and Woo, 2021).</w:t>
      </w:r>
    </w:p>
    <w:p w14:paraId="5A6FC908"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Addressing the digital divide in education is another pivotal step towards equal opportunities. The COVID-19 pandemic highlighted the disparities in access to online learning, which can perpetuate educational inequalities (UK Parliament, </w:t>
      </w:r>
      <w:proofErr w:type="spellStart"/>
      <w:r w:rsidRPr="004162B2">
        <w:rPr>
          <w:rFonts w:ascii="Arial" w:hAnsi="Arial" w:cs="Arial"/>
          <w:sz w:val="22"/>
        </w:rPr>
        <w:t>n.d</w:t>
      </w:r>
      <w:proofErr w:type="spellEnd"/>
      <w:r w:rsidRPr="004162B2">
        <w:rPr>
          <w:rFonts w:ascii="Arial" w:hAnsi="Arial" w:cs="Arial"/>
          <w:sz w:val="22"/>
        </w:rPr>
        <w:t>). The government should invest in improving digital infrastructure and providing devices and internet access to students from disadvantaged backgrounds. Offering support for digital literacy and remote learning resources can help level the educational playing field, ensuring that all children have an equal chance to thrive (Kok and Woo, 2021).</w:t>
      </w:r>
    </w:p>
    <w:p w14:paraId="0D802109"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Lastly, a comprehensive poverty reduction strategy that addresses the root causes of poverty is imperative. This strategy should encompass measures to enhance employment opportunities, raise the minimum wage, and provide affordable housing. Additionally, it should focus on improving access to quality healthcare and education. It is vital to engage with experts, civil society organizations, and individuals with lived experience to develop a holistic plan that considers the diverse factors contributing to poverty. By addressing both the symptoms and underlying causes of poverty, the UK can build a more equitable and prosperous society where no one is left behind (Taylor, 2021).</w:t>
      </w:r>
    </w:p>
    <w:p w14:paraId="078003AE" w14:textId="77777777" w:rsidR="00135DDF" w:rsidRPr="004162B2" w:rsidRDefault="00135DDF" w:rsidP="00135DDF">
      <w:pPr>
        <w:pStyle w:val="Heading1"/>
        <w:spacing w:line="360" w:lineRule="auto"/>
        <w:jc w:val="both"/>
        <w:rPr>
          <w:rFonts w:ascii="Arial" w:hAnsi="Arial" w:cs="Arial"/>
          <w:sz w:val="24"/>
          <w:szCs w:val="24"/>
        </w:rPr>
      </w:pPr>
      <w:bookmarkStart w:id="4" w:name="_Toc151920922"/>
      <w:r w:rsidRPr="004162B2">
        <w:rPr>
          <w:rFonts w:ascii="Arial" w:hAnsi="Arial" w:cs="Arial"/>
          <w:sz w:val="24"/>
          <w:szCs w:val="24"/>
        </w:rPr>
        <w:lastRenderedPageBreak/>
        <w:t>Goal 2: SDG 2 - Zero Hunger</w:t>
      </w:r>
      <w:bookmarkEnd w:id="4"/>
    </w:p>
    <w:p w14:paraId="5519E088"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SDG 2, also known as "Zero Hunger," is a global Endeavor with the ambitious objective of eliminating hunger, ensuring food security, improving nutrition, and advocating for sustainable agriculture worldwide by 2030 (United Nations, </w:t>
      </w:r>
      <w:proofErr w:type="spellStart"/>
      <w:r w:rsidRPr="004162B2">
        <w:rPr>
          <w:rFonts w:ascii="Arial" w:hAnsi="Arial" w:cs="Arial"/>
          <w:sz w:val="22"/>
        </w:rPr>
        <w:t>n.d</w:t>
      </w:r>
      <w:proofErr w:type="spellEnd"/>
      <w:r w:rsidRPr="004162B2">
        <w:rPr>
          <w:rFonts w:ascii="Arial" w:hAnsi="Arial" w:cs="Arial"/>
          <w:sz w:val="22"/>
        </w:rPr>
        <w:t>). In the context of the United Kingdom, the pursuit of this goal involves addressing critical challenges, including food poverty, disparities in food access, and the promotion of sustainable agricultural practices. Key initiatives revolve around reducing food waste and responsible land management (Butler, 2015). While there have been notable advancements in these areas, the persistence of food poverty and disparities in food access have raised valid concerns about the effectiveness of the strategies employed.</w:t>
      </w:r>
    </w:p>
    <w:p w14:paraId="5CC7B5B2"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The UK's efforts to achieve SDG 2 face several obstacles, with food poverty and inequities in food access standing out as significant challenges (NHS Estates, </w:t>
      </w:r>
      <w:proofErr w:type="spellStart"/>
      <w:r w:rsidRPr="004162B2">
        <w:rPr>
          <w:rFonts w:ascii="Arial" w:hAnsi="Arial" w:cs="Arial"/>
          <w:sz w:val="22"/>
        </w:rPr>
        <w:t>n.d</w:t>
      </w:r>
      <w:proofErr w:type="spellEnd"/>
      <w:r w:rsidRPr="004162B2">
        <w:rPr>
          <w:rFonts w:ascii="Arial" w:hAnsi="Arial" w:cs="Arial"/>
          <w:sz w:val="22"/>
        </w:rPr>
        <w:t>). The overarching objective of eliminating hunger is intrinsically linked to improving the quality of nutrition for all. However, a comprehensive approach is necessary, one that not only ensures access to food but also emphasizes the nutritional value and quality of that food. These challenges underscore the complex nature of addressing hunger-related issues, which necessitates a holistic and multifaceted strategy (Butler, 2015).</w:t>
      </w:r>
    </w:p>
    <w:p w14:paraId="749243E7"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Central to the pursuit of SDG 2 in the UK is the promotion of sustainable agriculture practices. Sustainable agriculture not only benefits the environment by conserving natural resources but also supports long-term agricultural development (UK Parliament, </w:t>
      </w:r>
      <w:proofErr w:type="spellStart"/>
      <w:r w:rsidRPr="004162B2">
        <w:rPr>
          <w:rFonts w:ascii="Arial" w:hAnsi="Arial" w:cs="Arial"/>
          <w:sz w:val="22"/>
        </w:rPr>
        <w:t>n.d</w:t>
      </w:r>
      <w:proofErr w:type="spellEnd"/>
      <w:r w:rsidRPr="004162B2">
        <w:rPr>
          <w:rFonts w:ascii="Arial" w:hAnsi="Arial" w:cs="Arial"/>
          <w:sz w:val="22"/>
        </w:rPr>
        <w:t>). It offers a means of ensuring a stable and ecologically responsible food supply chain. Nevertheless, obstacles to implementing sustainable agriculture practices persist, including global factors such as climate change and food distribution challenges, which require international cooperation (Flynn et al., 2019). Moving forward, it is essential to reinforce food security initiatives, implement comprehensive programs to address food poverty and raise public awareness about the critical connection between nutrition and health. These measures collectively constitute the path toward realizing the ambitious goal of Zero Hunger in the United Kingdom (Flynn et al., 2019).</w:t>
      </w:r>
    </w:p>
    <w:p w14:paraId="2A43F7BF"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Despite commendable efforts to alleviate hunger in the United Kingdom, several notable challenges endure, most notably the striking disparities in access to food. These disparities highlight a profound issue in the nation, indicating that there is more work to be done in this regard as the UK Parliament (</w:t>
      </w:r>
      <w:proofErr w:type="spellStart"/>
      <w:r w:rsidRPr="004162B2">
        <w:rPr>
          <w:rFonts w:ascii="Arial" w:hAnsi="Arial" w:cs="Arial"/>
          <w:sz w:val="22"/>
        </w:rPr>
        <w:t>n.d</w:t>
      </w:r>
      <w:proofErr w:type="spellEnd"/>
      <w:r w:rsidRPr="004162B2">
        <w:rPr>
          <w:rFonts w:ascii="Arial" w:hAnsi="Arial" w:cs="Arial"/>
          <w:sz w:val="22"/>
        </w:rPr>
        <w:t xml:space="preserve">) indicated. To truly address the issue of hunger, it is essential to acknowledge that it is intricately linked with the broader goal of improving nutrition, as adequate nourishment plays a pivotal role in enhancing overall health and well-being. As such, a comprehensive approach that extends beyond mere food accessibility is imperative to make meaningful progress towards achieving. </w:t>
      </w:r>
    </w:p>
    <w:p w14:paraId="0C84138F"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lastRenderedPageBreak/>
        <w:t>One cannot underestimate the importance of nutrition when tackling the issue of hunger. The provision of food alone, while essential, is not sufficient. A focus on nutritional quality and the nutritional value of the available food is equally vital. It is imperative to ensure that the food being accessed is not only abundant but also nutritionally balanced (</w:t>
      </w:r>
      <w:proofErr w:type="spellStart"/>
      <w:r w:rsidRPr="004162B2">
        <w:rPr>
          <w:rFonts w:ascii="Arial" w:hAnsi="Arial" w:cs="Arial"/>
          <w:sz w:val="22"/>
        </w:rPr>
        <w:t>Wongnaa</w:t>
      </w:r>
      <w:proofErr w:type="spellEnd"/>
      <w:r w:rsidRPr="004162B2">
        <w:rPr>
          <w:rFonts w:ascii="Arial" w:hAnsi="Arial" w:cs="Arial"/>
          <w:sz w:val="22"/>
        </w:rPr>
        <w:t xml:space="preserve"> and </w:t>
      </w:r>
      <w:proofErr w:type="spellStart"/>
      <w:r w:rsidRPr="004162B2">
        <w:rPr>
          <w:rFonts w:ascii="Arial" w:hAnsi="Arial" w:cs="Arial"/>
          <w:sz w:val="22"/>
        </w:rPr>
        <w:t>Awunyo</w:t>
      </w:r>
      <w:proofErr w:type="spellEnd"/>
      <w:r w:rsidRPr="004162B2">
        <w:rPr>
          <w:rFonts w:ascii="Arial" w:hAnsi="Arial" w:cs="Arial"/>
          <w:sz w:val="22"/>
        </w:rPr>
        <w:t>-Vitor, 2018). A holistic approach that incorporates these aspects is essential to address the multifaceted challenges associated with hunger and malnutrition comprehensively.</w:t>
      </w:r>
    </w:p>
    <w:p w14:paraId="41EF1F21"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A comprehensive approach is key to realizing Sustainable Development Goal 2 (SDG 2), which aims to end hunger, achieve food security, improve nutrition, and promote sustainable agriculture. This approach must encompass equitable access to food resources, the quality and nutritional content of the available food, and the broader socioeconomic factors contributing to hunger disparities (</w:t>
      </w:r>
      <w:proofErr w:type="spellStart"/>
      <w:r w:rsidRPr="004162B2">
        <w:rPr>
          <w:rFonts w:ascii="Arial" w:hAnsi="Arial" w:cs="Arial"/>
          <w:sz w:val="22"/>
        </w:rPr>
        <w:t>Wongnaa</w:t>
      </w:r>
      <w:proofErr w:type="spellEnd"/>
      <w:r w:rsidRPr="004162B2">
        <w:rPr>
          <w:rFonts w:ascii="Arial" w:hAnsi="Arial" w:cs="Arial"/>
          <w:sz w:val="22"/>
        </w:rPr>
        <w:t xml:space="preserve"> and </w:t>
      </w:r>
      <w:proofErr w:type="spellStart"/>
      <w:r w:rsidRPr="004162B2">
        <w:rPr>
          <w:rFonts w:ascii="Arial" w:hAnsi="Arial" w:cs="Arial"/>
          <w:sz w:val="22"/>
        </w:rPr>
        <w:t>Awunyo</w:t>
      </w:r>
      <w:proofErr w:type="spellEnd"/>
      <w:r w:rsidRPr="004162B2">
        <w:rPr>
          <w:rFonts w:ascii="Arial" w:hAnsi="Arial" w:cs="Arial"/>
          <w:sz w:val="22"/>
        </w:rPr>
        <w:t>-Vitor, 2018). By recognizing that hunger and nutrition challenges are interconnected and addressing them in a unified manner, we can make substantial progress towards the goal of ensuring that no one goes hungry and that all individuals can enjoy nutritious and healthy diets in the UK.</w:t>
      </w:r>
    </w:p>
    <w:p w14:paraId="0D8A0816"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Sustainable agriculture practices are undeniably central to the global </w:t>
      </w:r>
      <w:proofErr w:type="spellStart"/>
      <w:r>
        <w:rPr>
          <w:rFonts w:ascii="Arial" w:hAnsi="Arial" w:cs="Arial"/>
          <w:sz w:val="22"/>
        </w:rPr>
        <w:t>endeavour</w:t>
      </w:r>
      <w:proofErr w:type="spellEnd"/>
      <w:r w:rsidRPr="004162B2">
        <w:rPr>
          <w:rFonts w:ascii="Arial" w:hAnsi="Arial" w:cs="Arial"/>
          <w:sz w:val="22"/>
        </w:rPr>
        <w:t xml:space="preserve"> to eliminate hunger, represented by Sustainable Development Goal 2 (SDG 2). These practices are not only environmentally responsible but also pivotal for the long-term growth of the agricultural sector (Nord and Coleman-Jensen, 2014). By focusing on sustainability, we can achieve the dual objective of safeguarding our environment while fostering sustainable agricultural development. Moreover, sustainable agriculture contributes significantly to the conservation of natural resources and ecosystems, thereby enhancing the resilience of our food supply chain (Nord and Coleman-Jensen, 2014).</w:t>
      </w:r>
    </w:p>
    <w:p w14:paraId="0364F855"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At the heart of the pursuit of Zero Hunger lies the concept of food security, which is fundamentally intertwined with sustainable agriculture. Sustainable agriculture provides a stable and environmentally conscious foundation for food production. It ensures that the global food supply remains resilient and dependable, even in the face of various challenges (NHS Estates, </w:t>
      </w:r>
      <w:proofErr w:type="spellStart"/>
      <w:r w:rsidRPr="004162B2">
        <w:rPr>
          <w:rFonts w:ascii="Arial" w:hAnsi="Arial" w:cs="Arial"/>
          <w:sz w:val="22"/>
        </w:rPr>
        <w:t>n.d</w:t>
      </w:r>
      <w:proofErr w:type="spellEnd"/>
      <w:r w:rsidRPr="004162B2">
        <w:rPr>
          <w:rFonts w:ascii="Arial" w:hAnsi="Arial" w:cs="Arial"/>
          <w:sz w:val="22"/>
        </w:rPr>
        <w:t>). This sustainability in food production not only caters to present needs but also preserves the resources required to meet future demands (Yadav, 2022). By embracing sustainable agricultural practices, we create a sustainable food supply chain that fortifies our collective journey toward a world without hunger.</w:t>
      </w:r>
    </w:p>
    <w:p w14:paraId="53977B2B"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 xml:space="preserve">While the merits of sustainable agriculture are clear, it is not without its challenges. Complex global factors such as climate change, equitable food distribution, and the necessity for international cooperation present formidable obstacles in the path towards the widespread adoption of sustainable farming practices. Tackling these challenges requires a concerted effort from governments, international organizations, and communities worldwide. Addressing these issues is imperative for making sustainable agriculture a widespread reality, ensuring </w:t>
      </w:r>
      <w:r w:rsidRPr="004162B2">
        <w:rPr>
          <w:rFonts w:ascii="Arial" w:hAnsi="Arial" w:cs="Arial"/>
          <w:sz w:val="22"/>
        </w:rPr>
        <w:lastRenderedPageBreak/>
        <w:t>that it fulfils its pivotal role in achieving Zero Hunger and promoting a more sustainable and equitable future for all (Yadav, 2022).</w:t>
      </w:r>
    </w:p>
    <w:p w14:paraId="755CF37D"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To effectively work towards the achievement of Sustainable Development Goal 2 (SDG 2) in the United Kingdom, a multifaceted approach is imperative. Firstly, it is vital to bolster food security initiatives with a primary emphasis on ensuring universal access to nutritious sustenance. This entails implementing comprehensive programs that tackle food poverty from both immediate relief and long-term sustainability perspectives (Yadav, 2022). By fortifying food security, we can address the root causes of hunger and malnutrition, promoting a healthier and more resilient society. In addition to these domestic efforts, it is essential to increase public awareness regarding the intrinsic link between nutrition and overall health. Empowering individuals and communities with information and education on making healthier food choices is pivotal (Yadav, 2022). By disseminating knowledge about the importance of a balanced diet and its long-term benefits, we can encourage more sustainable and health-conscious consumption habits among the UK population.</w:t>
      </w:r>
    </w:p>
    <w:p w14:paraId="09F5FE92" w14:textId="77777777" w:rsidR="00135DDF" w:rsidRPr="004162B2" w:rsidRDefault="00135DDF" w:rsidP="00135DDF">
      <w:pPr>
        <w:pStyle w:val="Heading1"/>
        <w:spacing w:line="360" w:lineRule="auto"/>
        <w:jc w:val="both"/>
        <w:rPr>
          <w:rFonts w:ascii="Arial" w:hAnsi="Arial" w:cs="Arial"/>
          <w:sz w:val="24"/>
          <w:szCs w:val="24"/>
        </w:rPr>
      </w:pPr>
      <w:bookmarkStart w:id="5" w:name="_Toc151920923"/>
      <w:r w:rsidRPr="004162B2">
        <w:rPr>
          <w:rFonts w:ascii="Arial" w:hAnsi="Arial" w:cs="Arial"/>
          <w:sz w:val="24"/>
          <w:szCs w:val="24"/>
        </w:rPr>
        <w:t>Conclusion</w:t>
      </w:r>
      <w:bookmarkEnd w:id="5"/>
    </w:p>
    <w:p w14:paraId="3D33D9C4"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In conclusion, the United Kingdom has indeed made commendable efforts in its pursuit of Sustainable Development Goals (SDGs) 1 and 2, which aim to eradicate poverty and hunger. These goals represent critical pillars of the broader global sustainability agenda, and the UK has made substantial strides in this regard. However, it is essential to acknowledge that challenges persist in achieving these goals, and there is still a lot of work to be done. The UK's commitment to SDG 1, which aims to end poverty in all its forms, is reflected in various government policies and initiatives</w:t>
      </w:r>
      <w:r w:rsidRPr="004162B2">
        <w:rPr>
          <w:sz w:val="22"/>
        </w:rPr>
        <w:t xml:space="preserve"> </w:t>
      </w:r>
      <w:r w:rsidRPr="004162B2">
        <w:rPr>
          <w:rFonts w:ascii="Arial" w:hAnsi="Arial" w:cs="Arial"/>
          <w:sz w:val="22"/>
        </w:rPr>
        <w:t>(Domènech, 2015). The introduction of the National Living Wage and a strong social safety net are notable steps taken to address poverty and inequality. Nonetheless, disparities in income and wealth still exist, and vulnerable populations, including children and the elderly, remain at risk of poverty. To truly eradicate poverty, comprehensive strategies that address the root causes and systemic issues must be implemented.</w:t>
      </w:r>
    </w:p>
    <w:p w14:paraId="09360CEC"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t>Similarly, SDG 2, which aims to end hunger, achieve food security, and promote sustainable agriculture, has seen commendable efforts in the UK. Initiatives like the School Fruit and Vegetable Scheme and Food Banks have provided essential support to vulnerable individuals and families facing food insecurity. However, the issue of food insecurity is multifaceted, with the rising cost of living and limited access to nutritious food affecting many people. A deeper holistic approach is needed to ensure that everyone in the UK has access to affordable and nutritious food</w:t>
      </w:r>
      <w:r w:rsidRPr="004162B2">
        <w:rPr>
          <w:sz w:val="22"/>
        </w:rPr>
        <w:t xml:space="preserve"> </w:t>
      </w:r>
      <w:r w:rsidRPr="004162B2">
        <w:rPr>
          <w:rFonts w:ascii="Arial" w:hAnsi="Arial" w:cs="Arial"/>
          <w:sz w:val="22"/>
        </w:rPr>
        <w:t>(Domènech, 2015). Enhancing health, well-being, and sustainable development is not solely a matter of addressing poverty and hunger. It requires a comprehensive and interconnected approach that tackles the root causes of these challenges.</w:t>
      </w:r>
    </w:p>
    <w:p w14:paraId="799A6F9B" w14:textId="77777777" w:rsidR="00135DDF" w:rsidRPr="004162B2" w:rsidRDefault="00135DDF" w:rsidP="00135DDF">
      <w:pPr>
        <w:spacing w:line="360" w:lineRule="auto"/>
        <w:ind w:firstLine="720"/>
        <w:jc w:val="both"/>
        <w:rPr>
          <w:rFonts w:ascii="Arial" w:hAnsi="Arial" w:cs="Arial"/>
          <w:sz w:val="22"/>
        </w:rPr>
      </w:pPr>
      <w:r w:rsidRPr="004162B2">
        <w:rPr>
          <w:rFonts w:ascii="Arial" w:hAnsi="Arial" w:cs="Arial"/>
          <w:sz w:val="22"/>
        </w:rPr>
        <w:lastRenderedPageBreak/>
        <w:t>This research underscores the fundamental importance of addressing poverty and hunger as essential prerequisites for advancing health, well-being, and sustainable development within the UK's healthcare sector. It highlights the need for a more comprehensive and integrated approach that goes beyond superficial measures to tackle the systemic issues at the heart of these challenges. By recognizing the interplay between poverty, food insecurity, and health, we can work towards a future where every individual in the UK can lead a healthy and fulfilling life</w:t>
      </w:r>
      <w:r w:rsidRPr="004162B2">
        <w:rPr>
          <w:sz w:val="22"/>
        </w:rPr>
        <w:t xml:space="preserve"> </w:t>
      </w:r>
      <w:r w:rsidRPr="004162B2">
        <w:rPr>
          <w:rFonts w:ascii="Arial" w:hAnsi="Arial" w:cs="Arial"/>
          <w:sz w:val="22"/>
        </w:rPr>
        <w:t>(Azeem et al., 2016). Achieving SDGs 1 and 2 in the UK is not just a matter of meeting global targets; it is a moral imperative and a critical step toward building a more equitable and sustainable society.</w:t>
      </w:r>
    </w:p>
    <w:p w14:paraId="34B87E27" w14:textId="77777777" w:rsidR="00135DDF" w:rsidRPr="004162B2" w:rsidRDefault="00135DDF" w:rsidP="00135DDF">
      <w:pPr>
        <w:spacing w:line="360" w:lineRule="auto"/>
        <w:jc w:val="both"/>
        <w:rPr>
          <w:rFonts w:ascii="Arial" w:hAnsi="Arial" w:cs="Arial"/>
          <w:sz w:val="22"/>
        </w:rPr>
      </w:pPr>
      <w:r w:rsidRPr="004162B2">
        <w:rPr>
          <w:rFonts w:ascii="Arial" w:hAnsi="Arial" w:cs="Arial"/>
          <w:sz w:val="22"/>
        </w:rPr>
        <w:br w:type="page"/>
      </w:r>
    </w:p>
    <w:p w14:paraId="24CC66ED" w14:textId="77777777" w:rsidR="00135DDF" w:rsidRPr="004162B2" w:rsidRDefault="00135DDF" w:rsidP="00135DDF">
      <w:pPr>
        <w:pStyle w:val="Heading1"/>
        <w:spacing w:line="360" w:lineRule="auto"/>
        <w:jc w:val="both"/>
        <w:rPr>
          <w:rFonts w:ascii="Arial" w:hAnsi="Arial" w:cs="Arial"/>
          <w:sz w:val="24"/>
          <w:szCs w:val="24"/>
        </w:rPr>
      </w:pPr>
      <w:bookmarkStart w:id="6" w:name="_Toc151920924"/>
      <w:r w:rsidRPr="004162B2">
        <w:rPr>
          <w:rFonts w:ascii="Arial" w:hAnsi="Arial" w:cs="Arial"/>
          <w:sz w:val="24"/>
          <w:szCs w:val="24"/>
        </w:rPr>
        <w:lastRenderedPageBreak/>
        <w:t>References</w:t>
      </w:r>
      <w:bookmarkEnd w:id="6"/>
    </w:p>
    <w:p w14:paraId="509553E2"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Ashraf, M., Ullah, L., Shuvro, M. A., &amp; Salma, U. (2019, February 20). Transition from Millennium Development Goals (MDGs) to Sustainable Development Goals (SDGs): Blueprint of Bangladesh for Implementing the Sustainable Development Goals (SDGs) 2030. Medicine Today, 31(1), 46–59. </w:t>
      </w:r>
      <w:hyperlink r:id="rId8" w:history="1">
        <w:r w:rsidRPr="004162B2">
          <w:rPr>
            <w:rStyle w:val="Hyperlink"/>
            <w:rFonts w:ascii="Arial" w:hAnsi="Arial" w:cs="Arial"/>
            <w:sz w:val="22"/>
          </w:rPr>
          <w:t>https://doi.org/10.3329/medtoday.v31i1.40323</w:t>
        </w:r>
      </w:hyperlink>
      <w:r w:rsidRPr="004162B2">
        <w:rPr>
          <w:rFonts w:ascii="Arial" w:hAnsi="Arial" w:cs="Arial"/>
          <w:sz w:val="22"/>
        </w:rPr>
        <w:t xml:space="preserve"> </w:t>
      </w:r>
    </w:p>
    <w:p w14:paraId="0BBFF160"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Azeem, M.M., </w:t>
      </w:r>
      <w:proofErr w:type="spellStart"/>
      <w:r w:rsidRPr="004162B2">
        <w:rPr>
          <w:rFonts w:ascii="Arial" w:hAnsi="Arial" w:cs="Arial"/>
          <w:sz w:val="22"/>
        </w:rPr>
        <w:t>Mugera</w:t>
      </w:r>
      <w:proofErr w:type="spellEnd"/>
      <w:r w:rsidRPr="004162B2">
        <w:rPr>
          <w:rFonts w:ascii="Arial" w:hAnsi="Arial" w:cs="Arial"/>
          <w:sz w:val="22"/>
        </w:rPr>
        <w:t xml:space="preserve">, A.W. and </w:t>
      </w:r>
      <w:proofErr w:type="spellStart"/>
      <w:r w:rsidRPr="004162B2">
        <w:rPr>
          <w:rFonts w:ascii="Arial" w:hAnsi="Arial" w:cs="Arial"/>
          <w:sz w:val="22"/>
        </w:rPr>
        <w:t>Schilizzi</w:t>
      </w:r>
      <w:proofErr w:type="spellEnd"/>
      <w:r w:rsidRPr="004162B2">
        <w:rPr>
          <w:rFonts w:ascii="Arial" w:hAnsi="Arial" w:cs="Arial"/>
          <w:sz w:val="22"/>
        </w:rPr>
        <w:t>, S. (2016) Living on the edge: Household vulnerability to food-insecurity in the Punjab, Pakistan. Food Policy, 64: 1–13. Doi: 10.1016/j.foodpol.2016.08.002.</w:t>
      </w:r>
    </w:p>
    <w:p w14:paraId="5D9BB568" w14:textId="77777777" w:rsidR="00135DDF" w:rsidRPr="004162B2" w:rsidRDefault="00135DDF" w:rsidP="00135DDF">
      <w:pPr>
        <w:spacing w:line="360" w:lineRule="auto"/>
        <w:ind w:left="720" w:hanging="720"/>
        <w:jc w:val="both"/>
        <w:rPr>
          <w:rFonts w:ascii="Arial" w:hAnsi="Arial" w:cs="Arial"/>
          <w:sz w:val="22"/>
        </w:rPr>
      </w:pPr>
      <w:proofErr w:type="spellStart"/>
      <w:r w:rsidRPr="004162B2">
        <w:rPr>
          <w:rFonts w:ascii="Arial" w:hAnsi="Arial" w:cs="Arial"/>
          <w:sz w:val="22"/>
        </w:rPr>
        <w:t>Birkenmaier</w:t>
      </w:r>
      <w:proofErr w:type="spellEnd"/>
      <w:r w:rsidRPr="004162B2">
        <w:rPr>
          <w:rFonts w:ascii="Arial" w:hAnsi="Arial" w:cs="Arial"/>
          <w:sz w:val="22"/>
        </w:rPr>
        <w:t xml:space="preserve">, J. and Fu, Q. (John) (2021) Bank Account Access Methods, Household Financial Well-Being, and Alternative Financial Services. Journal of Poverty, 27 (1): 33–59. doi:10.1080/10875549.2021.2010863. </w:t>
      </w:r>
    </w:p>
    <w:p w14:paraId="398B4633"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Breuer, A., Leininger, J., Malerba, D., &amp; Tosun, J. (2023, October). Integrated policymaking: Institutional designs for implementing the sustainable development goals (SDGs). World Development, 170, 106317. </w:t>
      </w:r>
      <w:hyperlink r:id="rId9" w:history="1">
        <w:r w:rsidRPr="004162B2">
          <w:rPr>
            <w:rStyle w:val="Hyperlink"/>
            <w:rFonts w:ascii="Arial" w:hAnsi="Arial" w:cs="Arial"/>
            <w:sz w:val="22"/>
          </w:rPr>
          <w:t>https://doi.org/10.1016/j.worlddev.2023.106317</w:t>
        </w:r>
      </w:hyperlink>
      <w:r w:rsidRPr="004162B2">
        <w:rPr>
          <w:rFonts w:ascii="Arial" w:hAnsi="Arial" w:cs="Arial"/>
          <w:sz w:val="22"/>
        </w:rPr>
        <w:t xml:space="preserve"> </w:t>
      </w:r>
    </w:p>
    <w:p w14:paraId="2F10F030"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Brissett, N. O. M. (2017, December 11). Sustainable Development Goals (SDGs) and the Caribbean: Unrealizable Promises? Progress in Development Studies, 18(1), 18–35. </w:t>
      </w:r>
      <w:hyperlink r:id="rId10" w:history="1">
        <w:r w:rsidRPr="004162B2">
          <w:rPr>
            <w:rStyle w:val="Hyperlink"/>
            <w:rFonts w:ascii="Arial" w:hAnsi="Arial" w:cs="Arial"/>
            <w:sz w:val="22"/>
          </w:rPr>
          <w:t>https://doi.org/10.1177/1464993417734440</w:t>
        </w:r>
      </w:hyperlink>
      <w:r w:rsidRPr="004162B2">
        <w:rPr>
          <w:rFonts w:ascii="Arial" w:hAnsi="Arial" w:cs="Arial"/>
          <w:sz w:val="22"/>
        </w:rPr>
        <w:t xml:space="preserve"> </w:t>
      </w:r>
    </w:p>
    <w:p w14:paraId="37DB3D3A"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Bussell, H. (2022) Though Virtual Reference Services Have Increased, They Face Challenges and Opportunities in the Wake of COVID-19. </w:t>
      </w:r>
      <w:r w:rsidRPr="004162B2">
        <w:rPr>
          <w:rFonts w:ascii="Arial" w:hAnsi="Arial" w:cs="Arial"/>
          <w:i/>
          <w:iCs/>
          <w:sz w:val="22"/>
        </w:rPr>
        <w:t>Evidence-Based Library and Information Practice</w:t>
      </w:r>
      <w:r w:rsidRPr="004162B2">
        <w:rPr>
          <w:rFonts w:ascii="Arial" w:hAnsi="Arial" w:cs="Arial"/>
          <w:sz w:val="22"/>
        </w:rPr>
        <w:t xml:space="preserve">, 17 (1): 134–136. doi:10.18438/eblip30082. </w:t>
      </w:r>
    </w:p>
    <w:p w14:paraId="70C8A11A"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Butler, C.D. (2015) Revised hunger estimates accelerate apparent progress towards the MDG hunger target. Global Food Security, 5: 19–24. Doi: 10.1016/j.gfs.2015.04.002.</w:t>
      </w:r>
    </w:p>
    <w:p w14:paraId="5BD943C7" w14:textId="77777777" w:rsidR="00135DDF" w:rsidRPr="004162B2" w:rsidRDefault="00135DDF" w:rsidP="00135DDF">
      <w:pPr>
        <w:spacing w:line="360" w:lineRule="auto"/>
        <w:ind w:left="720" w:hanging="720"/>
        <w:jc w:val="both"/>
        <w:rPr>
          <w:rFonts w:ascii="Arial" w:hAnsi="Arial" w:cs="Arial"/>
          <w:sz w:val="22"/>
        </w:rPr>
      </w:pPr>
      <w:proofErr w:type="spellStart"/>
      <w:r w:rsidRPr="004162B2">
        <w:rPr>
          <w:rFonts w:ascii="Arial" w:hAnsi="Arial" w:cs="Arial"/>
          <w:sz w:val="22"/>
        </w:rPr>
        <w:t>Byerlee</w:t>
      </w:r>
      <w:proofErr w:type="spellEnd"/>
      <w:r w:rsidRPr="004162B2">
        <w:rPr>
          <w:rFonts w:ascii="Arial" w:hAnsi="Arial" w:cs="Arial"/>
          <w:sz w:val="22"/>
        </w:rPr>
        <w:t xml:space="preserve">, D. and Fanzo, J. (2019) The SDG of zero hunger 75 years on Turning full circle on agriculture and nutrition. Global Food Security, 21: 52–59. Doi: 10.1016/j.gfs.2019.06.002. </w:t>
      </w:r>
    </w:p>
    <w:p w14:paraId="390A0156"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Chin, T., and Rickard, N.S. (2014) Beyond positive and negative trait affect: Flourishing through music engagement. Psychology of Well-Being, 4 (1). doi:10.1186/s13612-014-0025-4.</w:t>
      </w:r>
    </w:p>
    <w:p w14:paraId="4FE20420" w14:textId="77777777" w:rsidR="00135DDF" w:rsidRPr="004162B2" w:rsidRDefault="00135DDF" w:rsidP="00135DDF">
      <w:pPr>
        <w:spacing w:line="360" w:lineRule="auto"/>
        <w:ind w:left="720" w:hanging="720"/>
        <w:jc w:val="both"/>
        <w:rPr>
          <w:rFonts w:ascii="Arial" w:hAnsi="Arial" w:cs="Arial"/>
          <w:sz w:val="22"/>
        </w:rPr>
      </w:pPr>
      <w:proofErr w:type="spellStart"/>
      <w:r w:rsidRPr="004162B2">
        <w:rPr>
          <w:rFonts w:ascii="Arial" w:hAnsi="Arial" w:cs="Arial"/>
          <w:sz w:val="22"/>
        </w:rPr>
        <w:t>Dafevwakpo</w:t>
      </w:r>
      <w:proofErr w:type="spellEnd"/>
      <w:r w:rsidRPr="004162B2">
        <w:rPr>
          <w:rFonts w:ascii="Arial" w:hAnsi="Arial" w:cs="Arial"/>
          <w:sz w:val="22"/>
        </w:rPr>
        <w:t xml:space="preserve">, O. J., Hope Amadi, A., &amp; Bello Anka, R. (2023, January 30). Realization of United Nations’ Sustainable Development Goals (SDGs): The Project Manager’s role. International Journal of Social Science and Human Research, 06(01). </w:t>
      </w:r>
      <w:hyperlink r:id="rId11" w:history="1">
        <w:r w:rsidRPr="004162B2">
          <w:rPr>
            <w:rStyle w:val="Hyperlink"/>
            <w:rFonts w:ascii="Arial" w:hAnsi="Arial" w:cs="Arial"/>
            <w:sz w:val="22"/>
          </w:rPr>
          <w:t>https://doi.org/10.47191/ijsshr/v6-i1-86</w:t>
        </w:r>
      </w:hyperlink>
      <w:r w:rsidRPr="004162B2">
        <w:rPr>
          <w:rFonts w:ascii="Arial" w:hAnsi="Arial" w:cs="Arial"/>
          <w:sz w:val="22"/>
        </w:rPr>
        <w:t xml:space="preserve"> </w:t>
      </w:r>
    </w:p>
    <w:p w14:paraId="2CC52F32"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Deveci, M., Brito-Parada, P. R., </w:t>
      </w:r>
      <w:proofErr w:type="spellStart"/>
      <w:r w:rsidRPr="004162B2">
        <w:rPr>
          <w:rFonts w:ascii="Arial" w:hAnsi="Arial" w:cs="Arial"/>
          <w:sz w:val="22"/>
        </w:rPr>
        <w:t>Pamucar</w:t>
      </w:r>
      <w:proofErr w:type="spellEnd"/>
      <w:r w:rsidRPr="004162B2">
        <w:rPr>
          <w:rFonts w:ascii="Arial" w:hAnsi="Arial" w:cs="Arial"/>
          <w:sz w:val="22"/>
        </w:rPr>
        <w:t xml:space="preserve">, D., &amp; </w:t>
      </w:r>
      <w:proofErr w:type="spellStart"/>
      <w:r w:rsidRPr="004162B2">
        <w:rPr>
          <w:rFonts w:ascii="Arial" w:hAnsi="Arial" w:cs="Arial"/>
          <w:sz w:val="22"/>
        </w:rPr>
        <w:t>Varouchakis</w:t>
      </w:r>
      <w:proofErr w:type="spellEnd"/>
      <w:r w:rsidRPr="004162B2">
        <w:rPr>
          <w:rFonts w:ascii="Arial" w:hAnsi="Arial" w:cs="Arial"/>
          <w:sz w:val="22"/>
        </w:rPr>
        <w:t xml:space="preserve">, E. A. (2022, December). Rough sets based Ordinal Priority Approach to evaluate sustainable development goals (SDGs) for sustainable mining. Resources Policy, 79, 103049. </w:t>
      </w:r>
      <w:hyperlink r:id="rId12" w:history="1">
        <w:r w:rsidRPr="004162B2">
          <w:rPr>
            <w:rStyle w:val="Hyperlink"/>
            <w:rFonts w:ascii="Arial" w:hAnsi="Arial" w:cs="Arial"/>
            <w:sz w:val="22"/>
          </w:rPr>
          <w:t>https://doi.org/10.1016/j.resourpol.2022.103049</w:t>
        </w:r>
      </w:hyperlink>
      <w:r w:rsidRPr="004162B2">
        <w:rPr>
          <w:rFonts w:ascii="Arial" w:hAnsi="Arial" w:cs="Arial"/>
          <w:sz w:val="22"/>
        </w:rPr>
        <w:t xml:space="preserve"> </w:t>
      </w:r>
    </w:p>
    <w:p w14:paraId="23B05666"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lastRenderedPageBreak/>
        <w:t>Domènech, L. (2015) Improving irrigation access to combat food insecurity and undernutrition: A review. Global Food Security, 6: 24–33. Doi: 10.1016/j.gfs.2015.09.001.</w:t>
      </w:r>
    </w:p>
    <w:p w14:paraId="3EEF5A9A"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Flynn, M.M., George, P. and Schiffman, F.J. (2019) Improving Food Security in Medical Students Using a Cooking Program. Journal of Hunger &amp; Environmental Nutrition, 16 (2): 246–254. doi:10.1080/19320248.2019.1693470.</w:t>
      </w:r>
    </w:p>
    <w:p w14:paraId="7F738DB9"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Gehringer, T. (2020, September 22). Corporate Foundations as Partnership Brokers in Supporting the United Nations’ Sustainable Development Goals (SDGs). Sustainability, 12(18), 7820. </w:t>
      </w:r>
      <w:hyperlink r:id="rId13" w:history="1">
        <w:r w:rsidRPr="004162B2">
          <w:rPr>
            <w:rStyle w:val="Hyperlink"/>
            <w:rFonts w:ascii="Arial" w:hAnsi="Arial" w:cs="Arial"/>
            <w:sz w:val="22"/>
          </w:rPr>
          <w:t>https://doi.org/10.3390/su12187820</w:t>
        </w:r>
      </w:hyperlink>
      <w:r w:rsidRPr="004162B2">
        <w:rPr>
          <w:rFonts w:ascii="Arial" w:hAnsi="Arial" w:cs="Arial"/>
          <w:sz w:val="22"/>
        </w:rPr>
        <w:t xml:space="preserve"> </w:t>
      </w:r>
    </w:p>
    <w:p w14:paraId="0F10F2DD"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Haines, T., Longhurst, J., &amp; Bonnett, S. (2019, April 24). A baseline assessment of the United Nations Sustainable Development Goals (SDGs) within European Student Union web environments. Meliora: International Journal of Student Sustainability Research, 2(1). </w:t>
      </w:r>
      <w:hyperlink r:id="rId14" w:history="1">
        <w:r w:rsidRPr="004162B2">
          <w:rPr>
            <w:rStyle w:val="Hyperlink"/>
            <w:rFonts w:ascii="Arial" w:hAnsi="Arial" w:cs="Arial"/>
            <w:sz w:val="22"/>
          </w:rPr>
          <w:t>https://doi.org/10.22493/meliora.2.1.0014</w:t>
        </w:r>
      </w:hyperlink>
      <w:r w:rsidRPr="004162B2">
        <w:rPr>
          <w:rFonts w:ascii="Arial" w:hAnsi="Arial" w:cs="Arial"/>
          <w:sz w:val="22"/>
        </w:rPr>
        <w:t xml:space="preserve"> </w:t>
      </w:r>
    </w:p>
    <w:p w14:paraId="1841B71E"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Ignowski, L., Belton, B., Tran, N., et al. (2023) Dietary inadequacy in Tanzania is linked to the rising cost of nutritious foods and consumption of food away from home. Global Food Security, 37: 100679. Doi: 10.1016/j.gfs.2023.100679.</w:t>
      </w:r>
    </w:p>
    <w:p w14:paraId="2C1AC188"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Kok, D.Q.R. and Woo, W.T. (2021) Saving Lives and Livelihoods in the COVID-19 Pandemic: What Have We Learned, particularly from Asia? </w:t>
      </w:r>
      <w:r w:rsidRPr="004162B2">
        <w:rPr>
          <w:rFonts w:ascii="Arial" w:hAnsi="Arial" w:cs="Arial"/>
          <w:i/>
          <w:iCs/>
          <w:sz w:val="22"/>
        </w:rPr>
        <w:t>Asian Economic Papers</w:t>
      </w:r>
      <w:r w:rsidRPr="004162B2">
        <w:rPr>
          <w:rFonts w:ascii="Arial" w:hAnsi="Arial" w:cs="Arial"/>
          <w:sz w:val="22"/>
        </w:rPr>
        <w:t>, 20 (1): 1–29. doi:10.1162/asep_a_00833.</w:t>
      </w:r>
    </w:p>
    <w:p w14:paraId="197F4AC3"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Kwon, Y. (2019, June 30). Sustainable Development Goals (SDGs) and Korea’s Challenges: Implementing K-SDGs for Global Partnerships. Journal of Global Politics, 12(1), 99–131. </w:t>
      </w:r>
      <w:hyperlink r:id="rId15" w:history="1">
        <w:r w:rsidRPr="004162B2">
          <w:rPr>
            <w:rStyle w:val="Hyperlink"/>
            <w:rFonts w:ascii="Arial" w:hAnsi="Arial" w:cs="Arial"/>
            <w:sz w:val="22"/>
          </w:rPr>
          <w:t>https://doi.org/10.35773/jgp.2019.12.1.99</w:t>
        </w:r>
      </w:hyperlink>
      <w:r w:rsidRPr="004162B2">
        <w:rPr>
          <w:rFonts w:ascii="Arial" w:hAnsi="Arial" w:cs="Arial"/>
          <w:sz w:val="22"/>
        </w:rPr>
        <w:t xml:space="preserve"> </w:t>
      </w:r>
    </w:p>
    <w:p w14:paraId="4363D1D6"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LB, L. (2019) Beyond Availability and Access: The Importance of Monitoring Resilience and Risk of Food Insecurity. Food Science &amp; Nutrition Technology, 4 (5): 1–9. doi:10.23880/fsnt-16000195.</w:t>
      </w:r>
    </w:p>
    <w:p w14:paraId="6775E504"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Menne, B. (2017, October 20). The United Nations Sustainable Development Goals-SDGs: the WHO European road map on the implementation of the SDGs and global progress to-date. European Journal of Public Health, 27(suppl_3). </w:t>
      </w:r>
      <w:hyperlink r:id="rId16" w:history="1">
        <w:r w:rsidRPr="004162B2">
          <w:rPr>
            <w:rStyle w:val="Hyperlink"/>
            <w:rFonts w:ascii="Arial" w:hAnsi="Arial" w:cs="Arial"/>
            <w:sz w:val="22"/>
          </w:rPr>
          <w:t>https://doi.org/10.1093/eurpub/ckx187.521</w:t>
        </w:r>
      </w:hyperlink>
      <w:r w:rsidRPr="004162B2">
        <w:rPr>
          <w:rFonts w:ascii="Arial" w:hAnsi="Arial" w:cs="Arial"/>
          <w:sz w:val="22"/>
        </w:rPr>
        <w:t xml:space="preserve"> </w:t>
      </w:r>
    </w:p>
    <w:p w14:paraId="30DFC855"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NHS Estates, (no date) Sustainable Development in the NHS. Available at: </w:t>
      </w:r>
      <w:hyperlink r:id="rId17" w:history="1">
        <w:r w:rsidRPr="004162B2">
          <w:rPr>
            <w:rStyle w:val="Hyperlink"/>
            <w:rFonts w:ascii="Arial" w:hAnsi="Arial" w:cs="Arial"/>
            <w:sz w:val="22"/>
          </w:rPr>
          <w:t>https://assets.publishing.service.gov.uk/media/5a7ad4c4e5274a34770e76b8/Sustainable_Development_in_the_NHS.pdf</w:t>
        </w:r>
      </w:hyperlink>
      <w:r w:rsidRPr="004162B2">
        <w:rPr>
          <w:rFonts w:ascii="Arial" w:hAnsi="Arial" w:cs="Arial"/>
          <w:sz w:val="22"/>
        </w:rPr>
        <w:t xml:space="preserve"> (Accessed: 21 November 2023)</w:t>
      </w:r>
    </w:p>
    <w:p w14:paraId="141544B7"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Nord, M. and Coleman-Jensen, A. (2014) Improving Food Security Classification of Households with Children. Journal of Hunger &amp; Environmental Nutrition, 9 (3): 318–333. doi:10.1080/19320248.2014.898174.</w:t>
      </w:r>
    </w:p>
    <w:p w14:paraId="0EF9E02C"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O’Connor, S. and Cavanagh, M. (2013) The coaching ripple effect: The effects of developmental coaching on wellbeing across organizational networks. Psychology of Well-Being: Theory, Research and Practice, 3 (1): 2. doi:10.1186/2211-1522-3-2.</w:t>
      </w:r>
    </w:p>
    <w:p w14:paraId="2319BA99"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lastRenderedPageBreak/>
        <w:t>Osorio, A.E., Corradini, M.G. and Williams, J.D. (2013) Remediating food deserts, food swamps, and food brownfields: helping the poor access nutritious, safe, and affordable food. AMS Review, 3 (4): 217–231. doi:10.1007/s13162-013-0049-6.</w:t>
      </w:r>
    </w:p>
    <w:p w14:paraId="2D18456B"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Pontin, E., </w:t>
      </w:r>
      <w:proofErr w:type="spellStart"/>
      <w:r w:rsidRPr="004162B2">
        <w:rPr>
          <w:rFonts w:ascii="Arial" w:hAnsi="Arial" w:cs="Arial"/>
          <w:sz w:val="22"/>
        </w:rPr>
        <w:t>Schwannauer</w:t>
      </w:r>
      <w:proofErr w:type="spellEnd"/>
      <w:r w:rsidRPr="004162B2">
        <w:rPr>
          <w:rFonts w:ascii="Arial" w:hAnsi="Arial" w:cs="Arial"/>
          <w:sz w:val="22"/>
        </w:rPr>
        <w:t>, M., Tai, S., et al. (2013) A UK validation of a general measure of subjective well-being: the modified BBC subjective well-being scale (BBC-SWB). Health and Quality of Life Outcomes, 11 (1): 150. doi:10.1186/1477-7525-11-150.</w:t>
      </w:r>
    </w:p>
    <w:p w14:paraId="172BD870"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Said, M. Z., &amp; Ahmad, M. Z. (2021, December 26). Pedagogy for Sustainable Development among Geography Teachers Towards Implementing Sustainable Development Goals (SDGs). Journal Pendidikan </w:t>
      </w:r>
      <w:proofErr w:type="spellStart"/>
      <w:r w:rsidRPr="004162B2">
        <w:rPr>
          <w:rFonts w:ascii="Arial" w:hAnsi="Arial" w:cs="Arial"/>
          <w:sz w:val="22"/>
        </w:rPr>
        <w:t>Geosfer</w:t>
      </w:r>
      <w:proofErr w:type="spellEnd"/>
      <w:r w:rsidRPr="004162B2">
        <w:rPr>
          <w:rFonts w:ascii="Arial" w:hAnsi="Arial" w:cs="Arial"/>
          <w:sz w:val="22"/>
        </w:rPr>
        <w:t xml:space="preserve">, 6(2), 134–142. </w:t>
      </w:r>
      <w:hyperlink r:id="rId18" w:history="1">
        <w:r w:rsidRPr="004162B2">
          <w:rPr>
            <w:rStyle w:val="Hyperlink"/>
            <w:rFonts w:ascii="Arial" w:hAnsi="Arial" w:cs="Arial"/>
            <w:sz w:val="22"/>
          </w:rPr>
          <w:t>https://doi.org/10.24815/jpg.v6i2.23651</w:t>
        </w:r>
      </w:hyperlink>
      <w:r w:rsidRPr="004162B2">
        <w:rPr>
          <w:rFonts w:ascii="Arial" w:hAnsi="Arial" w:cs="Arial"/>
          <w:sz w:val="22"/>
        </w:rPr>
        <w:t xml:space="preserve"> </w:t>
      </w:r>
    </w:p>
    <w:p w14:paraId="081B0DDE"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Schmeiser, M.D. and Hogarth, J.M. (2013) Good Advice, Good Outcomes? What Financial Advice-Seeking Relates to Self-Perceived Financial Well-Being. SSRN Electronic Journal. doi:10.2139/ssrn.2261707.</w:t>
      </w:r>
    </w:p>
    <w:p w14:paraId="10EFB493"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Sharma, N. and Anderson, D. (2020) Covid-19: pandemic healthcare centers should have already existed. </w:t>
      </w:r>
      <w:r w:rsidRPr="004162B2">
        <w:rPr>
          <w:rFonts w:ascii="Arial" w:hAnsi="Arial" w:cs="Arial"/>
          <w:i/>
          <w:iCs/>
          <w:sz w:val="22"/>
        </w:rPr>
        <w:t>BMJ</w:t>
      </w:r>
      <w:r w:rsidRPr="004162B2">
        <w:rPr>
          <w:rFonts w:ascii="Arial" w:hAnsi="Arial" w:cs="Arial"/>
          <w:sz w:val="22"/>
        </w:rPr>
        <w:t>, p. m1700. doi:10.1136/bmj.m1700.</w:t>
      </w:r>
    </w:p>
    <w:p w14:paraId="56EF2459"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Taylor, L. (2021) Covid-19: 1.5 million children have been orphaned by pandemic, study estimates. </w:t>
      </w:r>
      <w:r w:rsidRPr="004162B2">
        <w:rPr>
          <w:rFonts w:ascii="Arial" w:hAnsi="Arial" w:cs="Arial"/>
          <w:i/>
          <w:iCs/>
          <w:sz w:val="22"/>
        </w:rPr>
        <w:t>BMJ</w:t>
      </w:r>
      <w:r w:rsidRPr="004162B2">
        <w:rPr>
          <w:rFonts w:ascii="Arial" w:hAnsi="Arial" w:cs="Arial"/>
          <w:sz w:val="22"/>
        </w:rPr>
        <w:t>, p. n1871. doi:10.1136/</w:t>
      </w:r>
      <w:proofErr w:type="spellStart"/>
      <w:r w:rsidRPr="004162B2">
        <w:rPr>
          <w:rFonts w:ascii="Arial" w:hAnsi="Arial" w:cs="Arial"/>
          <w:sz w:val="22"/>
        </w:rPr>
        <w:t>bmj</w:t>
      </w:r>
      <w:proofErr w:type="spellEnd"/>
      <w:r w:rsidRPr="004162B2">
        <w:rPr>
          <w:rFonts w:ascii="Arial" w:hAnsi="Arial" w:cs="Arial"/>
          <w:sz w:val="22"/>
        </w:rPr>
        <w:t>. n1871.</w:t>
      </w:r>
    </w:p>
    <w:p w14:paraId="2F5245F8"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UK Parliament (no date) </w:t>
      </w:r>
      <w:r w:rsidRPr="004162B2">
        <w:rPr>
          <w:rFonts w:ascii="Arial" w:hAnsi="Arial" w:cs="Arial"/>
          <w:i/>
          <w:iCs/>
          <w:sz w:val="22"/>
        </w:rPr>
        <w:t xml:space="preserve">Extreme Poverty and the Sustainable Development Goals: Government Response to the Committee’s Fifth Report of Session 2022–23. </w:t>
      </w:r>
      <w:r w:rsidRPr="004162B2">
        <w:rPr>
          <w:rFonts w:ascii="Arial" w:hAnsi="Arial" w:cs="Arial"/>
          <w:sz w:val="22"/>
        </w:rPr>
        <w:t xml:space="preserve">Available at: </w:t>
      </w:r>
      <w:hyperlink r:id="rId19" w:history="1">
        <w:r w:rsidRPr="004162B2">
          <w:rPr>
            <w:rStyle w:val="Hyperlink"/>
            <w:rFonts w:ascii="Arial" w:hAnsi="Arial" w:cs="Arial"/>
            <w:sz w:val="22"/>
          </w:rPr>
          <w:t>https://publications.parliament.uk/pa/cm5803/cmselect/cmintdev/1177/report.html</w:t>
        </w:r>
      </w:hyperlink>
      <w:r w:rsidRPr="004162B2">
        <w:rPr>
          <w:rFonts w:ascii="Arial" w:hAnsi="Arial" w:cs="Arial"/>
          <w:sz w:val="22"/>
        </w:rPr>
        <w:t xml:space="preserve"> (Accessed: 21 November 2023)</w:t>
      </w:r>
    </w:p>
    <w:p w14:paraId="02531A8E"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United Nations (no date) </w:t>
      </w:r>
      <w:r w:rsidRPr="004162B2">
        <w:rPr>
          <w:rFonts w:ascii="Arial" w:hAnsi="Arial" w:cs="Arial"/>
          <w:i/>
          <w:iCs/>
          <w:sz w:val="22"/>
        </w:rPr>
        <w:t xml:space="preserve">Peace, dignity, and equality on a healthy planet. </w:t>
      </w:r>
      <w:r w:rsidRPr="004162B2">
        <w:rPr>
          <w:rFonts w:ascii="Arial" w:hAnsi="Arial" w:cs="Arial"/>
          <w:sz w:val="22"/>
        </w:rPr>
        <w:t xml:space="preserve">Available at: </w:t>
      </w:r>
      <w:hyperlink r:id="rId20" w:history="1">
        <w:r w:rsidRPr="004162B2">
          <w:rPr>
            <w:rStyle w:val="Hyperlink"/>
            <w:rFonts w:ascii="Arial" w:hAnsi="Arial" w:cs="Arial"/>
            <w:sz w:val="22"/>
          </w:rPr>
          <w:t>https://www.un.org/en/global-issues/ending-poverty</w:t>
        </w:r>
      </w:hyperlink>
      <w:r w:rsidRPr="004162B2">
        <w:rPr>
          <w:rFonts w:ascii="Arial" w:hAnsi="Arial" w:cs="Arial"/>
          <w:sz w:val="22"/>
        </w:rPr>
        <w:t xml:space="preserve"> (Accessed: Accessed: 21 November 2023)</w:t>
      </w:r>
    </w:p>
    <w:p w14:paraId="492E7CCC"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United Nations (no date) </w:t>
      </w:r>
      <w:r w:rsidRPr="004162B2">
        <w:rPr>
          <w:rFonts w:ascii="Arial" w:hAnsi="Arial" w:cs="Arial"/>
          <w:i/>
          <w:iCs/>
          <w:sz w:val="22"/>
        </w:rPr>
        <w:t xml:space="preserve">The 17 Goals. </w:t>
      </w:r>
      <w:r w:rsidRPr="004162B2">
        <w:rPr>
          <w:rFonts w:ascii="Arial" w:hAnsi="Arial" w:cs="Arial"/>
          <w:sz w:val="22"/>
        </w:rPr>
        <w:t xml:space="preserve">Available at: </w:t>
      </w:r>
      <w:hyperlink r:id="rId21" w:history="1">
        <w:r w:rsidRPr="004162B2">
          <w:rPr>
            <w:rStyle w:val="Hyperlink"/>
            <w:rFonts w:ascii="Arial" w:hAnsi="Arial" w:cs="Arial"/>
            <w:sz w:val="22"/>
          </w:rPr>
          <w:t>https://sdgs.un.org/goals</w:t>
        </w:r>
      </w:hyperlink>
      <w:r w:rsidRPr="004162B2">
        <w:rPr>
          <w:rFonts w:ascii="Arial" w:hAnsi="Arial" w:cs="Arial"/>
          <w:sz w:val="22"/>
        </w:rPr>
        <w:t xml:space="preserve">  (Accessed: 21 November 2023)</w:t>
      </w:r>
    </w:p>
    <w:p w14:paraId="17767555" w14:textId="77777777" w:rsidR="00135DDF" w:rsidRPr="004162B2" w:rsidRDefault="00135DDF" w:rsidP="00135DDF">
      <w:pPr>
        <w:spacing w:line="360" w:lineRule="auto"/>
        <w:ind w:left="720" w:hanging="720"/>
        <w:jc w:val="both"/>
        <w:rPr>
          <w:rFonts w:ascii="Arial" w:hAnsi="Arial" w:cs="Arial"/>
          <w:sz w:val="22"/>
        </w:rPr>
      </w:pPr>
      <w:proofErr w:type="spellStart"/>
      <w:r w:rsidRPr="004162B2">
        <w:rPr>
          <w:rFonts w:ascii="Arial" w:hAnsi="Arial" w:cs="Arial"/>
          <w:sz w:val="22"/>
        </w:rPr>
        <w:t>Vogliano</w:t>
      </w:r>
      <w:proofErr w:type="spellEnd"/>
      <w:r w:rsidRPr="004162B2">
        <w:rPr>
          <w:rFonts w:ascii="Arial" w:hAnsi="Arial" w:cs="Arial"/>
          <w:sz w:val="22"/>
        </w:rPr>
        <w:t>, C., Murray, L., Coad, J., et al. (2021) Progress towards SDG 2: Zero hunger in Melanesia – A state of data scoping review. Global Food Security, 29: 100519. Doi: 10.1016/j.gfs.2021.100519.</w:t>
      </w:r>
    </w:p>
    <w:p w14:paraId="367FF27B" w14:textId="77777777" w:rsidR="00135DDF" w:rsidRPr="004162B2" w:rsidRDefault="00135DDF" w:rsidP="00135DDF">
      <w:pPr>
        <w:spacing w:line="360" w:lineRule="auto"/>
        <w:ind w:left="720" w:hanging="720"/>
        <w:jc w:val="both"/>
        <w:rPr>
          <w:rFonts w:ascii="Arial" w:hAnsi="Arial" w:cs="Arial"/>
          <w:sz w:val="22"/>
        </w:rPr>
      </w:pPr>
      <w:proofErr w:type="spellStart"/>
      <w:r w:rsidRPr="004162B2">
        <w:rPr>
          <w:rFonts w:ascii="Arial" w:hAnsi="Arial" w:cs="Arial"/>
          <w:sz w:val="22"/>
        </w:rPr>
        <w:t>Wongnaa</w:t>
      </w:r>
      <w:proofErr w:type="spellEnd"/>
      <w:r w:rsidRPr="004162B2">
        <w:rPr>
          <w:rFonts w:ascii="Arial" w:hAnsi="Arial" w:cs="Arial"/>
          <w:sz w:val="22"/>
        </w:rPr>
        <w:t xml:space="preserve">, C.A. and </w:t>
      </w:r>
      <w:proofErr w:type="spellStart"/>
      <w:r w:rsidRPr="004162B2">
        <w:rPr>
          <w:rFonts w:ascii="Arial" w:hAnsi="Arial" w:cs="Arial"/>
          <w:sz w:val="22"/>
        </w:rPr>
        <w:t>Awunyo</w:t>
      </w:r>
      <w:proofErr w:type="spellEnd"/>
      <w:r w:rsidRPr="004162B2">
        <w:rPr>
          <w:rFonts w:ascii="Arial" w:hAnsi="Arial" w:cs="Arial"/>
          <w:sz w:val="22"/>
        </w:rPr>
        <w:t>-Vitor, D. (2018) Achieving sustainable development goals on no poverty and zero hunger: Does technical efficiency of Ghana’s maize farmers matter? Agriculture &amp; Food Security, 7 (1). doi:10.1186/s40066-018-0223-z.</w:t>
      </w:r>
    </w:p>
    <w:p w14:paraId="65861FCA" w14:textId="77777777" w:rsidR="00135DDF" w:rsidRPr="004162B2" w:rsidRDefault="00135DDF" w:rsidP="00135DDF">
      <w:pPr>
        <w:spacing w:line="360" w:lineRule="auto"/>
        <w:ind w:left="720" w:hanging="720"/>
        <w:jc w:val="both"/>
        <w:rPr>
          <w:rFonts w:ascii="Arial" w:hAnsi="Arial" w:cs="Arial"/>
          <w:sz w:val="22"/>
        </w:rPr>
      </w:pPr>
      <w:r w:rsidRPr="004162B2">
        <w:rPr>
          <w:rFonts w:ascii="Arial" w:hAnsi="Arial" w:cs="Arial"/>
          <w:sz w:val="22"/>
        </w:rPr>
        <w:t xml:space="preserve">World Health Organization (WHO), (no date) </w:t>
      </w:r>
      <w:r w:rsidRPr="004162B2">
        <w:rPr>
          <w:rFonts w:ascii="Arial" w:hAnsi="Arial" w:cs="Arial"/>
          <w:i/>
          <w:iCs/>
          <w:sz w:val="22"/>
        </w:rPr>
        <w:t>Sustainable Development Goals</w:t>
      </w:r>
      <w:r w:rsidRPr="004162B2">
        <w:rPr>
          <w:rFonts w:ascii="Arial" w:hAnsi="Arial" w:cs="Arial"/>
          <w:sz w:val="22"/>
        </w:rPr>
        <w:t xml:space="preserve">. Available at: </w:t>
      </w:r>
      <w:hyperlink r:id="rId22" w:anchor=":~:text=Section%20navigation&amp;text=The%20Sustainable%20Development%20Goals%20(SDGs,enjoy%20health%2C%20justice%20and%20prosperity" w:history="1">
        <w:r w:rsidRPr="004162B2">
          <w:rPr>
            <w:rStyle w:val="Hyperlink"/>
            <w:rFonts w:ascii="Arial" w:hAnsi="Arial" w:cs="Arial"/>
            <w:sz w:val="22"/>
          </w:rPr>
          <w:t>https://www.who.int/europe/about-us/our-work/sustainable-development-goals#:~:text=Section%20navigation&amp;text=The%20Sustainable%20Development%20Goals%20(SDGs,enjoy%20health%2C%20justice%20and%20prosperity</w:t>
        </w:r>
      </w:hyperlink>
      <w:r w:rsidRPr="004162B2">
        <w:rPr>
          <w:rFonts w:ascii="Arial" w:hAnsi="Arial" w:cs="Arial"/>
          <w:sz w:val="22"/>
        </w:rPr>
        <w:t>. (Accessed: 21 November 2023)</w:t>
      </w:r>
    </w:p>
    <w:p w14:paraId="5BD4E81E" w14:textId="657E70AE" w:rsidR="008D23B2" w:rsidRDefault="00135DDF" w:rsidP="00135DDF">
      <w:r w:rsidRPr="004162B2">
        <w:rPr>
          <w:rFonts w:ascii="Arial" w:hAnsi="Arial" w:cs="Arial"/>
          <w:sz w:val="22"/>
        </w:rPr>
        <w:lastRenderedPageBreak/>
        <w:t>Yadav, R. (2022) “Nanotech in Agriculture for Eliminating Global Hunger and Inadequacy of Nutrition Accomplishing United Nation’s Sustainable Development Goal.” Biomedical</w:t>
      </w:r>
    </w:p>
    <w:sectPr w:rsidR="008D23B2" w:rsidSect="00135DDF">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C8425" w14:textId="77777777" w:rsidR="00135DDF" w:rsidRDefault="00135DDF" w:rsidP="00135DDF">
      <w:pPr>
        <w:spacing w:line="240" w:lineRule="auto"/>
      </w:pPr>
      <w:r>
        <w:separator/>
      </w:r>
    </w:p>
  </w:endnote>
  <w:endnote w:type="continuationSeparator" w:id="0">
    <w:p w14:paraId="4E56702E" w14:textId="77777777" w:rsidR="00135DDF" w:rsidRDefault="00135DDF" w:rsidP="00135D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601805"/>
      <w:docPartObj>
        <w:docPartGallery w:val="Page Numbers (Bottom of Page)"/>
        <w:docPartUnique/>
      </w:docPartObj>
    </w:sdtPr>
    <w:sdtEndPr>
      <w:rPr>
        <w:noProof/>
      </w:rPr>
    </w:sdtEndPr>
    <w:sdtContent>
      <w:p w14:paraId="1F4C764E" w14:textId="268C6470" w:rsidR="00135DDF" w:rsidRDefault="00135D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26C821" w14:textId="77777777" w:rsidR="00135DDF" w:rsidRDefault="00135D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4B0B76" w14:textId="77777777" w:rsidR="00135DDF" w:rsidRDefault="00135DDF" w:rsidP="00135DDF">
      <w:pPr>
        <w:spacing w:line="240" w:lineRule="auto"/>
      </w:pPr>
      <w:r>
        <w:separator/>
      </w:r>
    </w:p>
  </w:footnote>
  <w:footnote w:type="continuationSeparator" w:id="0">
    <w:p w14:paraId="7CBABF09" w14:textId="77777777" w:rsidR="00135DDF" w:rsidRDefault="00135DDF" w:rsidP="00135D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DDF"/>
    <w:rsid w:val="00135DDF"/>
    <w:rsid w:val="005243A6"/>
    <w:rsid w:val="008D23B2"/>
    <w:rsid w:val="00C27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8A86B7"/>
  <w15:chartTrackingRefBased/>
  <w15:docId w15:val="{69D18806-B81C-4E48-98CE-CB5379D3B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DDF"/>
    <w:pPr>
      <w:spacing w:after="0" w:line="480" w:lineRule="auto"/>
    </w:pPr>
    <w:rPr>
      <w:rFonts w:ascii="Times New Roman" w:hAnsi="Times New Roman"/>
      <w:sz w:val="24"/>
      <w:lang w:val="en-US"/>
    </w:rPr>
  </w:style>
  <w:style w:type="paragraph" w:styleId="Heading1">
    <w:name w:val="heading 1"/>
    <w:basedOn w:val="Normal"/>
    <w:next w:val="Normal"/>
    <w:link w:val="Heading1Char"/>
    <w:uiPriority w:val="9"/>
    <w:qFormat/>
    <w:rsid w:val="00135DD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DDF"/>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135DDF"/>
    <w:rPr>
      <w:color w:val="0563C1" w:themeColor="hyperlink"/>
      <w:u w:val="single"/>
    </w:rPr>
  </w:style>
  <w:style w:type="paragraph" w:styleId="TOCHeading">
    <w:name w:val="TOC Heading"/>
    <w:basedOn w:val="Heading1"/>
    <w:next w:val="Normal"/>
    <w:uiPriority w:val="39"/>
    <w:unhideWhenUsed/>
    <w:qFormat/>
    <w:rsid w:val="00135DDF"/>
    <w:pPr>
      <w:spacing w:line="259" w:lineRule="auto"/>
      <w:outlineLvl w:val="9"/>
    </w:pPr>
  </w:style>
  <w:style w:type="paragraph" w:styleId="TOC1">
    <w:name w:val="toc 1"/>
    <w:basedOn w:val="Normal"/>
    <w:next w:val="Normal"/>
    <w:autoRedefine/>
    <w:uiPriority w:val="39"/>
    <w:unhideWhenUsed/>
    <w:rsid w:val="00135DDF"/>
    <w:pPr>
      <w:spacing w:after="100"/>
    </w:pPr>
  </w:style>
  <w:style w:type="paragraph" w:styleId="NoSpacing">
    <w:name w:val="No Spacing"/>
    <w:link w:val="NoSpacingChar"/>
    <w:uiPriority w:val="1"/>
    <w:qFormat/>
    <w:rsid w:val="00135D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5DDF"/>
    <w:rPr>
      <w:rFonts w:eastAsiaTheme="minorEastAsia"/>
      <w:lang w:val="en-US"/>
    </w:rPr>
  </w:style>
  <w:style w:type="paragraph" w:styleId="Header">
    <w:name w:val="header"/>
    <w:basedOn w:val="Normal"/>
    <w:link w:val="HeaderChar"/>
    <w:uiPriority w:val="99"/>
    <w:unhideWhenUsed/>
    <w:rsid w:val="00135DDF"/>
    <w:pPr>
      <w:tabs>
        <w:tab w:val="center" w:pos="4513"/>
        <w:tab w:val="right" w:pos="9026"/>
      </w:tabs>
      <w:spacing w:line="240" w:lineRule="auto"/>
    </w:pPr>
  </w:style>
  <w:style w:type="character" w:customStyle="1" w:styleId="HeaderChar">
    <w:name w:val="Header Char"/>
    <w:basedOn w:val="DefaultParagraphFont"/>
    <w:link w:val="Header"/>
    <w:uiPriority w:val="99"/>
    <w:rsid w:val="00135DDF"/>
    <w:rPr>
      <w:rFonts w:ascii="Times New Roman" w:hAnsi="Times New Roman"/>
      <w:sz w:val="24"/>
      <w:lang w:val="en-US"/>
    </w:rPr>
  </w:style>
  <w:style w:type="paragraph" w:styleId="Footer">
    <w:name w:val="footer"/>
    <w:basedOn w:val="Normal"/>
    <w:link w:val="FooterChar"/>
    <w:uiPriority w:val="99"/>
    <w:unhideWhenUsed/>
    <w:rsid w:val="00135DDF"/>
    <w:pPr>
      <w:tabs>
        <w:tab w:val="center" w:pos="4513"/>
        <w:tab w:val="right" w:pos="9026"/>
      </w:tabs>
      <w:spacing w:line="240" w:lineRule="auto"/>
    </w:pPr>
  </w:style>
  <w:style w:type="character" w:customStyle="1" w:styleId="FooterChar">
    <w:name w:val="Footer Char"/>
    <w:basedOn w:val="DefaultParagraphFont"/>
    <w:link w:val="Footer"/>
    <w:uiPriority w:val="99"/>
    <w:rsid w:val="00135DDF"/>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29/medtoday.v31i1.40323" TargetMode="External"/><Relationship Id="rId13" Type="http://schemas.openxmlformats.org/officeDocument/2006/relationships/hyperlink" Target="https://doi.org/10.3390/su12187820" TargetMode="External"/><Relationship Id="rId18" Type="http://schemas.openxmlformats.org/officeDocument/2006/relationships/hyperlink" Target="https://doi.org/10.24815/jpg.v6i2.2365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sdgs.un.org/goals" TargetMode="External"/><Relationship Id="rId7" Type="http://schemas.openxmlformats.org/officeDocument/2006/relationships/image" Target="media/image2.png"/><Relationship Id="rId12" Type="http://schemas.openxmlformats.org/officeDocument/2006/relationships/hyperlink" Target="https://doi.org/10.1016/j.resourpol.2022.103049" TargetMode="External"/><Relationship Id="rId17" Type="http://schemas.openxmlformats.org/officeDocument/2006/relationships/hyperlink" Target="https://assets.publishing.service.gov.uk/media/5a7ad4c4e5274a34770e76b8/Sustainable_Development_in_the_NHS.pdf" TargetMode="External"/><Relationship Id="rId25"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hyperlink" Target="https://doi.org/10.1093/eurpub/ckx187.521" TargetMode="External"/><Relationship Id="rId20" Type="http://schemas.openxmlformats.org/officeDocument/2006/relationships/hyperlink" Target="https://www.un.org/en/global-issues/ending-poverty"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47191/ijsshr/v6-i1-86"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35773/jgp.2019.12.1.99" TargetMode="External"/><Relationship Id="rId23" Type="http://schemas.openxmlformats.org/officeDocument/2006/relationships/footer" Target="footer1.xml"/><Relationship Id="rId10" Type="http://schemas.openxmlformats.org/officeDocument/2006/relationships/hyperlink" Target="https://doi.org/10.1177/1464993417734440" TargetMode="External"/><Relationship Id="rId19" Type="http://schemas.openxmlformats.org/officeDocument/2006/relationships/hyperlink" Target="https://publications.parliament.uk/pa/cm5803/cmselect/cmintdev/1177/report.html" TargetMode="External"/><Relationship Id="rId4" Type="http://schemas.openxmlformats.org/officeDocument/2006/relationships/footnotes" Target="footnotes.xml"/><Relationship Id="rId9" Type="http://schemas.openxmlformats.org/officeDocument/2006/relationships/hyperlink" Target="https://doi.org/10.1016/j.worlddev.2023.106317" TargetMode="External"/><Relationship Id="rId14" Type="http://schemas.openxmlformats.org/officeDocument/2006/relationships/hyperlink" Target="https://doi.org/10.22493/meliora.2.1.0014" TargetMode="External"/><Relationship Id="rId22" Type="http://schemas.openxmlformats.org/officeDocument/2006/relationships/hyperlink" Target="https://www.who.int/europe/about-us/our-work/sustainable-development-goal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724F9E9842A48CB9BE13495CEB89A27"/>
        <w:category>
          <w:name w:val="General"/>
          <w:gallery w:val="placeholder"/>
        </w:category>
        <w:types>
          <w:type w:val="bbPlcHdr"/>
        </w:types>
        <w:behaviors>
          <w:behavior w:val="content"/>
        </w:behaviors>
        <w:guid w:val="{8A33FF34-C03F-4A7A-966E-040541151B2C}"/>
      </w:docPartPr>
      <w:docPartBody>
        <w:p w:rsidR="00EB6C95" w:rsidRDefault="00EB6C95" w:rsidP="00EB6C95">
          <w:pPr>
            <w:pStyle w:val="0724F9E9842A48CB9BE13495CEB89A2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C95"/>
    <w:rsid w:val="00EB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24F9E9842A48CB9BE13495CEB89A27">
    <w:name w:val="0724F9E9842A48CB9BE13495CEB89A27"/>
    <w:rsid w:val="00EB6C95"/>
  </w:style>
  <w:style w:type="paragraph" w:customStyle="1" w:styleId="DAFBE8CDC1E54E248AB8A05851A8D866">
    <w:name w:val="DAFBE8CDC1E54E248AB8A05851A8D866"/>
    <w:rsid w:val="00EB6C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5381</Words>
  <Characters>33149</Characters>
  <Application>Microsoft Office Word</Application>
  <DocSecurity>0</DocSecurity>
  <Lines>489</Lines>
  <Paragraphs>88</Paragraphs>
  <ScaleCrop>false</ScaleCrop>
  <Company>MODULE CODE: BMHP6021_BIRM</Company>
  <LinksUpToDate>false</LinksUpToDate>
  <CharactersWithSpaces>38443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
  <dc:creator>Margareta Alice olteanu</dc:creator>
  <cp:keywords/>
  <dc:description/>
  <cp:lastModifiedBy>Margareta Alice olteanu</cp:lastModifiedBy>
  <cp:revision>1</cp:revision>
  <dcterms:created xsi:type="dcterms:W3CDTF">2023-11-26T20:01:00Z</dcterms:created>
  <dcterms:modified xsi:type="dcterms:W3CDTF">2023-11-26T20:07:00Z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8109bca8-ae58-4418-98f6-b968c03ff262</vt:lpwstr>
  </property>
</Properties>
</file>