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2FDDA5" w14:textId="77777777" w:rsidR="00004F9E" w:rsidRDefault="00000000">
      <w:pPr>
        <w:jc w:val="center"/>
      </w:pPr>
      <w:r>
        <w:rPr>
          <w:noProof/>
        </w:rPr>
        <w:drawing>
          <wp:inline distT="0" distB="0" distL="0" distR="0" wp14:anchorId="2ED13045" wp14:editId="2A358A21">
            <wp:extent cx="1965960" cy="78638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8"/>
                    <a:stretch>
                      <a:fillRect/>
                    </a:stretch>
                  </pic:blipFill>
                  <pic:spPr>
                    <a:xfrm>
                      <a:off x="0" y="0"/>
                      <a:ext cx="1965960" cy="786384"/>
                    </a:xfrm>
                    <a:prstGeom prst="rect">
                      <a:avLst/>
                    </a:prstGeom>
                  </pic:spPr>
                </pic:pic>
              </a:graphicData>
            </a:graphic>
          </wp:inline>
        </w:drawing>
      </w:r>
    </w:p>
    <w:p w14:paraId="6C56FCFF" w14:textId="77777777" w:rsidR="00004F9E" w:rsidRPr="00740F17" w:rsidRDefault="00004F9E">
      <w:pPr>
        <w:rPr>
          <w:rFonts w:ascii="Arial" w:hAnsi="Arial" w:cs="Arial"/>
        </w:rPr>
      </w:pPr>
    </w:p>
    <w:p w14:paraId="6034BEB7" w14:textId="77777777" w:rsidR="00004F9E" w:rsidRPr="00740F17" w:rsidRDefault="00000000">
      <w:pPr>
        <w:jc w:val="center"/>
        <w:rPr>
          <w:rFonts w:ascii="Arial" w:hAnsi="Arial" w:cs="Arial"/>
        </w:rPr>
      </w:pPr>
      <w:r w:rsidRPr="00740F17">
        <w:rPr>
          <w:rFonts w:ascii="Arial" w:hAnsi="Arial" w:cs="Arial"/>
          <w:b/>
          <w:sz w:val="28"/>
        </w:rPr>
        <w:t>MASTER OF BUSINESS ADMINISTRATION</w:t>
      </w:r>
    </w:p>
    <w:p w14:paraId="62856AE3" w14:textId="77777777" w:rsidR="00004F9E" w:rsidRPr="00740F17" w:rsidRDefault="00000000">
      <w:pPr>
        <w:jc w:val="center"/>
        <w:rPr>
          <w:rFonts w:ascii="Arial" w:hAnsi="Arial" w:cs="Arial"/>
        </w:rPr>
      </w:pPr>
      <w:r w:rsidRPr="00740F17">
        <w:rPr>
          <w:rFonts w:ascii="Arial" w:hAnsi="Arial" w:cs="Arial"/>
          <w:b/>
          <w:sz w:val="26"/>
        </w:rPr>
        <w:t>Human Capital Management (LCMB7023)</w:t>
      </w:r>
    </w:p>
    <w:p w14:paraId="336282B2" w14:textId="77777777" w:rsidR="00004F9E" w:rsidRPr="00740F17" w:rsidRDefault="00000000">
      <w:pPr>
        <w:jc w:val="center"/>
        <w:rPr>
          <w:rFonts w:ascii="Arial" w:hAnsi="Arial" w:cs="Arial"/>
        </w:rPr>
      </w:pPr>
      <w:r w:rsidRPr="00740F17">
        <w:rPr>
          <w:rFonts w:ascii="Arial" w:hAnsi="Arial" w:cs="Arial"/>
        </w:rPr>
        <w:t>Assessment Component 1: Individual Report</w:t>
      </w:r>
    </w:p>
    <w:p w14:paraId="653CC6A5" w14:textId="77777777" w:rsidR="00004F9E" w:rsidRPr="00740F17" w:rsidRDefault="00000000">
      <w:pPr>
        <w:jc w:val="center"/>
        <w:rPr>
          <w:rFonts w:ascii="Arial" w:hAnsi="Arial" w:cs="Arial"/>
        </w:rPr>
      </w:pPr>
      <w:r w:rsidRPr="00740F17">
        <w:rPr>
          <w:rFonts w:ascii="Arial" w:hAnsi="Arial" w:cs="Arial"/>
          <w:b/>
          <w:sz w:val="30"/>
        </w:rPr>
        <w:t>Task A: Designing Innovative Working Practices</w:t>
      </w:r>
    </w:p>
    <w:p w14:paraId="679D9BEE" w14:textId="442C7E31" w:rsidR="00004F9E" w:rsidRPr="00740F17" w:rsidRDefault="00C82B23">
      <w:pPr>
        <w:jc w:val="center"/>
        <w:rPr>
          <w:rFonts w:ascii="Arial" w:hAnsi="Arial" w:cs="Arial"/>
          <w:b/>
          <w:bCs/>
        </w:rPr>
      </w:pPr>
      <w:r w:rsidRPr="00740F17">
        <w:rPr>
          <w:rFonts w:ascii="Arial" w:hAnsi="Arial" w:cs="Arial"/>
          <w:b/>
          <w:bCs/>
        </w:rPr>
        <w:t>TOPIC: INNOVATING NEW WORKING PRACTICES AND BREEDING AN ENVIRONMENT WHERE TALENT MAY GROW</w:t>
      </w:r>
      <w:r w:rsidR="00740F17">
        <w:rPr>
          <w:rFonts w:ascii="Arial" w:hAnsi="Arial" w:cs="Arial"/>
          <w:b/>
          <w:bCs/>
        </w:rPr>
        <w:br/>
      </w:r>
    </w:p>
    <w:tbl>
      <w:tblPr>
        <w:tblW w:w="0" w:type="auto"/>
        <w:jc w:val="center"/>
        <w:tblLayout w:type="fixed"/>
        <w:tblLook w:val="04A0" w:firstRow="1" w:lastRow="0" w:firstColumn="1" w:lastColumn="0" w:noHBand="0" w:noVBand="1"/>
      </w:tblPr>
      <w:tblGrid>
        <w:gridCol w:w="2592"/>
        <w:gridCol w:w="6912"/>
      </w:tblGrid>
      <w:tr w:rsidR="00004F9E" w:rsidRPr="00740F17" w14:paraId="40865B46" w14:textId="77777777">
        <w:trPr>
          <w:jc w:val="center"/>
        </w:trPr>
        <w:tc>
          <w:tcPr>
            <w:tcW w:w="2592" w:type="dxa"/>
            <w:tcBorders>
              <w:top w:val="single" w:sz="4" w:space="0" w:color="B7B7B7"/>
              <w:left w:val="single" w:sz="4" w:space="0" w:color="B7B7B7"/>
              <w:bottom w:val="single" w:sz="4" w:space="0" w:color="B7B7B7"/>
              <w:right w:val="single" w:sz="4" w:space="0" w:color="B7B7B7"/>
            </w:tcBorders>
            <w:vAlign w:val="center"/>
          </w:tcPr>
          <w:p w14:paraId="2473DA32" w14:textId="77777777" w:rsidR="00004F9E" w:rsidRPr="00740F17" w:rsidRDefault="00000000">
            <w:pPr>
              <w:jc w:val="left"/>
              <w:rPr>
                <w:rFonts w:ascii="Arial" w:hAnsi="Arial" w:cs="Arial"/>
              </w:rPr>
            </w:pPr>
            <w:r w:rsidRPr="00740F17">
              <w:rPr>
                <w:rFonts w:ascii="Arial" w:hAnsi="Arial" w:cs="Arial"/>
                <w:b/>
              </w:rPr>
              <w:t>Lecturers</w:t>
            </w:r>
          </w:p>
        </w:tc>
        <w:tc>
          <w:tcPr>
            <w:tcW w:w="6912" w:type="dxa"/>
            <w:tcBorders>
              <w:top w:val="single" w:sz="4" w:space="0" w:color="B7B7B7"/>
              <w:left w:val="single" w:sz="4" w:space="0" w:color="B7B7B7"/>
              <w:bottom w:val="single" w:sz="4" w:space="0" w:color="B7B7B7"/>
              <w:right w:val="single" w:sz="4" w:space="0" w:color="B7B7B7"/>
            </w:tcBorders>
            <w:vAlign w:val="center"/>
          </w:tcPr>
          <w:p w14:paraId="0B8676C0" w14:textId="42D4C988" w:rsidR="00004F9E" w:rsidRPr="00740F17" w:rsidRDefault="00000000">
            <w:pPr>
              <w:jc w:val="left"/>
              <w:rPr>
                <w:rFonts w:ascii="Arial" w:hAnsi="Arial" w:cs="Arial"/>
              </w:rPr>
            </w:pPr>
            <w:r w:rsidRPr="00740F17">
              <w:rPr>
                <w:rFonts w:ascii="Arial" w:hAnsi="Arial" w:cs="Arial"/>
              </w:rPr>
              <w:t>Eno Maycock (Birmingham)</w:t>
            </w:r>
          </w:p>
        </w:tc>
      </w:tr>
      <w:tr w:rsidR="00004F9E" w:rsidRPr="00740F17" w14:paraId="5BD92AC2" w14:textId="77777777">
        <w:trPr>
          <w:jc w:val="center"/>
        </w:trPr>
        <w:tc>
          <w:tcPr>
            <w:tcW w:w="2592" w:type="dxa"/>
            <w:tcBorders>
              <w:top w:val="single" w:sz="4" w:space="0" w:color="B7B7B7"/>
              <w:left w:val="single" w:sz="4" w:space="0" w:color="B7B7B7"/>
              <w:bottom w:val="single" w:sz="4" w:space="0" w:color="B7B7B7"/>
              <w:right w:val="single" w:sz="4" w:space="0" w:color="B7B7B7"/>
            </w:tcBorders>
            <w:vAlign w:val="center"/>
          </w:tcPr>
          <w:p w14:paraId="7D6856C1" w14:textId="77777777" w:rsidR="00004F9E" w:rsidRPr="00740F17" w:rsidRDefault="00000000">
            <w:pPr>
              <w:jc w:val="left"/>
              <w:rPr>
                <w:rFonts w:ascii="Arial" w:hAnsi="Arial" w:cs="Arial"/>
              </w:rPr>
            </w:pPr>
            <w:r w:rsidRPr="00740F17">
              <w:rPr>
                <w:rFonts w:ascii="Arial" w:hAnsi="Arial" w:cs="Arial"/>
                <w:b/>
              </w:rPr>
              <w:t>Student Name</w:t>
            </w:r>
          </w:p>
        </w:tc>
        <w:tc>
          <w:tcPr>
            <w:tcW w:w="6912" w:type="dxa"/>
            <w:tcBorders>
              <w:top w:val="single" w:sz="4" w:space="0" w:color="B7B7B7"/>
              <w:left w:val="single" w:sz="4" w:space="0" w:color="B7B7B7"/>
              <w:bottom w:val="single" w:sz="4" w:space="0" w:color="B7B7B7"/>
              <w:right w:val="single" w:sz="4" w:space="0" w:color="B7B7B7"/>
            </w:tcBorders>
            <w:vAlign w:val="center"/>
          </w:tcPr>
          <w:p w14:paraId="26D53183" w14:textId="77777777" w:rsidR="00004F9E" w:rsidRPr="00740F17" w:rsidRDefault="00EA656E">
            <w:pPr>
              <w:jc w:val="left"/>
              <w:rPr>
                <w:rFonts w:ascii="Arial" w:hAnsi="Arial" w:cs="Arial"/>
              </w:rPr>
            </w:pPr>
            <w:r w:rsidRPr="00740F17">
              <w:rPr>
                <w:rFonts w:ascii="Arial" w:hAnsi="Arial" w:cs="Arial"/>
              </w:rPr>
              <w:t>Soyab ali</w:t>
            </w:r>
          </w:p>
        </w:tc>
      </w:tr>
      <w:tr w:rsidR="00004F9E" w:rsidRPr="00740F17" w14:paraId="229F8575" w14:textId="77777777">
        <w:trPr>
          <w:jc w:val="center"/>
        </w:trPr>
        <w:tc>
          <w:tcPr>
            <w:tcW w:w="2592" w:type="dxa"/>
            <w:tcBorders>
              <w:top w:val="single" w:sz="4" w:space="0" w:color="B7B7B7"/>
              <w:left w:val="single" w:sz="4" w:space="0" w:color="B7B7B7"/>
              <w:bottom w:val="single" w:sz="4" w:space="0" w:color="B7B7B7"/>
              <w:right w:val="single" w:sz="4" w:space="0" w:color="B7B7B7"/>
            </w:tcBorders>
            <w:vAlign w:val="center"/>
          </w:tcPr>
          <w:p w14:paraId="354A28D9" w14:textId="77777777" w:rsidR="00004F9E" w:rsidRPr="00740F17" w:rsidRDefault="00000000">
            <w:pPr>
              <w:jc w:val="left"/>
              <w:rPr>
                <w:rFonts w:ascii="Arial" w:hAnsi="Arial" w:cs="Arial"/>
              </w:rPr>
            </w:pPr>
            <w:r w:rsidRPr="00740F17">
              <w:rPr>
                <w:rFonts w:ascii="Arial" w:hAnsi="Arial" w:cs="Arial"/>
                <w:b/>
              </w:rPr>
              <w:t>Student ID</w:t>
            </w:r>
          </w:p>
        </w:tc>
        <w:tc>
          <w:tcPr>
            <w:tcW w:w="6912" w:type="dxa"/>
            <w:tcBorders>
              <w:top w:val="single" w:sz="4" w:space="0" w:color="B7B7B7"/>
              <w:left w:val="single" w:sz="4" w:space="0" w:color="B7B7B7"/>
              <w:bottom w:val="single" w:sz="4" w:space="0" w:color="B7B7B7"/>
              <w:right w:val="single" w:sz="4" w:space="0" w:color="B7B7B7"/>
            </w:tcBorders>
            <w:vAlign w:val="center"/>
          </w:tcPr>
          <w:p w14:paraId="790DD489" w14:textId="77777777" w:rsidR="00004F9E" w:rsidRPr="00740F17" w:rsidRDefault="00EA656E">
            <w:pPr>
              <w:jc w:val="left"/>
              <w:rPr>
                <w:rFonts w:ascii="Arial" w:hAnsi="Arial" w:cs="Arial"/>
              </w:rPr>
            </w:pPr>
            <w:r w:rsidRPr="00740F17">
              <w:rPr>
                <w:rFonts w:ascii="Arial" w:hAnsi="Arial" w:cs="Arial"/>
              </w:rPr>
              <w:t>2614515</w:t>
            </w:r>
          </w:p>
        </w:tc>
      </w:tr>
      <w:tr w:rsidR="00004F9E" w:rsidRPr="00740F17" w14:paraId="13F13DD3" w14:textId="77777777">
        <w:trPr>
          <w:jc w:val="center"/>
        </w:trPr>
        <w:tc>
          <w:tcPr>
            <w:tcW w:w="2592" w:type="dxa"/>
            <w:tcBorders>
              <w:top w:val="single" w:sz="4" w:space="0" w:color="B7B7B7"/>
              <w:left w:val="single" w:sz="4" w:space="0" w:color="B7B7B7"/>
              <w:bottom w:val="single" w:sz="4" w:space="0" w:color="B7B7B7"/>
              <w:right w:val="single" w:sz="4" w:space="0" w:color="B7B7B7"/>
            </w:tcBorders>
            <w:vAlign w:val="center"/>
          </w:tcPr>
          <w:p w14:paraId="5CCF8C61" w14:textId="77777777" w:rsidR="00004F9E" w:rsidRPr="00740F17" w:rsidRDefault="00000000">
            <w:pPr>
              <w:jc w:val="left"/>
              <w:rPr>
                <w:rFonts w:ascii="Arial" w:hAnsi="Arial" w:cs="Arial"/>
              </w:rPr>
            </w:pPr>
            <w:r w:rsidRPr="00740F17">
              <w:rPr>
                <w:rFonts w:ascii="Arial" w:hAnsi="Arial" w:cs="Arial"/>
                <w:b/>
              </w:rPr>
              <w:t>Word Count</w:t>
            </w:r>
          </w:p>
        </w:tc>
        <w:tc>
          <w:tcPr>
            <w:tcW w:w="6912" w:type="dxa"/>
            <w:tcBorders>
              <w:top w:val="single" w:sz="4" w:space="0" w:color="B7B7B7"/>
              <w:left w:val="single" w:sz="4" w:space="0" w:color="B7B7B7"/>
              <w:bottom w:val="single" w:sz="4" w:space="0" w:color="B7B7B7"/>
              <w:right w:val="single" w:sz="4" w:space="0" w:color="B7B7B7"/>
            </w:tcBorders>
            <w:vAlign w:val="center"/>
          </w:tcPr>
          <w:p w14:paraId="21494BE4" w14:textId="64FD97CD" w:rsidR="00807F53" w:rsidRPr="00740F17" w:rsidRDefault="00000000" w:rsidP="00CD1A3A">
            <w:pPr>
              <w:rPr>
                <w:rFonts w:ascii="Arial" w:hAnsi="Arial" w:cs="Arial"/>
              </w:rPr>
            </w:pPr>
            <w:r w:rsidRPr="00740F17">
              <w:rPr>
                <w:rFonts w:ascii="Arial" w:hAnsi="Arial" w:cs="Arial"/>
              </w:rPr>
              <w:t>2,</w:t>
            </w:r>
            <w:r w:rsidR="00CD1A3A" w:rsidRPr="00740F17">
              <w:rPr>
                <w:rFonts w:ascii="Arial" w:hAnsi="Arial" w:cs="Arial"/>
              </w:rPr>
              <w:t>500</w:t>
            </w:r>
            <w:r w:rsidRPr="00740F17">
              <w:rPr>
                <w:rFonts w:ascii="Arial" w:hAnsi="Arial" w:cs="Arial"/>
              </w:rPr>
              <w:t xml:space="preserve"> words</w:t>
            </w:r>
          </w:p>
        </w:tc>
      </w:tr>
      <w:tr w:rsidR="00004F9E" w:rsidRPr="00740F17" w14:paraId="7F71B61F" w14:textId="77777777">
        <w:trPr>
          <w:jc w:val="center"/>
        </w:trPr>
        <w:tc>
          <w:tcPr>
            <w:tcW w:w="2592" w:type="dxa"/>
            <w:tcBorders>
              <w:top w:val="single" w:sz="4" w:space="0" w:color="B7B7B7"/>
              <w:left w:val="single" w:sz="4" w:space="0" w:color="B7B7B7"/>
              <w:bottom w:val="single" w:sz="4" w:space="0" w:color="B7B7B7"/>
              <w:right w:val="single" w:sz="4" w:space="0" w:color="B7B7B7"/>
            </w:tcBorders>
            <w:vAlign w:val="center"/>
          </w:tcPr>
          <w:p w14:paraId="28DD92E2" w14:textId="77777777" w:rsidR="00004F9E" w:rsidRPr="00740F17" w:rsidRDefault="00000000">
            <w:pPr>
              <w:jc w:val="left"/>
              <w:rPr>
                <w:rFonts w:ascii="Arial" w:hAnsi="Arial" w:cs="Arial"/>
              </w:rPr>
            </w:pPr>
            <w:r w:rsidRPr="00740F17">
              <w:rPr>
                <w:rFonts w:ascii="Arial" w:hAnsi="Arial" w:cs="Arial"/>
                <w:b/>
              </w:rPr>
              <w:t>Submission Date</w:t>
            </w:r>
          </w:p>
        </w:tc>
        <w:tc>
          <w:tcPr>
            <w:tcW w:w="6912" w:type="dxa"/>
            <w:tcBorders>
              <w:top w:val="single" w:sz="4" w:space="0" w:color="B7B7B7"/>
              <w:left w:val="single" w:sz="4" w:space="0" w:color="B7B7B7"/>
              <w:bottom w:val="single" w:sz="4" w:space="0" w:color="B7B7B7"/>
              <w:right w:val="single" w:sz="4" w:space="0" w:color="B7B7B7"/>
            </w:tcBorders>
            <w:vAlign w:val="center"/>
          </w:tcPr>
          <w:p w14:paraId="5758A9AA" w14:textId="21E57A58" w:rsidR="00004F9E" w:rsidRPr="00740F17" w:rsidRDefault="00000000">
            <w:pPr>
              <w:jc w:val="left"/>
              <w:rPr>
                <w:rFonts w:ascii="Arial" w:hAnsi="Arial" w:cs="Arial"/>
              </w:rPr>
            </w:pPr>
            <w:r w:rsidRPr="00740F17">
              <w:rPr>
                <w:rFonts w:ascii="Arial" w:hAnsi="Arial" w:cs="Arial"/>
              </w:rPr>
              <w:t>1</w:t>
            </w:r>
            <w:r w:rsidR="00613B30">
              <w:rPr>
                <w:rFonts w:ascii="Arial" w:hAnsi="Arial" w:cs="Arial"/>
              </w:rPr>
              <w:t>4</w:t>
            </w:r>
            <w:r w:rsidRPr="00740F17">
              <w:rPr>
                <w:rFonts w:ascii="Arial" w:hAnsi="Arial" w:cs="Arial"/>
              </w:rPr>
              <w:t xml:space="preserve"> October 2026</w:t>
            </w:r>
          </w:p>
        </w:tc>
      </w:tr>
    </w:tbl>
    <w:p w14:paraId="4864BB85" w14:textId="77777777" w:rsidR="00004F9E" w:rsidRPr="00740F17" w:rsidRDefault="00000000">
      <w:pPr>
        <w:rPr>
          <w:rFonts w:ascii="Arial" w:hAnsi="Arial" w:cs="Arial"/>
        </w:rPr>
      </w:pPr>
      <w:r w:rsidRPr="00740F17">
        <w:rPr>
          <w:rFonts w:ascii="Arial" w:hAnsi="Arial" w:cs="Arial"/>
        </w:rPr>
        <w:br w:type="page"/>
      </w:r>
    </w:p>
    <w:sdt>
      <w:sdtPr>
        <w:rPr>
          <w:rFonts w:ascii="Arial" w:hAnsi="Arial" w:cs="Arial"/>
          <w:b/>
          <w:bCs/>
        </w:rPr>
        <w:id w:val="2023811491"/>
        <w:docPartObj>
          <w:docPartGallery w:val="Table of Contents"/>
          <w:docPartUnique/>
        </w:docPartObj>
      </w:sdtPr>
      <w:sdtEndPr>
        <w:rPr>
          <w:noProof/>
        </w:rPr>
      </w:sdtEndPr>
      <w:sdtContent>
        <w:p w14:paraId="5B7ACBAF" w14:textId="77777777" w:rsidR="00317861" w:rsidRPr="00740F17" w:rsidRDefault="00317861" w:rsidP="00317861">
          <w:pPr>
            <w:spacing w:after="200" w:line="276" w:lineRule="auto"/>
            <w:jc w:val="center"/>
            <w:rPr>
              <w:rFonts w:ascii="Arial" w:eastAsiaTheme="majorEastAsia" w:hAnsi="Arial" w:cs="Arial"/>
              <w:b/>
              <w:bCs/>
              <w:sz w:val="28"/>
              <w:szCs w:val="28"/>
            </w:rPr>
          </w:pPr>
          <w:r w:rsidRPr="00740F17">
            <w:rPr>
              <w:rFonts w:ascii="Arial" w:hAnsi="Arial" w:cs="Arial"/>
              <w:b/>
              <w:bCs/>
            </w:rPr>
            <w:t>Table of Contents</w:t>
          </w:r>
        </w:p>
        <w:p w14:paraId="33195B71" w14:textId="062C531B" w:rsidR="00CD1A3A" w:rsidRPr="00740F17" w:rsidRDefault="00317861">
          <w:pPr>
            <w:pStyle w:val="TOC1"/>
            <w:tabs>
              <w:tab w:val="right" w:leader="dot" w:pos="9016"/>
            </w:tabs>
            <w:rPr>
              <w:rFonts w:ascii="Arial" w:eastAsiaTheme="minorEastAsia" w:hAnsi="Arial" w:cs="Arial"/>
              <w:noProof/>
              <w:kern w:val="2"/>
              <w:szCs w:val="30"/>
              <w:lang w:val="en-IN" w:eastAsia="en-IN" w:bidi="bn-IN"/>
              <w14:ligatures w14:val="standardContextual"/>
            </w:rPr>
          </w:pPr>
          <w:r w:rsidRPr="00740F17">
            <w:rPr>
              <w:rFonts w:ascii="Arial" w:hAnsi="Arial" w:cs="Arial"/>
            </w:rPr>
            <w:fldChar w:fldCharType="begin"/>
          </w:r>
          <w:r w:rsidRPr="00740F17">
            <w:rPr>
              <w:rFonts w:ascii="Arial" w:hAnsi="Arial" w:cs="Arial"/>
            </w:rPr>
            <w:instrText xml:space="preserve"> TOC \o "1-3" \h \z \u </w:instrText>
          </w:r>
          <w:r w:rsidRPr="00740F17">
            <w:rPr>
              <w:rFonts w:ascii="Arial" w:hAnsi="Arial" w:cs="Arial"/>
            </w:rPr>
            <w:fldChar w:fldCharType="separate"/>
          </w:r>
          <w:hyperlink w:anchor="_Toc242735259" w:history="1">
            <w:r w:rsidR="00CD1A3A" w:rsidRPr="00740F17">
              <w:rPr>
                <w:rStyle w:val="Hyperlink"/>
                <w:rFonts w:ascii="Arial" w:hAnsi="Arial" w:cs="Arial"/>
                <w:noProof/>
              </w:rPr>
              <w:t>Task A: Innovative Working Practices</w:t>
            </w:r>
            <w:r w:rsidR="00CD1A3A" w:rsidRPr="00740F17">
              <w:rPr>
                <w:rFonts w:ascii="Arial" w:hAnsi="Arial" w:cs="Arial"/>
                <w:noProof/>
                <w:webHidden/>
              </w:rPr>
              <w:tab/>
            </w:r>
            <w:r w:rsidR="00CD1A3A" w:rsidRPr="00740F17">
              <w:rPr>
                <w:rFonts w:ascii="Arial" w:hAnsi="Arial" w:cs="Arial"/>
                <w:noProof/>
                <w:webHidden/>
              </w:rPr>
              <w:fldChar w:fldCharType="begin"/>
            </w:r>
            <w:r w:rsidR="00CD1A3A" w:rsidRPr="00740F17">
              <w:rPr>
                <w:rFonts w:ascii="Arial" w:hAnsi="Arial" w:cs="Arial"/>
                <w:noProof/>
                <w:webHidden/>
              </w:rPr>
              <w:instrText xml:space="preserve"> PAGEREF _Toc242735259 \h </w:instrText>
            </w:r>
            <w:r w:rsidR="00CD1A3A" w:rsidRPr="00740F17">
              <w:rPr>
                <w:rFonts w:ascii="Arial" w:hAnsi="Arial" w:cs="Arial"/>
                <w:noProof/>
                <w:webHidden/>
              </w:rPr>
            </w:r>
            <w:r w:rsidR="00CD1A3A" w:rsidRPr="00740F17">
              <w:rPr>
                <w:rFonts w:ascii="Arial" w:hAnsi="Arial" w:cs="Arial"/>
                <w:noProof/>
                <w:webHidden/>
              </w:rPr>
              <w:fldChar w:fldCharType="separate"/>
            </w:r>
            <w:r w:rsidR="00CD1A3A" w:rsidRPr="00740F17">
              <w:rPr>
                <w:rFonts w:ascii="Arial" w:hAnsi="Arial" w:cs="Arial"/>
                <w:noProof/>
                <w:webHidden/>
              </w:rPr>
              <w:t>3</w:t>
            </w:r>
            <w:r w:rsidR="00CD1A3A" w:rsidRPr="00740F17">
              <w:rPr>
                <w:rFonts w:ascii="Arial" w:hAnsi="Arial" w:cs="Arial"/>
                <w:noProof/>
                <w:webHidden/>
              </w:rPr>
              <w:fldChar w:fldCharType="end"/>
            </w:r>
          </w:hyperlink>
        </w:p>
        <w:p w14:paraId="6ED5C1EF" w14:textId="696DA947" w:rsidR="00CD1A3A" w:rsidRPr="00740F17" w:rsidRDefault="00CD1A3A">
          <w:pPr>
            <w:pStyle w:val="TOC2"/>
            <w:tabs>
              <w:tab w:val="right" w:leader="dot" w:pos="9016"/>
            </w:tabs>
            <w:rPr>
              <w:rFonts w:ascii="Arial" w:eastAsiaTheme="minorEastAsia" w:hAnsi="Arial" w:cs="Arial"/>
              <w:noProof/>
              <w:kern w:val="2"/>
              <w:szCs w:val="30"/>
              <w:lang w:val="en-IN" w:eastAsia="en-IN" w:bidi="bn-IN"/>
              <w14:ligatures w14:val="standardContextual"/>
            </w:rPr>
          </w:pPr>
          <w:hyperlink w:anchor="_Toc242735260" w:history="1">
            <w:r w:rsidRPr="00740F17">
              <w:rPr>
                <w:rStyle w:val="Hyperlink"/>
                <w:rFonts w:ascii="Arial" w:hAnsi="Arial" w:cs="Arial"/>
                <w:noProof/>
              </w:rPr>
              <w:t>A.1 Critical evaluation of traditional vs contemporary work design</w:t>
            </w:r>
            <w:r w:rsidRPr="00740F17">
              <w:rPr>
                <w:rFonts w:ascii="Arial" w:hAnsi="Arial" w:cs="Arial"/>
                <w:noProof/>
                <w:webHidden/>
              </w:rPr>
              <w:tab/>
            </w:r>
            <w:r w:rsidRPr="00740F17">
              <w:rPr>
                <w:rFonts w:ascii="Arial" w:hAnsi="Arial" w:cs="Arial"/>
                <w:noProof/>
                <w:webHidden/>
              </w:rPr>
              <w:fldChar w:fldCharType="begin"/>
            </w:r>
            <w:r w:rsidRPr="00740F17">
              <w:rPr>
                <w:rFonts w:ascii="Arial" w:hAnsi="Arial" w:cs="Arial"/>
                <w:noProof/>
                <w:webHidden/>
              </w:rPr>
              <w:instrText xml:space="preserve"> PAGEREF _Toc242735260 \h </w:instrText>
            </w:r>
            <w:r w:rsidRPr="00740F17">
              <w:rPr>
                <w:rFonts w:ascii="Arial" w:hAnsi="Arial" w:cs="Arial"/>
                <w:noProof/>
                <w:webHidden/>
              </w:rPr>
            </w:r>
            <w:r w:rsidRPr="00740F17">
              <w:rPr>
                <w:rFonts w:ascii="Arial" w:hAnsi="Arial" w:cs="Arial"/>
                <w:noProof/>
                <w:webHidden/>
              </w:rPr>
              <w:fldChar w:fldCharType="separate"/>
            </w:r>
            <w:r w:rsidRPr="00740F17">
              <w:rPr>
                <w:rFonts w:ascii="Arial" w:hAnsi="Arial" w:cs="Arial"/>
                <w:noProof/>
                <w:webHidden/>
              </w:rPr>
              <w:t>3</w:t>
            </w:r>
            <w:r w:rsidRPr="00740F17">
              <w:rPr>
                <w:rFonts w:ascii="Arial" w:hAnsi="Arial" w:cs="Arial"/>
                <w:noProof/>
                <w:webHidden/>
              </w:rPr>
              <w:fldChar w:fldCharType="end"/>
            </w:r>
          </w:hyperlink>
        </w:p>
        <w:p w14:paraId="197DDD65" w14:textId="47DCFBB0" w:rsidR="00CD1A3A" w:rsidRPr="00740F17" w:rsidRDefault="00CD1A3A">
          <w:pPr>
            <w:pStyle w:val="TOC2"/>
            <w:tabs>
              <w:tab w:val="right" w:leader="dot" w:pos="9016"/>
            </w:tabs>
            <w:rPr>
              <w:rFonts w:ascii="Arial" w:eastAsiaTheme="minorEastAsia" w:hAnsi="Arial" w:cs="Arial"/>
              <w:noProof/>
              <w:kern w:val="2"/>
              <w:szCs w:val="30"/>
              <w:lang w:val="en-IN" w:eastAsia="en-IN" w:bidi="bn-IN"/>
              <w14:ligatures w14:val="standardContextual"/>
            </w:rPr>
          </w:pPr>
          <w:hyperlink w:anchor="_Toc242735261" w:history="1">
            <w:r w:rsidRPr="00740F17">
              <w:rPr>
                <w:rStyle w:val="Hyperlink"/>
                <w:rFonts w:ascii="Arial" w:hAnsi="Arial" w:cs="Arial"/>
                <w:noProof/>
              </w:rPr>
              <w:t>A.2 Integrated innovative working practices framework for NHSX</w:t>
            </w:r>
            <w:r w:rsidRPr="00740F17">
              <w:rPr>
                <w:rFonts w:ascii="Arial" w:hAnsi="Arial" w:cs="Arial"/>
                <w:noProof/>
                <w:webHidden/>
              </w:rPr>
              <w:tab/>
            </w:r>
            <w:r w:rsidRPr="00740F17">
              <w:rPr>
                <w:rFonts w:ascii="Arial" w:hAnsi="Arial" w:cs="Arial"/>
                <w:noProof/>
                <w:webHidden/>
              </w:rPr>
              <w:fldChar w:fldCharType="begin"/>
            </w:r>
            <w:r w:rsidRPr="00740F17">
              <w:rPr>
                <w:rFonts w:ascii="Arial" w:hAnsi="Arial" w:cs="Arial"/>
                <w:noProof/>
                <w:webHidden/>
              </w:rPr>
              <w:instrText xml:space="preserve"> PAGEREF _Toc242735261 \h </w:instrText>
            </w:r>
            <w:r w:rsidRPr="00740F17">
              <w:rPr>
                <w:rFonts w:ascii="Arial" w:hAnsi="Arial" w:cs="Arial"/>
                <w:noProof/>
                <w:webHidden/>
              </w:rPr>
            </w:r>
            <w:r w:rsidRPr="00740F17">
              <w:rPr>
                <w:rFonts w:ascii="Arial" w:hAnsi="Arial" w:cs="Arial"/>
                <w:noProof/>
                <w:webHidden/>
              </w:rPr>
              <w:fldChar w:fldCharType="separate"/>
            </w:r>
            <w:r w:rsidRPr="00740F17">
              <w:rPr>
                <w:rFonts w:ascii="Arial" w:hAnsi="Arial" w:cs="Arial"/>
                <w:noProof/>
                <w:webHidden/>
              </w:rPr>
              <w:t>4</w:t>
            </w:r>
            <w:r w:rsidRPr="00740F17">
              <w:rPr>
                <w:rFonts w:ascii="Arial" w:hAnsi="Arial" w:cs="Arial"/>
                <w:noProof/>
                <w:webHidden/>
              </w:rPr>
              <w:fldChar w:fldCharType="end"/>
            </w:r>
          </w:hyperlink>
        </w:p>
        <w:p w14:paraId="0CA33101" w14:textId="243A0EBD" w:rsidR="00CD1A3A" w:rsidRPr="00740F17" w:rsidRDefault="00CD1A3A">
          <w:pPr>
            <w:pStyle w:val="TOC1"/>
            <w:tabs>
              <w:tab w:val="right" w:leader="dot" w:pos="9016"/>
            </w:tabs>
            <w:rPr>
              <w:rFonts w:ascii="Arial" w:eastAsiaTheme="minorEastAsia" w:hAnsi="Arial" w:cs="Arial"/>
              <w:noProof/>
              <w:kern w:val="2"/>
              <w:szCs w:val="30"/>
              <w:lang w:val="en-IN" w:eastAsia="en-IN" w:bidi="bn-IN"/>
              <w14:ligatures w14:val="standardContextual"/>
            </w:rPr>
          </w:pPr>
          <w:hyperlink w:anchor="_Toc242735262" w:history="1">
            <w:r w:rsidRPr="00740F17">
              <w:rPr>
                <w:rStyle w:val="Hyperlink"/>
                <w:rFonts w:ascii="Arial" w:hAnsi="Arial" w:cs="Arial"/>
                <w:noProof/>
              </w:rPr>
              <w:t>Task B: Breeding an Environment Where Talent May Grow</w:t>
            </w:r>
            <w:r w:rsidRPr="00740F17">
              <w:rPr>
                <w:rFonts w:ascii="Arial" w:hAnsi="Arial" w:cs="Arial"/>
                <w:noProof/>
                <w:webHidden/>
              </w:rPr>
              <w:tab/>
            </w:r>
            <w:r w:rsidRPr="00740F17">
              <w:rPr>
                <w:rFonts w:ascii="Arial" w:hAnsi="Arial" w:cs="Arial"/>
                <w:noProof/>
                <w:webHidden/>
              </w:rPr>
              <w:fldChar w:fldCharType="begin"/>
            </w:r>
            <w:r w:rsidRPr="00740F17">
              <w:rPr>
                <w:rFonts w:ascii="Arial" w:hAnsi="Arial" w:cs="Arial"/>
                <w:noProof/>
                <w:webHidden/>
              </w:rPr>
              <w:instrText xml:space="preserve"> PAGEREF _Toc242735262 \h </w:instrText>
            </w:r>
            <w:r w:rsidRPr="00740F17">
              <w:rPr>
                <w:rFonts w:ascii="Arial" w:hAnsi="Arial" w:cs="Arial"/>
                <w:noProof/>
                <w:webHidden/>
              </w:rPr>
            </w:r>
            <w:r w:rsidRPr="00740F17">
              <w:rPr>
                <w:rFonts w:ascii="Arial" w:hAnsi="Arial" w:cs="Arial"/>
                <w:noProof/>
                <w:webHidden/>
              </w:rPr>
              <w:fldChar w:fldCharType="separate"/>
            </w:r>
            <w:r w:rsidRPr="00740F17">
              <w:rPr>
                <w:rFonts w:ascii="Arial" w:hAnsi="Arial" w:cs="Arial"/>
                <w:noProof/>
                <w:webHidden/>
              </w:rPr>
              <w:t>6</w:t>
            </w:r>
            <w:r w:rsidRPr="00740F17">
              <w:rPr>
                <w:rFonts w:ascii="Arial" w:hAnsi="Arial" w:cs="Arial"/>
                <w:noProof/>
                <w:webHidden/>
              </w:rPr>
              <w:fldChar w:fldCharType="end"/>
            </w:r>
          </w:hyperlink>
        </w:p>
        <w:p w14:paraId="6B9BA783" w14:textId="53DE8D50" w:rsidR="00CD1A3A" w:rsidRPr="00740F17" w:rsidRDefault="00CD1A3A">
          <w:pPr>
            <w:pStyle w:val="TOC2"/>
            <w:tabs>
              <w:tab w:val="right" w:leader="dot" w:pos="9016"/>
            </w:tabs>
            <w:rPr>
              <w:rFonts w:ascii="Arial" w:eastAsiaTheme="minorEastAsia" w:hAnsi="Arial" w:cs="Arial"/>
              <w:noProof/>
              <w:kern w:val="2"/>
              <w:szCs w:val="30"/>
              <w:lang w:val="en-IN" w:eastAsia="en-IN" w:bidi="bn-IN"/>
              <w14:ligatures w14:val="standardContextual"/>
            </w:rPr>
          </w:pPr>
          <w:hyperlink w:anchor="_Toc242735263" w:history="1">
            <w:r w:rsidRPr="00740F17">
              <w:rPr>
                <w:rStyle w:val="Hyperlink"/>
                <w:rFonts w:ascii="Arial" w:hAnsi="Arial" w:cs="Arial"/>
                <w:noProof/>
              </w:rPr>
              <w:t>B.1 Critical evaluation of how talent flourishes</w:t>
            </w:r>
            <w:r w:rsidRPr="00740F17">
              <w:rPr>
                <w:rFonts w:ascii="Arial" w:hAnsi="Arial" w:cs="Arial"/>
                <w:noProof/>
                <w:webHidden/>
              </w:rPr>
              <w:tab/>
            </w:r>
            <w:r w:rsidRPr="00740F17">
              <w:rPr>
                <w:rFonts w:ascii="Arial" w:hAnsi="Arial" w:cs="Arial"/>
                <w:noProof/>
                <w:webHidden/>
              </w:rPr>
              <w:fldChar w:fldCharType="begin"/>
            </w:r>
            <w:r w:rsidRPr="00740F17">
              <w:rPr>
                <w:rFonts w:ascii="Arial" w:hAnsi="Arial" w:cs="Arial"/>
                <w:noProof/>
                <w:webHidden/>
              </w:rPr>
              <w:instrText xml:space="preserve"> PAGEREF _Toc242735263 \h </w:instrText>
            </w:r>
            <w:r w:rsidRPr="00740F17">
              <w:rPr>
                <w:rFonts w:ascii="Arial" w:hAnsi="Arial" w:cs="Arial"/>
                <w:noProof/>
                <w:webHidden/>
              </w:rPr>
            </w:r>
            <w:r w:rsidRPr="00740F17">
              <w:rPr>
                <w:rFonts w:ascii="Arial" w:hAnsi="Arial" w:cs="Arial"/>
                <w:noProof/>
                <w:webHidden/>
              </w:rPr>
              <w:fldChar w:fldCharType="separate"/>
            </w:r>
            <w:r w:rsidRPr="00740F17">
              <w:rPr>
                <w:rFonts w:ascii="Arial" w:hAnsi="Arial" w:cs="Arial"/>
                <w:noProof/>
                <w:webHidden/>
              </w:rPr>
              <w:t>6</w:t>
            </w:r>
            <w:r w:rsidRPr="00740F17">
              <w:rPr>
                <w:rFonts w:ascii="Arial" w:hAnsi="Arial" w:cs="Arial"/>
                <w:noProof/>
                <w:webHidden/>
              </w:rPr>
              <w:fldChar w:fldCharType="end"/>
            </w:r>
          </w:hyperlink>
        </w:p>
        <w:p w14:paraId="4D76369D" w14:textId="7D282A16" w:rsidR="00CD1A3A" w:rsidRPr="00740F17" w:rsidRDefault="00CD1A3A">
          <w:pPr>
            <w:pStyle w:val="TOC2"/>
            <w:tabs>
              <w:tab w:val="right" w:leader="dot" w:pos="9016"/>
            </w:tabs>
            <w:rPr>
              <w:rFonts w:ascii="Arial" w:eastAsiaTheme="minorEastAsia" w:hAnsi="Arial" w:cs="Arial"/>
              <w:noProof/>
              <w:kern w:val="2"/>
              <w:szCs w:val="30"/>
              <w:lang w:val="en-IN" w:eastAsia="en-IN" w:bidi="bn-IN"/>
              <w14:ligatures w14:val="standardContextual"/>
            </w:rPr>
          </w:pPr>
          <w:hyperlink w:anchor="_Toc242735264" w:history="1">
            <w:r w:rsidRPr="00740F17">
              <w:rPr>
                <w:rStyle w:val="Hyperlink"/>
                <w:rFonts w:ascii="Arial" w:hAnsi="Arial" w:cs="Arial"/>
                <w:noProof/>
              </w:rPr>
              <w:t>B.2 Strategic talent-growth strategy for NHSX</w:t>
            </w:r>
            <w:r w:rsidRPr="00740F17">
              <w:rPr>
                <w:rFonts w:ascii="Arial" w:hAnsi="Arial" w:cs="Arial"/>
                <w:noProof/>
                <w:webHidden/>
              </w:rPr>
              <w:tab/>
            </w:r>
            <w:r w:rsidRPr="00740F17">
              <w:rPr>
                <w:rFonts w:ascii="Arial" w:hAnsi="Arial" w:cs="Arial"/>
                <w:noProof/>
                <w:webHidden/>
              </w:rPr>
              <w:fldChar w:fldCharType="begin"/>
            </w:r>
            <w:r w:rsidRPr="00740F17">
              <w:rPr>
                <w:rFonts w:ascii="Arial" w:hAnsi="Arial" w:cs="Arial"/>
                <w:noProof/>
                <w:webHidden/>
              </w:rPr>
              <w:instrText xml:space="preserve"> PAGEREF _Toc242735264 \h </w:instrText>
            </w:r>
            <w:r w:rsidRPr="00740F17">
              <w:rPr>
                <w:rFonts w:ascii="Arial" w:hAnsi="Arial" w:cs="Arial"/>
                <w:noProof/>
                <w:webHidden/>
              </w:rPr>
            </w:r>
            <w:r w:rsidRPr="00740F17">
              <w:rPr>
                <w:rFonts w:ascii="Arial" w:hAnsi="Arial" w:cs="Arial"/>
                <w:noProof/>
                <w:webHidden/>
              </w:rPr>
              <w:fldChar w:fldCharType="separate"/>
            </w:r>
            <w:r w:rsidRPr="00740F17">
              <w:rPr>
                <w:rFonts w:ascii="Arial" w:hAnsi="Arial" w:cs="Arial"/>
                <w:noProof/>
                <w:webHidden/>
              </w:rPr>
              <w:t>8</w:t>
            </w:r>
            <w:r w:rsidRPr="00740F17">
              <w:rPr>
                <w:rFonts w:ascii="Arial" w:hAnsi="Arial" w:cs="Arial"/>
                <w:noProof/>
                <w:webHidden/>
              </w:rPr>
              <w:fldChar w:fldCharType="end"/>
            </w:r>
          </w:hyperlink>
        </w:p>
        <w:p w14:paraId="4B19FFC6" w14:textId="1E14D76E" w:rsidR="00CD1A3A" w:rsidRPr="00740F17" w:rsidRDefault="00CD1A3A">
          <w:pPr>
            <w:pStyle w:val="TOC1"/>
            <w:tabs>
              <w:tab w:val="right" w:leader="dot" w:pos="9016"/>
            </w:tabs>
            <w:rPr>
              <w:rFonts w:ascii="Arial" w:eastAsiaTheme="minorEastAsia" w:hAnsi="Arial" w:cs="Arial"/>
              <w:noProof/>
              <w:kern w:val="2"/>
              <w:szCs w:val="30"/>
              <w:lang w:val="en-IN" w:eastAsia="en-IN" w:bidi="bn-IN"/>
              <w14:ligatures w14:val="standardContextual"/>
            </w:rPr>
          </w:pPr>
          <w:hyperlink w:anchor="_Toc242735265" w:history="1">
            <w:r w:rsidRPr="00740F17">
              <w:rPr>
                <w:rStyle w:val="Hyperlink"/>
                <w:rFonts w:ascii="Arial" w:hAnsi="Arial" w:cs="Arial"/>
                <w:noProof/>
                <w:lang w:val="en-IN"/>
              </w:rPr>
              <w:t>Task C: Reflective Report</w:t>
            </w:r>
            <w:r w:rsidRPr="00740F17">
              <w:rPr>
                <w:rFonts w:ascii="Arial" w:hAnsi="Arial" w:cs="Arial"/>
                <w:noProof/>
                <w:webHidden/>
              </w:rPr>
              <w:tab/>
            </w:r>
            <w:r w:rsidRPr="00740F17">
              <w:rPr>
                <w:rFonts w:ascii="Arial" w:hAnsi="Arial" w:cs="Arial"/>
                <w:noProof/>
                <w:webHidden/>
              </w:rPr>
              <w:fldChar w:fldCharType="begin"/>
            </w:r>
            <w:r w:rsidRPr="00740F17">
              <w:rPr>
                <w:rFonts w:ascii="Arial" w:hAnsi="Arial" w:cs="Arial"/>
                <w:noProof/>
                <w:webHidden/>
              </w:rPr>
              <w:instrText xml:space="preserve"> PAGEREF _Toc242735265 \h </w:instrText>
            </w:r>
            <w:r w:rsidRPr="00740F17">
              <w:rPr>
                <w:rFonts w:ascii="Arial" w:hAnsi="Arial" w:cs="Arial"/>
                <w:noProof/>
                <w:webHidden/>
              </w:rPr>
            </w:r>
            <w:r w:rsidRPr="00740F17">
              <w:rPr>
                <w:rFonts w:ascii="Arial" w:hAnsi="Arial" w:cs="Arial"/>
                <w:noProof/>
                <w:webHidden/>
              </w:rPr>
              <w:fldChar w:fldCharType="separate"/>
            </w:r>
            <w:r w:rsidRPr="00740F17">
              <w:rPr>
                <w:rFonts w:ascii="Arial" w:hAnsi="Arial" w:cs="Arial"/>
                <w:noProof/>
                <w:webHidden/>
              </w:rPr>
              <w:t>9</w:t>
            </w:r>
            <w:r w:rsidRPr="00740F17">
              <w:rPr>
                <w:rFonts w:ascii="Arial" w:hAnsi="Arial" w:cs="Arial"/>
                <w:noProof/>
                <w:webHidden/>
              </w:rPr>
              <w:fldChar w:fldCharType="end"/>
            </w:r>
          </w:hyperlink>
        </w:p>
        <w:p w14:paraId="3F76277F" w14:textId="3495932E" w:rsidR="00CD1A3A" w:rsidRPr="00740F17" w:rsidRDefault="00CD1A3A">
          <w:pPr>
            <w:pStyle w:val="TOC2"/>
            <w:tabs>
              <w:tab w:val="right" w:leader="dot" w:pos="9016"/>
            </w:tabs>
            <w:rPr>
              <w:rFonts w:ascii="Arial" w:eastAsiaTheme="minorEastAsia" w:hAnsi="Arial" w:cs="Arial"/>
              <w:noProof/>
              <w:kern w:val="2"/>
              <w:szCs w:val="30"/>
              <w:lang w:val="en-IN" w:eastAsia="en-IN" w:bidi="bn-IN"/>
              <w14:ligatures w14:val="standardContextual"/>
            </w:rPr>
          </w:pPr>
          <w:hyperlink w:anchor="_Toc242735266" w:history="1">
            <w:r w:rsidRPr="00740F17">
              <w:rPr>
                <w:rStyle w:val="Hyperlink"/>
                <w:rFonts w:ascii="Arial" w:hAnsi="Arial" w:cs="Arial"/>
                <w:noProof/>
                <w:lang w:val="en-IN"/>
              </w:rPr>
              <w:t>C.1 AI as a Strategic HR Tool</w:t>
            </w:r>
            <w:r w:rsidRPr="00740F17">
              <w:rPr>
                <w:rFonts w:ascii="Arial" w:hAnsi="Arial" w:cs="Arial"/>
                <w:noProof/>
                <w:webHidden/>
              </w:rPr>
              <w:tab/>
            </w:r>
            <w:r w:rsidRPr="00740F17">
              <w:rPr>
                <w:rFonts w:ascii="Arial" w:hAnsi="Arial" w:cs="Arial"/>
                <w:noProof/>
                <w:webHidden/>
              </w:rPr>
              <w:fldChar w:fldCharType="begin"/>
            </w:r>
            <w:r w:rsidRPr="00740F17">
              <w:rPr>
                <w:rFonts w:ascii="Arial" w:hAnsi="Arial" w:cs="Arial"/>
                <w:noProof/>
                <w:webHidden/>
              </w:rPr>
              <w:instrText xml:space="preserve"> PAGEREF _Toc242735266 \h </w:instrText>
            </w:r>
            <w:r w:rsidRPr="00740F17">
              <w:rPr>
                <w:rFonts w:ascii="Arial" w:hAnsi="Arial" w:cs="Arial"/>
                <w:noProof/>
                <w:webHidden/>
              </w:rPr>
            </w:r>
            <w:r w:rsidRPr="00740F17">
              <w:rPr>
                <w:rFonts w:ascii="Arial" w:hAnsi="Arial" w:cs="Arial"/>
                <w:noProof/>
                <w:webHidden/>
              </w:rPr>
              <w:fldChar w:fldCharType="separate"/>
            </w:r>
            <w:r w:rsidRPr="00740F17">
              <w:rPr>
                <w:rFonts w:ascii="Arial" w:hAnsi="Arial" w:cs="Arial"/>
                <w:noProof/>
                <w:webHidden/>
              </w:rPr>
              <w:t>9</w:t>
            </w:r>
            <w:r w:rsidRPr="00740F17">
              <w:rPr>
                <w:rFonts w:ascii="Arial" w:hAnsi="Arial" w:cs="Arial"/>
                <w:noProof/>
                <w:webHidden/>
              </w:rPr>
              <w:fldChar w:fldCharType="end"/>
            </w:r>
          </w:hyperlink>
        </w:p>
        <w:p w14:paraId="32D60170" w14:textId="3FCD6E2F" w:rsidR="00CD1A3A" w:rsidRPr="00740F17" w:rsidRDefault="00CD1A3A">
          <w:pPr>
            <w:pStyle w:val="TOC2"/>
            <w:tabs>
              <w:tab w:val="right" w:leader="dot" w:pos="9016"/>
            </w:tabs>
            <w:rPr>
              <w:rFonts w:ascii="Arial" w:eastAsiaTheme="minorEastAsia" w:hAnsi="Arial" w:cs="Arial"/>
              <w:noProof/>
              <w:kern w:val="2"/>
              <w:szCs w:val="30"/>
              <w:lang w:val="en-IN" w:eastAsia="en-IN" w:bidi="bn-IN"/>
              <w14:ligatures w14:val="standardContextual"/>
            </w:rPr>
          </w:pPr>
          <w:hyperlink w:anchor="_Toc242735267" w:history="1">
            <w:r w:rsidRPr="00740F17">
              <w:rPr>
                <w:rStyle w:val="Hyperlink"/>
                <w:rFonts w:ascii="Arial" w:hAnsi="Arial" w:cs="Arial"/>
                <w:noProof/>
                <w:lang w:val="en-IN"/>
              </w:rPr>
              <w:t>C.2 Reflective Analysis: Three Examples</w:t>
            </w:r>
            <w:r w:rsidRPr="00740F17">
              <w:rPr>
                <w:rFonts w:ascii="Arial" w:hAnsi="Arial" w:cs="Arial"/>
                <w:noProof/>
                <w:webHidden/>
              </w:rPr>
              <w:tab/>
            </w:r>
            <w:r w:rsidRPr="00740F17">
              <w:rPr>
                <w:rFonts w:ascii="Arial" w:hAnsi="Arial" w:cs="Arial"/>
                <w:noProof/>
                <w:webHidden/>
              </w:rPr>
              <w:fldChar w:fldCharType="begin"/>
            </w:r>
            <w:r w:rsidRPr="00740F17">
              <w:rPr>
                <w:rFonts w:ascii="Arial" w:hAnsi="Arial" w:cs="Arial"/>
                <w:noProof/>
                <w:webHidden/>
              </w:rPr>
              <w:instrText xml:space="preserve"> PAGEREF _Toc242735267 \h </w:instrText>
            </w:r>
            <w:r w:rsidRPr="00740F17">
              <w:rPr>
                <w:rFonts w:ascii="Arial" w:hAnsi="Arial" w:cs="Arial"/>
                <w:noProof/>
                <w:webHidden/>
              </w:rPr>
            </w:r>
            <w:r w:rsidRPr="00740F17">
              <w:rPr>
                <w:rFonts w:ascii="Arial" w:hAnsi="Arial" w:cs="Arial"/>
                <w:noProof/>
                <w:webHidden/>
              </w:rPr>
              <w:fldChar w:fldCharType="separate"/>
            </w:r>
            <w:r w:rsidRPr="00740F17">
              <w:rPr>
                <w:rFonts w:ascii="Arial" w:hAnsi="Arial" w:cs="Arial"/>
                <w:noProof/>
                <w:webHidden/>
              </w:rPr>
              <w:t>10</w:t>
            </w:r>
            <w:r w:rsidRPr="00740F17">
              <w:rPr>
                <w:rFonts w:ascii="Arial" w:hAnsi="Arial" w:cs="Arial"/>
                <w:noProof/>
                <w:webHidden/>
              </w:rPr>
              <w:fldChar w:fldCharType="end"/>
            </w:r>
          </w:hyperlink>
        </w:p>
        <w:p w14:paraId="5701F868" w14:textId="3A6CAD0D" w:rsidR="00CD1A3A" w:rsidRPr="00740F17" w:rsidRDefault="00CD1A3A">
          <w:pPr>
            <w:pStyle w:val="TOC2"/>
            <w:tabs>
              <w:tab w:val="right" w:leader="dot" w:pos="9016"/>
            </w:tabs>
            <w:rPr>
              <w:rFonts w:ascii="Arial" w:eastAsiaTheme="minorEastAsia" w:hAnsi="Arial" w:cs="Arial"/>
              <w:noProof/>
              <w:kern w:val="2"/>
              <w:szCs w:val="30"/>
              <w:lang w:val="en-IN" w:eastAsia="en-IN" w:bidi="bn-IN"/>
              <w14:ligatures w14:val="standardContextual"/>
            </w:rPr>
          </w:pPr>
          <w:hyperlink w:anchor="_Toc242735268" w:history="1">
            <w:r w:rsidRPr="00740F17">
              <w:rPr>
                <w:rStyle w:val="Hyperlink"/>
                <w:rFonts w:ascii="Arial" w:hAnsi="Arial" w:cs="Arial"/>
                <w:noProof/>
                <w:lang w:val="en-IN"/>
              </w:rPr>
              <w:t>C.3 Personal Action Plan</w:t>
            </w:r>
            <w:r w:rsidRPr="00740F17">
              <w:rPr>
                <w:rFonts w:ascii="Arial" w:hAnsi="Arial" w:cs="Arial"/>
                <w:noProof/>
                <w:webHidden/>
              </w:rPr>
              <w:tab/>
            </w:r>
            <w:r w:rsidRPr="00740F17">
              <w:rPr>
                <w:rFonts w:ascii="Arial" w:hAnsi="Arial" w:cs="Arial"/>
                <w:noProof/>
                <w:webHidden/>
              </w:rPr>
              <w:fldChar w:fldCharType="begin"/>
            </w:r>
            <w:r w:rsidRPr="00740F17">
              <w:rPr>
                <w:rFonts w:ascii="Arial" w:hAnsi="Arial" w:cs="Arial"/>
                <w:noProof/>
                <w:webHidden/>
              </w:rPr>
              <w:instrText xml:space="preserve"> PAGEREF _Toc242735268 \h </w:instrText>
            </w:r>
            <w:r w:rsidRPr="00740F17">
              <w:rPr>
                <w:rFonts w:ascii="Arial" w:hAnsi="Arial" w:cs="Arial"/>
                <w:noProof/>
                <w:webHidden/>
              </w:rPr>
            </w:r>
            <w:r w:rsidRPr="00740F17">
              <w:rPr>
                <w:rFonts w:ascii="Arial" w:hAnsi="Arial" w:cs="Arial"/>
                <w:noProof/>
                <w:webHidden/>
              </w:rPr>
              <w:fldChar w:fldCharType="separate"/>
            </w:r>
            <w:r w:rsidRPr="00740F17">
              <w:rPr>
                <w:rFonts w:ascii="Arial" w:hAnsi="Arial" w:cs="Arial"/>
                <w:noProof/>
                <w:webHidden/>
              </w:rPr>
              <w:t>10</w:t>
            </w:r>
            <w:r w:rsidRPr="00740F17">
              <w:rPr>
                <w:rFonts w:ascii="Arial" w:hAnsi="Arial" w:cs="Arial"/>
                <w:noProof/>
                <w:webHidden/>
              </w:rPr>
              <w:fldChar w:fldCharType="end"/>
            </w:r>
          </w:hyperlink>
        </w:p>
        <w:p w14:paraId="01A39C01" w14:textId="4DD4CE22" w:rsidR="00CD1A3A" w:rsidRPr="00740F17" w:rsidRDefault="00CD1A3A">
          <w:pPr>
            <w:pStyle w:val="TOC1"/>
            <w:tabs>
              <w:tab w:val="right" w:leader="dot" w:pos="9016"/>
            </w:tabs>
            <w:rPr>
              <w:rFonts w:ascii="Arial" w:eastAsiaTheme="minorEastAsia" w:hAnsi="Arial" w:cs="Arial"/>
              <w:noProof/>
              <w:kern w:val="2"/>
              <w:szCs w:val="30"/>
              <w:lang w:val="en-IN" w:eastAsia="en-IN" w:bidi="bn-IN"/>
              <w14:ligatures w14:val="standardContextual"/>
            </w:rPr>
          </w:pPr>
          <w:hyperlink w:anchor="_Toc242735269" w:history="1">
            <w:r w:rsidRPr="00740F17">
              <w:rPr>
                <w:rStyle w:val="Hyperlink"/>
                <w:rFonts w:ascii="Arial" w:hAnsi="Arial" w:cs="Arial"/>
                <w:noProof/>
              </w:rPr>
              <w:t>Reference List</w:t>
            </w:r>
            <w:r w:rsidRPr="00740F17">
              <w:rPr>
                <w:rFonts w:ascii="Arial" w:hAnsi="Arial" w:cs="Arial"/>
                <w:noProof/>
                <w:webHidden/>
              </w:rPr>
              <w:tab/>
            </w:r>
            <w:r w:rsidRPr="00740F17">
              <w:rPr>
                <w:rFonts w:ascii="Arial" w:hAnsi="Arial" w:cs="Arial"/>
                <w:noProof/>
                <w:webHidden/>
              </w:rPr>
              <w:fldChar w:fldCharType="begin"/>
            </w:r>
            <w:r w:rsidRPr="00740F17">
              <w:rPr>
                <w:rFonts w:ascii="Arial" w:hAnsi="Arial" w:cs="Arial"/>
                <w:noProof/>
                <w:webHidden/>
              </w:rPr>
              <w:instrText xml:space="preserve"> PAGEREF _Toc242735269 \h </w:instrText>
            </w:r>
            <w:r w:rsidRPr="00740F17">
              <w:rPr>
                <w:rFonts w:ascii="Arial" w:hAnsi="Arial" w:cs="Arial"/>
                <w:noProof/>
                <w:webHidden/>
              </w:rPr>
            </w:r>
            <w:r w:rsidRPr="00740F17">
              <w:rPr>
                <w:rFonts w:ascii="Arial" w:hAnsi="Arial" w:cs="Arial"/>
                <w:noProof/>
                <w:webHidden/>
              </w:rPr>
              <w:fldChar w:fldCharType="separate"/>
            </w:r>
            <w:r w:rsidRPr="00740F17">
              <w:rPr>
                <w:rFonts w:ascii="Arial" w:hAnsi="Arial" w:cs="Arial"/>
                <w:noProof/>
                <w:webHidden/>
              </w:rPr>
              <w:t>12</w:t>
            </w:r>
            <w:r w:rsidRPr="00740F17">
              <w:rPr>
                <w:rFonts w:ascii="Arial" w:hAnsi="Arial" w:cs="Arial"/>
                <w:noProof/>
                <w:webHidden/>
              </w:rPr>
              <w:fldChar w:fldCharType="end"/>
            </w:r>
          </w:hyperlink>
        </w:p>
        <w:p w14:paraId="37C1E798" w14:textId="7CA48D41" w:rsidR="00317861" w:rsidRPr="00740F17" w:rsidRDefault="00317861">
          <w:pPr>
            <w:rPr>
              <w:rFonts w:ascii="Arial" w:hAnsi="Arial" w:cs="Arial"/>
            </w:rPr>
          </w:pPr>
          <w:r w:rsidRPr="00740F17">
            <w:rPr>
              <w:rFonts w:ascii="Arial" w:hAnsi="Arial" w:cs="Arial"/>
              <w:b/>
              <w:bCs/>
              <w:noProof/>
            </w:rPr>
            <w:fldChar w:fldCharType="end"/>
          </w:r>
        </w:p>
      </w:sdtContent>
    </w:sdt>
    <w:p w14:paraId="24DE72A9" w14:textId="77777777" w:rsidR="00317861" w:rsidRPr="00740F17" w:rsidRDefault="00317861">
      <w:pPr>
        <w:spacing w:after="200" w:line="276" w:lineRule="auto"/>
        <w:jc w:val="left"/>
        <w:rPr>
          <w:rFonts w:ascii="Arial" w:eastAsiaTheme="majorEastAsia" w:hAnsi="Arial" w:cs="Arial"/>
          <w:b/>
          <w:bCs/>
          <w:sz w:val="28"/>
          <w:szCs w:val="28"/>
        </w:rPr>
      </w:pPr>
      <w:r w:rsidRPr="00740F17">
        <w:rPr>
          <w:rFonts w:ascii="Arial" w:hAnsi="Arial" w:cs="Arial"/>
        </w:rPr>
        <w:br w:type="page"/>
      </w:r>
    </w:p>
    <w:p w14:paraId="58EA5EB7" w14:textId="77777777" w:rsidR="003109E8" w:rsidRPr="00740F17" w:rsidRDefault="003109E8" w:rsidP="00661F79">
      <w:pPr>
        <w:pStyle w:val="Heading2"/>
        <w:rPr>
          <w:rFonts w:ascii="Arial" w:hAnsi="Arial" w:cs="Arial"/>
        </w:rPr>
      </w:pPr>
      <w:bookmarkStart w:id="0" w:name="_Toc242735260"/>
      <w:r w:rsidRPr="00740F17">
        <w:rPr>
          <w:rFonts w:ascii="Arial" w:hAnsi="Arial" w:cs="Arial"/>
        </w:rPr>
        <w:lastRenderedPageBreak/>
        <w:t>A.1 Critical evaluation of traditional vs contemporary work design</w:t>
      </w:r>
      <w:bookmarkEnd w:id="0"/>
    </w:p>
    <w:p w14:paraId="510C9681" w14:textId="77777777" w:rsidR="009F64A2" w:rsidRPr="00740F17" w:rsidRDefault="00346187" w:rsidP="009F64A2">
      <w:pPr>
        <w:pStyle w:val="Heading1"/>
        <w:rPr>
          <w:rFonts w:ascii="Arial" w:hAnsi="Arial" w:cs="Arial"/>
        </w:rPr>
      </w:pPr>
      <w:r w:rsidRPr="00740F17">
        <w:rPr>
          <w:rFonts w:ascii="Arial" w:hAnsi="Arial" w:cs="Arial"/>
        </w:rPr>
        <w:t xml:space="preserve">The challenges that NHSX has encountered stem from the conflict between the nature of </w:t>
      </w:r>
      <w:bookmarkStart w:id="1" w:name="_Toc242735259"/>
      <w:r w:rsidR="009F64A2" w:rsidRPr="00740F17">
        <w:rPr>
          <w:rFonts w:ascii="Arial" w:hAnsi="Arial" w:cs="Arial"/>
        </w:rPr>
        <w:t>Task A: Innovative Working Practices</w:t>
      </w:r>
      <w:bookmarkEnd w:id="1"/>
      <w:r w:rsidR="009F64A2" w:rsidRPr="00740F17">
        <w:rPr>
          <w:rFonts w:ascii="Arial" w:hAnsi="Arial" w:cs="Arial"/>
        </w:rPr>
        <w:t xml:space="preserve"> </w:t>
      </w:r>
    </w:p>
    <w:p w14:paraId="6EE77E35" w14:textId="6AF6B2EB" w:rsidR="00346187" w:rsidRPr="00740F17" w:rsidRDefault="00346187" w:rsidP="00346187">
      <w:pPr>
        <w:rPr>
          <w:rFonts w:ascii="Arial" w:hAnsi="Arial" w:cs="Arial"/>
        </w:rPr>
      </w:pPr>
      <w:r w:rsidRPr="00740F17">
        <w:rPr>
          <w:rFonts w:ascii="Arial" w:hAnsi="Arial" w:cs="Arial"/>
        </w:rPr>
        <w:t>traditional work design and the requirement of speed and knowledge in innovations. Traditional work design divides work into narrow roles, makes decisions within managerial ranks, follows rules, and passes information through official channels. In this way, traditional design can provide clarity, consistency, and accountability that are crucial in healthcare technologies where clinical safety, cybersecurity, and regulatory tasks cannot be optional. Nevertheless, centralized decision-making can prolong approval cycles, narrow boundaries can isolate clinical, data, and software knowledge, and employees can lack authority to experiment and overcome ineffective practices. These limitations are consistent with NHSX reports of poor decision-making and limited experimentation. On the contrary, modern work design encourages employee involvement, problem solving across functions, autonomy, and quick feedback. It is not a question of eliminating controls: NHSX should have clear decision rights and non-negotiable safety regulations while allowing teams to decide about the ways of conducting activities. Such work design can promote innovation while maintaining accountability (Guest, Knox and Warhurst, 2022; Parker and Grote, 2022).</w:t>
      </w:r>
    </w:p>
    <w:p w14:paraId="1A421B15" w14:textId="41E1B4FC" w:rsidR="00346187" w:rsidRPr="00740F17" w:rsidRDefault="00346187" w:rsidP="00346187">
      <w:pPr>
        <w:rPr>
          <w:rFonts w:ascii="Arial" w:hAnsi="Arial" w:cs="Arial"/>
        </w:rPr>
      </w:pPr>
      <w:r w:rsidRPr="00740F17">
        <w:rPr>
          <w:rFonts w:ascii="Arial" w:hAnsi="Arial" w:cs="Arial"/>
        </w:rPr>
        <w:t>High-Performance Work Systems combine hiring, training, performance management, and development that can increase competence and organizational performance (Kaushik and Mukherjee, 2022; Ashiru, Erdil and Oluwajana, 2021). Nevertheless, when there is a high level of targets setting, the introduction of HPWS can cause extra workloads or reduce employee voice. High-Involvement Work Systems distribute information and decision-making. The research conducted among 668 employees working in 112 teams at 41 organizations in China proved the association of HIWS with team creativity through involvement climate and shared leadership (Song, Gu and Cooke, 2020). However, participation alone cannot eliminate structural obstacles. Agile approach can reduce the time required for decision-making due to the combination of small teams, testing and learning but not all activities can be performed in such a way (Rigby, Elk and Berez, 2020).</w:t>
      </w:r>
    </w:p>
    <w:p w14:paraId="1006099C" w14:textId="3CF19085" w:rsidR="003109E8" w:rsidRPr="00740F17" w:rsidRDefault="003109E8" w:rsidP="003109E8">
      <w:pPr>
        <w:rPr>
          <w:rFonts w:ascii="Arial" w:hAnsi="Arial" w:cs="Arial"/>
        </w:rPr>
      </w:pPr>
      <w:r w:rsidRPr="00740F17">
        <w:rPr>
          <w:rFonts w:ascii="Arial" w:hAnsi="Arial" w:cs="Arial"/>
        </w:rPr>
        <w:t xml:space="preserve">A sociotechnical approach is also required since NHSX creates AI systems. The work should be redesigned jointly considering people, processes and technology rather </w:t>
      </w:r>
      <w:r w:rsidRPr="00740F17">
        <w:rPr>
          <w:rFonts w:ascii="Arial" w:hAnsi="Arial" w:cs="Arial"/>
        </w:rPr>
        <w:lastRenderedPageBreak/>
        <w:t>than technology being a separate technical project. According to Parker and Grote (2022), digital technologies are able to enhance job resources, but at the same time, they reduce autonomy and raise monitoring requirements. The similar idea is expressed by Guest, Knox and Warhurst (2022), who emphasise the role of stakeholders and human-centred approach when designing sociotechnical systems. For this reason, NHSX needs technology to support professional judgement, but not replace it.</w:t>
      </w:r>
    </w:p>
    <w:p w14:paraId="52AB716C" w14:textId="488EB8F6" w:rsidR="00807F53" w:rsidRPr="00740F17" w:rsidRDefault="000D27C4">
      <w:pPr>
        <w:keepNext/>
        <w:spacing w:before="80" w:after="40"/>
        <w:jc w:val="center"/>
        <w:rPr>
          <w:rFonts w:ascii="Arial" w:hAnsi="Arial" w:cs="Arial"/>
        </w:rPr>
      </w:pPr>
      <w:r w:rsidRPr="00740F17">
        <w:rPr>
          <w:rFonts w:ascii="Arial" w:hAnsi="Arial" w:cs="Arial"/>
          <w:noProof/>
        </w:rPr>
        <w:drawing>
          <wp:inline distT="0" distB="0" distL="0" distR="0" wp14:anchorId="7D1A0183" wp14:editId="2E69F3FC">
            <wp:extent cx="5854348" cy="2796540"/>
            <wp:effectExtent l="0" t="0" r="0" b="3810"/>
            <wp:docPr id="57635250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80469" cy="2809018"/>
                    </a:xfrm>
                    <a:prstGeom prst="rect">
                      <a:avLst/>
                    </a:prstGeom>
                    <a:noFill/>
                  </pic:spPr>
                </pic:pic>
              </a:graphicData>
            </a:graphic>
          </wp:inline>
        </w:drawing>
      </w:r>
    </w:p>
    <w:p w14:paraId="146A2796" w14:textId="65912C0A" w:rsidR="000D27C4" w:rsidRPr="00740F17" w:rsidRDefault="00000000" w:rsidP="000D27C4">
      <w:pPr>
        <w:jc w:val="center"/>
        <w:rPr>
          <w:rFonts w:ascii="Arial" w:hAnsi="Arial" w:cs="Arial"/>
        </w:rPr>
      </w:pPr>
      <w:r w:rsidRPr="00740F17">
        <w:rPr>
          <w:rFonts w:ascii="Arial" w:hAnsi="Arial" w:cs="Arial"/>
          <w:b/>
          <w:bCs/>
        </w:rPr>
        <w:t>Figure 1</w:t>
      </w:r>
      <w:r w:rsidR="00AE61DD" w:rsidRPr="00740F17">
        <w:rPr>
          <w:rFonts w:ascii="Arial" w:hAnsi="Arial" w:cs="Arial"/>
          <w:b/>
          <w:bCs/>
        </w:rPr>
        <w:t>:</w:t>
      </w:r>
      <w:r w:rsidRPr="00740F17">
        <w:rPr>
          <w:rFonts w:ascii="Arial" w:hAnsi="Arial" w:cs="Arial"/>
        </w:rPr>
        <w:t xml:space="preserve"> Traditional and contemporary work design at NHSX</w:t>
      </w:r>
    </w:p>
    <w:p w14:paraId="162B2E94" w14:textId="5ED6EEE3" w:rsidR="00807F53" w:rsidRPr="00740F17" w:rsidRDefault="00000000" w:rsidP="000D27C4">
      <w:pPr>
        <w:jc w:val="center"/>
        <w:rPr>
          <w:rFonts w:ascii="Arial" w:hAnsi="Arial" w:cs="Arial"/>
        </w:rPr>
      </w:pPr>
      <w:r w:rsidRPr="00740F17">
        <w:rPr>
          <w:rFonts w:ascii="Arial" w:hAnsi="Arial" w:cs="Arial"/>
        </w:rPr>
        <w:t>(</w:t>
      </w:r>
      <w:r w:rsidR="00B660F2" w:rsidRPr="00740F17">
        <w:rPr>
          <w:rFonts w:ascii="Arial" w:hAnsi="Arial" w:cs="Arial"/>
        </w:rPr>
        <w:t>Source: Author-developed figure, synthesised from Kaushik and Mukherjee, 2022; Guest, Knox and Warhurst, 2022; Parker and Grote, 2022; Rigby, Elk and Berez, 2020</w:t>
      </w:r>
      <w:r w:rsidRPr="00740F17">
        <w:rPr>
          <w:rFonts w:ascii="Arial" w:hAnsi="Arial" w:cs="Arial"/>
        </w:rPr>
        <w:t>).</w:t>
      </w:r>
    </w:p>
    <w:p w14:paraId="11A69E4A" w14:textId="77777777" w:rsidR="003109E8" w:rsidRPr="00740F17" w:rsidRDefault="003109E8" w:rsidP="00661F79">
      <w:pPr>
        <w:pStyle w:val="Heading2"/>
        <w:rPr>
          <w:rFonts w:ascii="Arial" w:hAnsi="Arial" w:cs="Arial"/>
        </w:rPr>
      </w:pPr>
      <w:bookmarkStart w:id="2" w:name="_Toc242735261"/>
      <w:r w:rsidRPr="00740F17">
        <w:rPr>
          <w:rFonts w:ascii="Arial" w:hAnsi="Arial" w:cs="Arial"/>
        </w:rPr>
        <w:t>A.2 Integrated innovative working practices framework for NHSX</w:t>
      </w:r>
      <w:bookmarkEnd w:id="2"/>
    </w:p>
    <w:p w14:paraId="25AA7B02" w14:textId="77777777" w:rsidR="00346187" w:rsidRPr="00740F17" w:rsidRDefault="00346187" w:rsidP="00346187">
      <w:pPr>
        <w:rPr>
          <w:rFonts w:ascii="Arial" w:hAnsi="Arial" w:cs="Arial"/>
        </w:rPr>
      </w:pPr>
      <w:r w:rsidRPr="00740F17">
        <w:rPr>
          <w:rFonts w:ascii="Arial" w:hAnsi="Arial" w:cs="Arial"/>
        </w:rPr>
        <w:t>NHSX should start by building cross-functional “Health Innovation Squads” of software engineers, clinicians, data scientists, product developers, cybersecurity experts and customer-facing roles. Diverse skills can aid problem-solving, but teamwork requires coordination and goals (Akuffo, 2020). Squads must be assigned problem to solve, target outcome and decision authority. Escalation and risk management should happen at weekly sponsor reviews without creating a cumbersome approval process.</w:t>
      </w:r>
    </w:p>
    <w:p w14:paraId="2D71ACF4" w14:textId="183DB2CD" w:rsidR="00346187" w:rsidRPr="00740F17" w:rsidRDefault="00346187" w:rsidP="00346187">
      <w:pPr>
        <w:rPr>
          <w:rFonts w:ascii="Arial" w:hAnsi="Arial" w:cs="Arial"/>
        </w:rPr>
      </w:pPr>
      <w:r w:rsidRPr="00740F17">
        <w:rPr>
          <w:rFonts w:ascii="Arial" w:hAnsi="Arial" w:cs="Arial"/>
        </w:rPr>
        <w:t xml:space="preserve">Second, NHSX should embrace structured and purpose-led hybrid model rather than full remote work. The research findings on productivity of remote work are inconclusive. Research involving 61,182 Microsoft information workers showed that </w:t>
      </w:r>
      <w:r w:rsidRPr="00740F17">
        <w:rPr>
          <w:rFonts w:ascii="Arial" w:hAnsi="Arial" w:cs="Arial"/>
        </w:rPr>
        <w:lastRenderedPageBreak/>
        <w:t>remote work increased siloing in collaboration networks (Yang et al., 2022). Research conducted among more than 48,000 Indian IT professionals suggested the changes in quality of ideas created in home environment and hybrid teams with different office attendance (Gibbs, Mengel and Siemroth, 2024). On the other hand, CIPD (2025) suggests that hybrid work is common in the UK and both employers and employees find it beneficial. NHSX should use remote days to focus on tasks and documentation, and in-person days to collaborate and prototype.</w:t>
      </w:r>
    </w:p>
    <w:p w14:paraId="1AB612E0" w14:textId="6DECB892" w:rsidR="003109E8" w:rsidRPr="00740F17" w:rsidRDefault="003109E8" w:rsidP="003109E8">
      <w:pPr>
        <w:rPr>
          <w:rFonts w:ascii="Arial" w:hAnsi="Arial" w:cs="Arial"/>
        </w:rPr>
      </w:pPr>
      <w:r w:rsidRPr="00740F17">
        <w:rPr>
          <w:rFonts w:ascii="Arial" w:hAnsi="Arial" w:cs="Arial"/>
        </w:rPr>
        <w:t>Thirdly, employee autonomy should be increased through clear boundaries for decisions. Managers should set up the outcome, safety limits and budget, whereas the employees will decide how and when to act. This statement is supported by the research linking job autonomy and agility, ambidextrous innovation (Frare and Beuren, 2021). So autonomy should be paired with transparent goals and review points, not micromanagement and uncontrolled discretion.</w:t>
      </w:r>
    </w:p>
    <w:p w14:paraId="55FECF00" w14:textId="2A72F715" w:rsidR="003109E8" w:rsidRPr="00740F17" w:rsidRDefault="003109E8" w:rsidP="003109E8">
      <w:pPr>
        <w:rPr>
          <w:rFonts w:ascii="Arial" w:hAnsi="Arial" w:cs="Arial"/>
        </w:rPr>
      </w:pPr>
      <w:r w:rsidRPr="00740F17">
        <w:rPr>
          <w:rFonts w:ascii="Arial" w:hAnsi="Arial" w:cs="Arial"/>
        </w:rPr>
        <w:t xml:space="preserve">Fourthly, NHSX should apply agile project teams with short cycles of delivery, testing and retrospective learning. It will speed up the process and increase the amount of experiments. At the same time, healthcare technologies require high level of compliance, cybersecurity and clinical governance. For this reason, agile teams should operate according to the </w:t>
      </w:r>
      <w:r w:rsidR="00CD1A3A" w:rsidRPr="00740F17">
        <w:rPr>
          <w:rFonts w:ascii="Arial" w:hAnsi="Arial" w:cs="Arial"/>
        </w:rPr>
        <w:t>‘</w:t>
      </w:r>
      <w:r w:rsidRPr="00740F17">
        <w:rPr>
          <w:rFonts w:ascii="Arial" w:hAnsi="Arial" w:cs="Arial"/>
        </w:rPr>
        <w:t>freedom within guardrails</w:t>
      </w:r>
      <w:r w:rsidR="00CD1A3A" w:rsidRPr="00740F17">
        <w:rPr>
          <w:rFonts w:ascii="Arial" w:hAnsi="Arial" w:cs="Arial"/>
        </w:rPr>
        <w:t>’</w:t>
      </w:r>
      <w:r w:rsidRPr="00740F17">
        <w:rPr>
          <w:rFonts w:ascii="Arial" w:hAnsi="Arial" w:cs="Arial"/>
        </w:rPr>
        <w:t xml:space="preserve"> model, when the technical and clinical controls are mandatory, but daily delivery decisions are decentralised (Rigby, Elk and Berez, 2020).</w:t>
      </w:r>
    </w:p>
    <w:p w14:paraId="2B58129C" w14:textId="77777777" w:rsidR="003109E8" w:rsidRPr="00740F17" w:rsidRDefault="003109E8" w:rsidP="003109E8">
      <w:pPr>
        <w:rPr>
          <w:rFonts w:ascii="Arial" w:hAnsi="Arial" w:cs="Arial"/>
        </w:rPr>
      </w:pPr>
      <w:r w:rsidRPr="00740F17">
        <w:rPr>
          <w:rFonts w:ascii="Arial" w:hAnsi="Arial" w:cs="Arial"/>
        </w:rPr>
        <w:t>Fifthly, NHSX should develop the common digital collaboration platform consisting of secure video calls, shared workspaces, searchable knowledge repositories and projects dashboards. It is necessary since NHSX operates in three countries and asynchronous tools help to save knowledge, while scheduled synchronous sessions help to restore weak social contacts. According to Wang et al. (2021), social support and job autonomy help to overcome the challenges of remote working, whereas workload and monitoring can cause work-life interference. Thus, NHSX should monitor collaboration quality, not the number of online meetings.</w:t>
      </w:r>
    </w:p>
    <w:p w14:paraId="6CCEBBD1" w14:textId="77777777" w:rsidR="003109E8" w:rsidRPr="00740F17" w:rsidRDefault="003109E8" w:rsidP="003109E8">
      <w:pPr>
        <w:rPr>
          <w:rFonts w:ascii="Arial" w:hAnsi="Arial" w:cs="Arial"/>
        </w:rPr>
      </w:pPr>
      <w:r w:rsidRPr="00740F17">
        <w:rPr>
          <w:rFonts w:ascii="Arial" w:hAnsi="Arial" w:cs="Arial"/>
        </w:rPr>
        <w:t xml:space="preserve">The implementation should be monitored with the help of the small dashboard showing the duration of decision cycles, the participation of teams in projects, the number of ideas and quality of ideas, sprint lead time, wellbeing and voluntary turnover. The monthly review should help to compare results of different locations. It will give the </w:t>
      </w:r>
      <w:r w:rsidRPr="00740F17">
        <w:rPr>
          <w:rFonts w:ascii="Arial" w:hAnsi="Arial" w:cs="Arial"/>
        </w:rPr>
        <w:lastRenderedPageBreak/>
        <w:t>opportunity to adjust the new system and prevent the new model from becoming the policy without any impact on organisation.</w:t>
      </w:r>
    </w:p>
    <w:p w14:paraId="52083643" w14:textId="77777777" w:rsidR="003109E8" w:rsidRPr="00740F17" w:rsidRDefault="003109E8" w:rsidP="003109E8">
      <w:pPr>
        <w:rPr>
          <w:rFonts w:ascii="Arial" w:hAnsi="Arial" w:cs="Arial"/>
        </w:rPr>
      </w:pPr>
      <w:r w:rsidRPr="00740F17">
        <w:rPr>
          <w:rFonts w:ascii="Arial" w:hAnsi="Arial" w:cs="Arial"/>
        </w:rPr>
        <w:t>Thus, the recommended framework is based on HPWS, HIWS, agile working, purposeful hybrid work and sociotechnical design. The expected result is shorter decision cycles, increased knowledge sharing, higher creativity of employees and better utilisation of digital capabilities, while wellbeing, security and clinical responsibility are preserved. It is essential since the World Economic Forum (2025) names analytical thinking, resilience, flexibility, agility and creative thinking among the most important workforce skills for the future labour market.</w:t>
      </w:r>
    </w:p>
    <w:p w14:paraId="20169391" w14:textId="77777777" w:rsidR="00004F9E" w:rsidRPr="00740F17" w:rsidRDefault="00000000" w:rsidP="00661F79">
      <w:pPr>
        <w:jc w:val="center"/>
        <w:rPr>
          <w:rFonts w:ascii="Arial" w:hAnsi="Arial" w:cs="Arial"/>
        </w:rPr>
      </w:pPr>
      <w:r w:rsidRPr="00740F17">
        <w:rPr>
          <w:rFonts w:ascii="Arial" w:hAnsi="Arial" w:cs="Arial"/>
          <w:b/>
          <w:bCs/>
        </w:rPr>
        <w:t>Table 1:</w:t>
      </w:r>
      <w:r w:rsidRPr="00740F17">
        <w:rPr>
          <w:rFonts w:ascii="Arial" w:hAnsi="Arial" w:cs="Arial"/>
        </w:rPr>
        <w:t xml:space="preserve"> Proposed integrated innovative working practice framework for NHSX</w:t>
      </w:r>
    </w:p>
    <w:tbl>
      <w:tblPr>
        <w:tblStyle w:val="TableGrid"/>
        <w:tblW w:w="5000" w:type="pct"/>
        <w:tblLook w:val="04A0" w:firstRow="1" w:lastRow="0" w:firstColumn="1" w:lastColumn="0" w:noHBand="0" w:noVBand="1"/>
      </w:tblPr>
      <w:tblGrid>
        <w:gridCol w:w="1450"/>
        <w:gridCol w:w="2900"/>
        <w:gridCol w:w="2270"/>
        <w:gridCol w:w="2396"/>
      </w:tblGrid>
      <w:tr w:rsidR="00004F9E" w:rsidRPr="00740F17" w14:paraId="5FBCE3F5" w14:textId="77777777" w:rsidTr="003109E8">
        <w:tc>
          <w:tcPr>
            <w:tcW w:w="804" w:type="pct"/>
          </w:tcPr>
          <w:p w14:paraId="1D27D262" w14:textId="77777777" w:rsidR="00004F9E" w:rsidRPr="00740F17" w:rsidRDefault="00000000" w:rsidP="003109E8">
            <w:pPr>
              <w:jc w:val="center"/>
              <w:rPr>
                <w:rFonts w:ascii="Arial" w:hAnsi="Arial" w:cs="Arial"/>
                <w:b/>
                <w:bCs/>
                <w:szCs w:val="24"/>
              </w:rPr>
            </w:pPr>
            <w:r w:rsidRPr="00740F17">
              <w:rPr>
                <w:rFonts w:ascii="Arial" w:hAnsi="Arial" w:cs="Arial"/>
                <w:b/>
                <w:bCs/>
                <w:szCs w:val="24"/>
              </w:rPr>
              <w:t>Practice</w:t>
            </w:r>
          </w:p>
        </w:tc>
        <w:tc>
          <w:tcPr>
            <w:tcW w:w="1608" w:type="pct"/>
          </w:tcPr>
          <w:p w14:paraId="1BBEAFA1" w14:textId="77777777" w:rsidR="00004F9E" w:rsidRPr="00740F17" w:rsidRDefault="00000000" w:rsidP="003109E8">
            <w:pPr>
              <w:jc w:val="center"/>
              <w:rPr>
                <w:rFonts w:ascii="Arial" w:hAnsi="Arial" w:cs="Arial"/>
                <w:b/>
                <w:bCs/>
                <w:szCs w:val="24"/>
              </w:rPr>
            </w:pPr>
            <w:r w:rsidRPr="00740F17">
              <w:rPr>
                <w:rFonts w:ascii="Arial" w:hAnsi="Arial" w:cs="Arial"/>
                <w:b/>
                <w:bCs/>
                <w:szCs w:val="24"/>
              </w:rPr>
              <w:t>NHSX design</w:t>
            </w:r>
          </w:p>
        </w:tc>
        <w:tc>
          <w:tcPr>
            <w:tcW w:w="1259" w:type="pct"/>
          </w:tcPr>
          <w:p w14:paraId="7D646589" w14:textId="77777777" w:rsidR="00004F9E" w:rsidRPr="00740F17" w:rsidRDefault="00000000" w:rsidP="003109E8">
            <w:pPr>
              <w:jc w:val="center"/>
              <w:rPr>
                <w:rFonts w:ascii="Arial" w:hAnsi="Arial" w:cs="Arial"/>
                <w:b/>
                <w:bCs/>
                <w:szCs w:val="24"/>
              </w:rPr>
            </w:pPr>
            <w:r w:rsidRPr="00740F17">
              <w:rPr>
                <w:rFonts w:ascii="Arial" w:hAnsi="Arial" w:cs="Arial"/>
                <w:b/>
                <w:bCs/>
                <w:szCs w:val="24"/>
              </w:rPr>
              <w:t>Control</w:t>
            </w:r>
          </w:p>
        </w:tc>
        <w:tc>
          <w:tcPr>
            <w:tcW w:w="1329" w:type="pct"/>
          </w:tcPr>
          <w:p w14:paraId="0F9845DD" w14:textId="77777777" w:rsidR="00004F9E" w:rsidRPr="00740F17" w:rsidRDefault="00000000" w:rsidP="003109E8">
            <w:pPr>
              <w:jc w:val="center"/>
              <w:rPr>
                <w:rFonts w:ascii="Arial" w:hAnsi="Arial" w:cs="Arial"/>
                <w:b/>
                <w:bCs/>
                <w:szCs w:val="24"/>
              </w:rPr>
            </w:pPr>
            <w:r w:rsidRPr="00740F17">
              <w:rPr>
                <w:rFonts w:ascii="Arial" w:hAnsi="Arial" w:cs="Arial"/>
                <w:b/>
                <w:bCs/>
                <w:szCs w:val="24"/>
              </w:rPr>
              <w:t>Performance outcome</w:t>
            </w:r>
          </w:p>
        </w:tc>
      </w:tr>
      <w:tr w:rsidR="00004F9E" w:rsidRPr="00740F17" w14:paraId="4DF5AFED" w14:textId="77777777" w:rsidTr="003109E8">
        <w:tc>
          <w:tcPr>
            <w:tcW w:w="804" w:type="pct"/>
          </w:tcPr>
          <w:p w14:paraId="6C822271" w14:textId="77777777" w:rsidR="00004F9E" w:rsidRPr="00740F17" w:rsidRDefault="00000000" w:rsidP="003109E8">
            <w:pPr>
              <w:jc w:val="center"/>
              <w:rPr>
                <w:rFonts w:ascii="Arial" w:hAnsi="Arial" w:cs="Arial"/>
                <w:szCs w:val="24"/>
              </w:rPr>
            </w:pPr>
            <w:r w:rsidRPr="00740F17">
              <w:rPr>
                <w:rFonts w:ascii="Arial" w:hAnsi="Arial" w:cs="Arial"/>
                <w:szCs w:val="24"/>
              </w:rPr>
              <w:t>Cross-functional squads</w:t>
            </w:r>
          </w:p>
        </w:tc>
        <w:tc>
          <w:tcPr>
            <w:tcW w:w="1608" w:type="pct"/>
          </w:tcPr>
          <w:p w14:paraId="57702D3B" w14:textId="77777777" w:rsidR="00004F9E" w:rsidRPr="00740F17" w:rsidRDefault="00000000" w:rsidP="003109E8">
            <w:pPr>
              <w:jc w:val="center"/>
              <w:rPr>
                <w:rFonts w:ascii="Arial" w:hAnsi="Arial" w:cs="Arial"/>
                <w:szCs w:val="24"/>
              </w:rPr>
            </w:pPr>
            <w:r w:rsidRPr="00740F17">
              <w:rPr>
                <w:rFonts w:ascii="Arial" w:hAnsi="Arial" w:cs="Arial"/>
                <w:szCs w:val="24"/>
              </w:rPr>
              <w:t>Clinical + data + software + product</w:t>
            </w:r>
          </w:p>
        </w:tc>
        <w:tc>
          <w:tcPr>
            <w:tcW w:w="1259" w:type="pct"/>
          </w:tcPr>
          <w:p w14:paraId="058404BB" w14:textId="77777777" w:rsidR="00004F9E" w:rsidRPr="00740F17" w:rsidRDefault="00000000" w:rsidP="003109E8">
            <w:pPr>
              <w:jc w:val="center"/>
              <w:rPr>
                <w:rFonts w:ascii="Arial" w:hAnsi="Arial" w:cs="Arial"/>
                <w:szCs w:val="24"/>
              </w:rPr>
            </w:pPr>
            <w:r w:rsidRPr="00740F17">
              <w:rPr>
                <w:rFonts w:ascii="Arial" w:hAnsi="Arial" w:cs="Arial"/>
                <w:szCs w:val="24"/>
              </w:rPr>
              <w:t>Clear outcomes and sponsor review</w:t>
            </w:r>
          </w:p>
        </w:tc>
        <w:tc>
          <w:tcPr>
            <w:tcW w:w="1329" w:type="pct"/>
          </w:tcPr>
          <w:p w14:paraId="34B63AAC" w14:textId="77777777" w:rsidR="00004F9E" w:rsidRPr="00740F17" w:rsidRDefault="00000000" w:rsidP="003109E8">
            <w:pPr>
              <w:jc w:val="center"/>
              <w:rPr>
                <w:rFonts w:ascii="Arial" w:hAnsi="Arial" w:cs="Arial"/>
                <w:szCs w:val="24"/>
              </w:rPr>
            </w:pPr>
            <w:r w:rsidRPr="00740F17">
              <w:rPr>
                <w:rFonts w:ascii="Arial" w:hAnsi="Arial" w:cs="Arial"/>
                <w:szCs w:val="24"/>
              </w:rPr>
              <w:t>Faster problem solving and innovation</w:t>
            </w:r>
          </w:p>
        </w:tc>
      </w:tr>
      <w:tr w:rsidR="00004F9E" w:rsidRPr="00740F17" w14:paraId="3368A2D7" w14:textId="77777777" w:rsidTr="003109E8">
        <w:tc>
          <w:tcPr>
            <w:tcW w:w="804" w:type="pct"/>
          </w:tcPr>
          <w:p w14:paraId="656AEFF6" w14:textId="77777777" w:rsidR="00004F9E" w:rsidRPr="00740F17" w:rsidRDefault="00000000" w:rsidP="003109E8">
            <w:pPr>
              <w:jc w:val="center"/>
              <w:rPr>
                <w:rFonts w:ascii="Arial" w:hAnsi="Arial" w:cs="Arial"/>
                <w:szCs w:val="24"/>
              </w:rPr>
            </w:pPr>
            <w:r w:rsidRPr="00740F17">
              <w:rPr>
                <w:rFonts w:ascii="Arial" w:hAnsi="Arial" w:cs="Arial"/>
                <w:szCs w:val="24"/>
              </w:rPr>
              <w:t>Purpose-led hybrid</w:t>
            </w:r>
          </w:p>
        </w:tc>
        <w:tc>
          <w:tcPr>
            <w:tcW w:w="1608" w:type="pct"/>
          </w:tcPr>
          <w:p w14:paraId="52849A8A" w14:textId="77777777" w:rsidR="00004F9E" w:rsidRPr="00740F17" w:rsidRDefault="00000000" w:rsidP="003109E8">
            <w:pPr>
              <w:jc w:val="center"/>
              <w:rPr>
                <w:rFonts w:ascii="Arial" w:hAnsi="Arial" w:cs="Arial"/>
                <w:szCs w:val="24"/>
              </w:rPr>
            </w:pPr>
            <w:r w:rsidRPr="00740F17">
              <w:rPr>
                <w:rFonts w:ascii="Arial" w:hAnsi="Arial" w:cs="Arial"/>
                <w:szCs w:val="24"/>
              </w:rPr>
              <w:t>Remote focus; planned collaboration days</w:t>
            </w:r>
          </w:p>
        </w:tc>
        <w:tc>
          <w:tcPr>
            <w:tcW w:w="1259" w:type="pct"/>
          </w:tcPr>
          <w:p w14:paraId="442988BC" w14:textId="77777777" w:rsidR="00004F9E" w:rsidRPr="00740F17" w:rsidRDefault="00000000" w:rsidP="003109E8">
            <w:pPr>
              <w:jc w:val="center"/>
              <w:rPr>
                <w:rFonts w:ascii="Arial" w:hAnsi="Arial" w:cs="Arial"/>
                <w:szCs w:val="24"/>
              </w:rPr>
            </w:pPr>
            <w:r w:rsidRPr="00740F17">
              <w:rPr>
                <w:rFonts w:ascii="Arial" w:hAnsi="Arial" w:cs="Arial"/>
                <w:szCs w:val="24"/>
              </w:rPr>
              <w:t>Team-level operating agreements</w:t>
            </w:r>
          </w:p>
        </w:tc>
        <w:tc>
          <w:tcPr>
            <w:tcW w:w="1329" w:type="pct"/>
          </w:tcPr>
          <w:p w14:paraId="086F5DA8" w14:textId="77777777" w:rsidR="00004F9E" w:rsidRPr="00740F17" w:rsidRDefault="00000000" w:rsidP="003109E8">
            <w:pPr>
              <w:jc w:val="center"/>
              <w:rPr>
                <w:rFonts w:ascii="Arial" w:hAnsi="Arial" w:cs="Arial"/>
                <w:szCs w:val="24"/>
              </w:rPr>
            </w:pPr>
            <w:r w:rsidRPr="00740F17">
              <w:rPr>
                <w:rFonts w:ascii="Arial" w:hAnsi="Arial" w:cs="Arial"/>
                <w:szCs w:val="24"/>
              </w:rPr>
              <w:t>Better flexibility and knowledge sharing</w:t>
            </w:r>
          </w:p>
        </w:tc>
      </w:tr>
      <w:tr w:rsidR="00004F9E" w:rsidRPr="00740F17" w14:paraId="5E8B17AE" w14:textId="77777777" w:rsidTr="003109E8">
        <w:tc>
          <w:tcPr>
            <w:tcW w:w="804" w:type="pct"/>
          </w:tcPr>
          <w:p w14:paraId="503BDD68" w14:textId="77777777" w:rsidR="00004F9E" w:rsidRPr="00740F17" w:rsidRDefault="00000000" w:rsidP="003109E8">
            <w:pPr>
              <w:jc w:val="center"/>
              <w:rPr>
                <w:rFonts w:ascii="Arial" w:hAnsi="Arial" w:cs="Arial"/>
                <w:szCs w:val="24"/>
              </w:rPr>
            </w:pPr>
            <w:r w:rsidRPr="00740F17">
              <w:rPr>
                <w:rFonts w:ascii="Arial" w:hAnsi="Arial" w:cs="Arial"/>
                <w:szCs w:val="24"/>
              </w:rPr>
              <w:t>Bounded autonomy</w:t>
            </w:r>
          </w:p>
        </w:tc>
        <w:tc>
          <w:tcPr>
            <w:tcW w:w="1608" w:type="pct"/>
          </w:tcPr>
          <w:p w14:paraId="23A9CDAD" w14:textId="77777777" w:rsidR="00004F9E" w:rsidRPr="00740F17" w:rsidRDefault="00000000" w:rsidP="003109E8">
            <w:pPr>
              <w:jc w:val="center"/>
              <w:rPr>
                <w:rFonts w:ascii="Arial" w:hAnsi="Arial" w:cs="Arial"/>
                <w:szCs w:val="24"/>
              </w:rPr>
            </w:pPr>
            <w:r w:rsidRPr="00740F17">
              <w:rPr>
                <w:rFonts w:ascii="Arial" w:hAnsi="Arial" w:cs="Arial"/>
                <w:szCs w:val="24"/>
              </w:rPr>
              <w:t>Decision rights with safety limits</w:t>
            </w:r>
          </w:p>
        </w:tc>
        <w:tc>
          <w:tcPr>
            <w:tcW w:w="1259" w:type="pct"/>
          </w:tcPr>
          <w:p w14:paraId="44443918" w14:textId="77777777" w:rsidR="00004F9E" w:rsidRPr="00740F17" w:rsidRDefault="00000000" w:rsidP="003109E8">
            <w:pPr>
              <w:jc w:val="center"/>
              <w:rPr>
                <w:rFonts w:ascii="Arial" w:hAnsi="Arial" w:cs="Arial"/>
                <w:szCs w:val="24"/>
              </w:rPr>
            </w:pPr>
            <w:r w:rsidRPr="00740F17">
              <w:rPr>
                <w:rFonts w:ascii="Arial" w:hAnsi="Arial" w:cs="Arial"/>
                <w:szCs w:val="24"/>
              </w:rPr>
              <w:t>Goals, budgets and review points</w:t>
            </w:r>
          </w:p>
        </w:tc>
        <w:tc>
          <w:tcPr>
            <w:tcW w:w="1329" w:type="pct"/>
          </w:tcPr>
          <w:p w14:paraId="084F1FFE" w14:textId="77777777" w:rsidR="00004F9E" w:rsidRPr="00740F17" w:rsidRDefault="00000000" w:rsidP="003109E8">
            <w:pPr>
              <w:jc w:val="center"/>
              <w:rPr>
                <w:rFonts w:ascii="Arial" w:hAnsi="Arial" w:cs="Arial"/>
                <w:szCs w:val="24"/>
              </w:rPr>
            </w:pPr>
            <w:r w:rsidRPr="00740F17">
              <w:rPr>
                <w:rFonts w:ascii="Arial" w:hAnsi="Arial" w:cs="Arial"/>
                <w:szCs w:val="24"/>
              </w:rPr>
              <w:t>Speed, ownership and creativity</w:t>
            </w:r>
          </w:p>
        </w:tc>
      </w:tr>
      <w:tr w:rsidR="00004F9E" w:rsidRPr="00740F17" w14:paraId="3DCD459C" w14:textId="77777777" w:rsidTr="003109E8">
        <w:tc>
          <w:tcPr>
            <w:tcW w:w="804" w:type="pct"/>
          </w:tcPr>
          <w:p w14:paraId="19186832" w14:textId="77777777" w:rsidR="00004F9E" w:rsidRPr="00740F17" w:rsidRDefault="00000000" w:rsidP="003109E8">
            <w:pPr>
              <w:jc w:val="center"/>
              <w:rPr>
                <w:rFonts w:ascii="Arial" w:hAnsi="Arial" w:cs="Arial"/>
                <w:szCs w:val="24"/>
              </w:rPr>
            </w:pPr>
            <w:r w:rsidRPr="00740F17">
              <w:rPr>
                <w:rFonts w:ascii="Arial" w:hAnsi="Arial" w:cs="Arial"/>
                <w:szCs w:val="24"/>
              </w:rPr>
              <w:t>Agile delivery</w:t>
            </w:r>
          </w:p>
        </w:tc>
        <w:tc>
          <w:tcPr>
            <w:tcW w:w="1608" w:type="pct"/>
          </w:tcPr>
          <w:p w14:paraId="586214EA" w14:textId="77777777" w:rsidR="00004F9E" w:rsidRPr="00740F17" w:rsidRDefault="00000000" w:rsidP="003109E8">
            <w:pPr>
              <w:jc w:val="center"/>
              <w:rPr>
                <w:rFonts w:ascii="Arial" w:hAnsi="Arial" w:cs="Arial"/>
                <w:szCs w:val="24"/>
              </w:rPr>
            </w:pPr>
            <w:r w:rsidRPr="00740F17">
              <w:rPr>
                <w:rFonts w:ascii="Arial" w:hAnsi="Arial" w:cs="Arial"/>
                <w:szCs w:val="24"/>
              </w:rPr>
              <w:t>Short sprints, testing and retrospectives</w:t>
            </w:r>
          </w:p>
        </w:tc>
        <w:tc>
          <w:tcPr>
            <w:tcW w:w="1259" w:type="pct"/>
          </w:tcPr>
          <w:p w14:paraId="45C92B2D" w14:textId="77777777" w:rsidR="00004F9E" w:rsidRPr="00740F17" w:rsidRDefault="00000000" w:rsidP="003109E8">
            <w:pPr>
              <w:jc w:val="center"/>
              <w:rPr>
                <w:rFonts w:ascii="Arial" w:hAnsi="Arial" w:cs="Arial"/>
                <w:szCs w:val="24"/>
              </w:rPr>
            </w:pPr>
            <w:r w:rsidRPr="00740F17">
              <w:rPr>
                <w:rFonts w:ascii="Arial" w:hAnsi="Arial" w:cs="Arial"/>
                <w:szCs w:val="24"/>
              </w:rPr>
              <w:t>Clinical, cyber and compliance gates</w:t>
            </w:r>
          </w:p>
        </w:tc>
        <w:tc>
          <w:tcPr>
            <w:tcW w:w="1329" w:type="pct"/>
          </w:tcPr>
          <w:p w14:paraId="518A32D7" w14:textId="77777777" w:rsidR="00004F9E" w:rsidRPr="00740F17" w:rsidRDefault="00000000" w:rsidP="003109E8">
            <w:pPr>
              <w:jc w:val="center"/>
              <w:rPr>
                <w:rFonts w:ascii="Arial" w:hAnsi="Arial" w:cs="Arial"/>
                <w:szCs w:val="24"/>
              </w:rPr>
            </w:pPr>
            <w:r w:rsidRPr="00740F17">
              <w:rPr>
                <w:rFonts w:ascii="Arial" w:hAnsi="Arial" w:cs="Arial"/>
                <w:szCs w:val="24"/>
              </w:rPr>
              <w:t>Faster learning and delivery</w:t>
            </w:r>
          </w:p>
        </w:tc>
      </w:tr>
      <w:tr w:rsidR="00004F9E" w:rsidRPr="00740F17" w14:paraId="7865E2F9" w14:textId="77777777" w:rsidTr="003109E8">
        <w:tc>
          <w:tcPr>
            <w:tcW w:w="804" w:type="pct"/>
          </w:tcPr>
          <w:p w14:paraId="06F453E8" w14:textId="77777777" w:rsidR="00807F53" w:rsidRPr="00740F17" w:rsidRDefault="00000000" w:rsidP="00CD1A3A">
            <w:pPr>
              <w:rPr>
                <w:rFonts w:ascii="Arial" w:hAnsi="Arial" w:cs="Arial"/>
              </w:rPr>
            </w:pPr>
            <w:r w:rsidRPr="00740F17">
              <w:rPr>
                <w:rFonts w:ascii="Arial" w:hAnsi="Arial" w:cs="Arial"/>
              </w:rPr>
              <w:t>Digital tools</w:t>
            </w:r>
          </w:p>
        </w:tc>
        <w:tc>
          <w:tcPr>
            <w:tcW w:w="1608" w:type="pct"/>
          </w:tcPr>
          <w:p w14:paraId="6643A3C6" w14:textId="77777777" w:rsidR="00004F9E" w:rsidRPr="00740F17" w:rsidRDefault="00000000" w:rsidP="003109E8">
            <w:pPr>
              <w:jc w:val="center"/>
              <w:rPr>
                <w:rFonts w:ascii="Arial" w:hAnsi="Arial" w:cs="Arial"/>
                <w:szCs w:val="24"/>
              </w:rPr>
            </w:pPr>
            <w:r w:rsidRPr="00740F17">
              <w:rPr>
                <w:rFonts w:ascii="Arial" w:hAnsi="Arial" w:cs="Arial"/>
                <w:szCs w:val="24"/>
              </w:rPr>
              <w:t>Secure video, shared spaces, searchable knowledge</w:t>
            </w:r>
          </w:p>
        </w:tc>
        <w:tc>
          <w:tcPr>
            <w:tcW w:w="1259" w:type="pct"/>
          </w:tcPr>
          <w:p w14:paraId="4BEEE17C" w14:textId="77777777" w:rsidR="00004F9E" w:rsidRPr="00740F17" w:rsidRDefault="00000000" w:rsidP="003109E8">
            <w:pPr>
              <w:jc w:val="center"/>
              <w:rPr>
                <w:rFonts w:ascii="Arial" w:hAnsi="Arial" w:cs="Arial"/>
                <w:szCs w:val="24"/>
              </w:rPr>
            </w:pPr>
            <w:r w:rsidRPr="00740F17">
              <w:rPr>
                <w:rFonts w:ascii="Arial" w:hAnsi="Arial" w:cs="Arial"/>
                <w:szCs w:val="24"/>
              </w:rPr>
              <w:t>Access controls and usage standards</w:t>
            </w:r>
          </w:p>
        </w:tc>
        <w:tc>
          <w:tcPr>
            <w:tcW w:w="1329" w:type="pct"/>
          </w:tcPr>
          <w:p w14:paraId="264D23DF" w14:textId="77777777" w:rsidR="00004F9E" w:rsidRPr="00740F17" w:rsidRDefault="00000000" w:rsidP="003109E8">
            <w:pPr>
              <w:jc w:val="center"/>
              <w:rPr>
                <w:rFonts w:ascii="Arial" w:hAnsi="Arial" w:cs="Arial"/>
                <w:szCs w:val="24"/>
              </w:rPr>
            </w:pPr>
            <w:r w:rsidRPr="00740F17">
              <w:rPr>
                <w:rFonts w:ascii="Arial" w:hAnsi="Arial" w:cs="Arial"/>
                <w:szCs w:val="24"/>
              </w:rPr>
              <w:t>Continuity across UK, India and UAE</w:t>
            </w:r>
          </w:p>
        </w:tc>
      </w:tr>
    </w:tbl>
    <w:p w14:paraId="4F2BE97D" w14:textId="67167FEF" w:rsidR="00E052A9" w:rsidRPr="00740F17" w:rsidRDefault="00E052A9" w:rsidP="00CD1A3A">
      <w:pPr>
        <w:pStyle w:val="Heading1"/>
        <w:rPr>
          <w:rFonts w:ascii="Arial" w:hAnsi="Arial" w:cs="Arial"/>
          <w:color w:val="365F91" w:themeColor="accent1" w:themeShade="BF"/>
        </w:rPr>
      </w:pPr>
      <w:bookmarkStart w:id="3" w:name="_Toc242731660"/>
      <w:bookmarkStart w:id="4" w:name="_Toc242735262"/>
      <w:r w:rsidRPr="00740F17">
        <w:rPr>
          <w:rFonts w:ascii="Arial" w:hAnsi="Arial" w:cs="Arial"/>
        </w:rPr>
        <w:t>Task B: Breeding an Environment Where Talent May Grow</w:t>
      </w:r>
      <w:bookmarkEnd w:id="3"/>
      <w:bookmarkEnd w:id="4"/>
    </w:p>
    <w:p w14:paraId="62A9335B" w14:textId="77777777" w:rsidR="00E052A9" w:rsidRPr="00740F17" w:rsidRDefault="00E052A9" w:rsidP="00E052A9">
      <w:pPr>
        <w:pStyle w:val="Heading2"/>
        <w:rPr>
          <w:rFonts w:ascii="Arial" w:hAnsi="Arial" w:cs="Arial"/>
        </w:rPr>
      </w:pPr>
      <w:bookmarkStart w:id="5" w:name="_Toc242731661"/>
      <w:bookmarkStart w:id="6" w:name="_Toc242735263"/>
      <w:r w:rsidRPr="00740F17">
        <w:rPr>
          <w:rFonts w:ascii="Arial" w:hAnsi="Arial" w:cs="Arial"/>
        </w:rPr>
        <w:t>B.1 Critical evaluation of how talent flourishes</w:t>
      </w:r>
      <w:bookmarkEnd w:id="5"/>
      <w:bookmarkEnd w:id="6"/>
    </w:p>
    <w:p w14:paraId="102406D3" w14:textId="6FB2B090" w:rsidR="00E052A9" w:rsidRPr="00740F17" w:rsidRDefault="00E052A9" w:rsidP="00E052A9">
      <w:pPr>
        <w:rPr>
          <w:rFonts w:ascii="Arial" w:hAnsi="Arial" w:cs="Arial"/>
          <w:color w:val="000000"/>
        </w:rPr>
      </w:pPr>
      <w:r w:rsidRPr="00740F17">
        <w:rPr>
          <w:rFonts w:ascii="Arial" w:hAnsi="Arial" w:cs="Arial"/>
          <w:color w:val="000000"/>
        </w:rPr>
        <w:t>NHSX consists of about 600 people in the UK, India and the UAE. The case describes high-performers</w:t>
      </w:r>
      <w:r w:rsidR="00CD1A3A" w:rsidRPr="00740F17">
        <w:rPr>
          <w:rFonts w:ascii="Arial" w:hAnsi="Arial" w:cs="Arial"/>
          <w:color w:val="000000"/>
        </w:rPr>
        <w:t>’</w:t>
      </w:r>
      <w:r w:rsidRPr="00740F17">
        <w:rPr>
          <w:rFonts w:ascii="Arial" w:hAnsi="Arial" w:cs="Arial"/>
          <w:color w:val="000000"/>
        </w:rPr>
        <w:t xml:space="preserve"> departures, career development and learning issues, and pressure </w:t>
      </w:r>
      <w:r w:rsidRPr="00740F17">
        <w:rPr>
          <w:rFonts w:ascii="Arial" w:hAnsi="Arial" w:cs="Arial"/>
          <w:color w:val="000000"/>
        </w:rPr>
        <w:lastRenderedPageBreak/>
        <w:t xml:space="preserve">to perform. A talent ecosystem must be an integral system of learning, career mobility, motivation, psychological safety and wellbeing rather than an array of separate courses. </w:t>
      </w:r>
    </w:p>
    <w:p w14:paraId="51267B2F" w14:textId="073255B9" w:rsidR="00E052A9" w:rsidRPr="00740F17" w:rsidRDefault="00E052A9" w:rsidP="00E052A9">
      <w:pPr>
        <w:rPr>
          <w:rFonts w:ascii="Arial" w:hAnsi="Arial" w:cs="Arial"/>
          <w:color w:val="000000"/>
        </w:rPr>
      </w:pPr>
      <w:r w:rsidRPr="00740F17">
        <w:rPr>
          <w:rFonts w:ascii="Arial" w:hAnsi="Arial" w:cs="Arial"/>
          <w:color w:val="000000"/>
        </w:rPr>
        <w:t xml:space="preserve">Learning-organisation concept of Senge makes continuous learning and knowledge sharing the key to success. Alerasoul </w:t>
      </w:r>
      <w:r w:rsidRPr="00740F17">
        <w:rPr>
          <w:rFonts w:ascii="Arial" w:hAnsi="Arial" w:cs="Arial"/>
          <w:i/>
          <w:iCs/>
          <w:color w:val="000000"/>
        </w:rPr>
        <w:t>et al</w:t>
      </w:r>
      <w:r w:rsidRPr="00740F17">
        <w:rPr>
          <w:rFonts w:ascii="Arial" w:hAnsi="Arial" w:cs="Arial"/>
          <w:color w:val="000000"/>
        </w:rPr>
        <w:t>. (2022) associate organizational learning competencies with innovation and performance showing that culture, leadership, human resources practices and digital technologies must work in sync. Digital learning provides flexible access to information for a remote workforce; yet, Giannakos, Mikalef and Pappas (2022) prove that technology can facilitate learning but cannot replace proper learning design and its application. Thus, NHSX should value employees</w:t>
      </w:r>
      <w:r w:rsidR="00CD1A3A" w:rsidRPr="00740F17">
        <w:rPr>
          <w:rFonts w:ascii="Arial" w:hAnsi="Arial" w:cs="Arial"/>
          <w:color w:val="000000"/>
        </w:rPr>
        <w:t>’</w:t>
      </w:r>
      <w:r w:rsidRPr="00740F17">
        <w:rPr>
          <w:rFonts w:ascii="Arial" w:hAnsi="Arial" w:cs="Arial"/>
          <w:color w:val="000000"/>
        </w:rPr>
        <w:t xml:space="preserve"> usage of acquired skills in projects instead of only their participation in courses. </w:t>
      </w:r>
    </w:p>
    <w:p w14:paraId="4C508C32" w14:textId="3229EF80" w:rsidR="00E052A9" w:rsidRPr="00740F17" w:rsidRDefault="00E052A9" w:rsidP="00E052A9">
      <w:pPr>
        <w:rPr>
          <w:rFonts w:ascii="Arial" w:hAnsi="Arial" w:cs="Arial"/>
          <w:color w:val="000000"/>
        </w:rPr>
      </w:pPr>
      <w:r w:rsidRPr="00740F17">
        <w:rPr>
          <w:rFonts w:ascii="Arial" w:hAnsi="Arial" w:cs="Arial"/>
          <w:color w:val="000000"/>
        </w:rPr>
        <w:t>Growth mindsets allow individuals to treat abilities as skills developable through effort, feedback and practice. Han and Stieha (2020) discuss ways to incorporate growth mindsets in human resource development. Slogans based on growth mindsets, though, can blame employees for lack of training, time or resources. Developmental feedback, coaching, allocation of learning time and equality of opportunities have to go hand in hand at NHSX. It is also crucial to ensure psychological safety when employees feel free to doubt assumptions, reveal errors and object to unsafe AI outputs. Interventions encouraging employees to speak out worked in the research by O</w:t>
      </w:r>
      <w:r w:rsidR="00CD1A3A" w:rsidRPr="00740F17">
        <w:rPr>
          <w:rFonts w:ascii="Arial" w:hAnsi="Arial" w:cs="Arial"/>
          <w:color w:val="000000"/>
        </w:rPr>
        <w:t>’</w:t>
      </w:r>
      <w:r w:rsidRPr="00740F17">
        <w:rPr>
          <w:rFonts w:ascii="Arial" w:hAnsi="Arial" w:cs="Arial"/>
          <w:color w:val="000000"/>
        </w:rPr>
        <w:t xml:space="preserve">Donovan and McAuliffe (2020); however, effectiveness of interventions proved inconsistent and education alone might not change behaviour. Thus, it is necessary to demonstrate safety in everyday leadership instead of providing one-time workshops. </w:t>
      </w:r>
    </w:p>
    <w:p w14:paraId="491F3700" w14:textId="77777777" w:rsidR="00E052A9" w:rsidRPr="00740F17" w:rsidRDefault="00E052A9" w:rsidP="00E052A9">
      <w:pPr>
        <w:rPr>
          <w:rFonts w:ascii="Arial" w:hAnsi="Arial" w:cs="Arial"/>
          <w:color w:val="000000"/>
        </w:rPr>
      </w:pPr>
      <w:r w:rsidRPr="00740F17">
        <w:rPr>
          <w:rFonts w:ascii="Arial" w:hAnsi="Arial" w:cs="Arial"/>
          <w:color w:val="000000"/>
        </w:rPr>
        <w:t xml:space="preserve">Self-determination theory states that motivation increases if autonomy, competence and relatedness are developed. A meta-analysis of 124 samples by Van den Broeck </w:t>
      </w:r>
      <w:r w:rsidRPr="00740F17">
        <w:rPr>
          <w:rFonts w:ascii="Arial" w:hAnsi="Arial" w:cs="Arial"/>
          <w:i/>
          <w:iCs/>
          <w:color w:val="000000"/>
        </w:rPr>
        <w:t>et al</w:t>
      </w:r>
      <w:r w:rsidRPr="00740F17">
        <w:rPr>
          <w:rFonts w:ascii="Arial" w:hAnsi="Arial" w:cs="Arial"/>
          <w:color w:val="000000"/>
        </w:rPr>
        <w:t>. (2021) proves that intrinsic motivation is particularly important for wellbeing, while personally valuable motivation is important for performance. Workplace interventions aimed at meeting these basic needs are recommended by Slemp, Lee and Mossman (2021). Job crafting can provide an opportunity for employees to modify tasks and relations in accordance with their strengths; a review of Kumar and Valarmathi (2022) finds associations between job crafting and work engagement and job outcomes. If done unlimitedly, though, job crafting may result in fragmenting of clinical, cybersecurity or AI governance responsibilities. Therefore, NHSX should provide employees with freedom of choice within clearly defined safety and role boundaries.</w:t>
      </w:r>
    </w:p>
    <w:p w14:paraId="4D8DD6DD" w14:textId="77777777" w:rsidR="00E052A9" w:rsidRPr="00740F17" w:rsidRDefault="00E052A9" w:rsidP="00E052A9">
      <w:pPr>
        <w:rPr>
          <w:rFonts w:ascii="Arial" w:hAnsi="Arial" w:cs="Arial"/>
          <w:b/>
          <w:bCs/>
          <w:color w:val="000000"/>
        </w:rPr>
      </w:pPr>
      <w:r w:rsidRPr="00740F17">
        <w:rPr>
          <w:rFonts w:ascii="Arial" w:hAnsi="Arial" w:cs="Arial"/>
          <w:color w:val="000000"/>
        </w:rPr>
        <w:lastRenderedPageBreak/>
        <w:t xml:space="preserve">Talent management and employee experience are also relevant. Career development will show that the organisation is aware of the value of their employees, since Ng </w:t>
      </w:r>
      <w:r w:rsidRPr="00740F17">
        <w:rPr>
          <w:rFonts w:ascii="Arial" w:hAnsi="Arial" w:cs="Arial"/>
          <w:i/>
          <w:iCs/>
          <w:color w:val="000000"/>
        </w:rPr>
        <w:t>et al</w:t>
      </w:r>
      <w:r w:rsidRPr="00740F17">
        <w:rPr>
          <w:rFonts w:ascii="Arial" w:hAnsi="Arial" w:cs="Arial"/>
          <w:color w:val="000000"/>
        </w:rPr>
        <w:t>. (2024) found that employer-provided career development programmes were positively associated with work performance and reduced turnover via organisational support and organisational attachment. Sinisterra, Peñalver and Salanova (2024) also relate talent management to engagement and turnover intention. However, these associations do not happen automatically; unspoken promotion opportunities or training programmes that only benefit head office staff can increase inequality. A good system would have transparent criteria and metrics for opportunity provision.</w:t>
      </w:r>
    </w:p>
    <w:p w14:paraId="5578AA49" w14:textId="77777777" w:rsidR="00E052A9" w:rsidRPr="00740F17" w:rsidRDefault="00E052A9" w:rsidP="00E052A9">
      <w:pPr>
        <w:pStyle w:val="Heading2"/>
        <w:rPr>
          <w:rFonts w:ascii="Arial" w:hAnsi="Arial" w:cs="Arial"/>
        </w:rPr>
      </w:pPr>
      <w:bookmarkStart w:id="7" w:name="_Toc242731662"/>
      <w:bookmarkStart w:id="8" w:name="_Toc242735264"/>
      <w:r w:rsidRPr="00740F17">
        <w:rPr>
          <w:rFonts w:ascii="Arial" w:hAnsi="Arial" w:cs="Arial"/>
        </w:rPr>
        <w:t>B.2 Strategic talent-growth strategy for NHSX</w:t>
      </w:r>
      <w:bookmarkEnd w:id="7"/>
      <w:bookmarkEnd w:id="8"/>
    </w:p>
    <w:p w14:paraId="11298FBC" w14:textId="26C4A728" w:rsidR="00E052A9" w:rsidRPr="00740F17" w:rsidRDefault="00E052A9" w:rsidP="00E052A9">
      <w:pPr>
        <w:rPr>
          <w:rFonts w:ascii="Arial" w:hAnsi="Arial" w:cs="Arial"/>
          <w:color w:val="000000"/>
        </w:rPr>
      </w:pPr>
      <w:r w:rsidRPr="00740F17">
        <w:rPr>
          <w:rFonts w:ascii="Arial" w:hAnsi="Arial" w:cs="Arial"/>
          <w:color w:val="000000"/>
        </w:rPr>
        <w:t xml:space="preserve">NHSX should implement the </w:t>
      </w:r>
      <w:r w:rsidR="00CD1A3A" w:rsidRPr="00740F17">
        <w:rPr>
          <w:rFonts w:ascii="Arial" w:hAnsi="Arial" w:cs="Arial"/>
          <w:color w:val="000000"/>
        </w:rPr>
        <w:t>‘</w:t>
      </w:r>
      <w:r w:rsidRPr="00740F17">
        <w:rPr>
          <w:rFonts w:ascii="Arial" w:hAnsi="Arial" w:cs="Arial"/>
          <w:color w:val="000000"/>
        </w:rPr>
        <w:t>Grow at NexSpace</w:t>
      </w:r>
      <w:r w:rsidR="00CD1A3A" w:rsidRPr="00740F17">
        <w:rPr>
          <w:rFonts w:ascii="Arial" w:hAnsi="Arial" w:cs="Arial"/>
          <w:color w:val="000000"/>
        </w:rPr>
        <w:t>’</w:t>
      </w:r>
      <w:r w:rsidRPr="00740F17">
        <w:rPr>
          <w:rFonts w:ascii="Arial" w:hAnsi="Arial" w:cs="Arial"/>
          <w:color w:val="000000"/>
        </w:rPr>
        <w:t xml:space="preserve"> ecosystem based on five elements led by HR and business leaders. First, assess existing and desired competencies in AI assurance, clinical safety, data science, cybersecurity, product design and customer implementation. Individual development plans should be developed with employees and managers quarterly, taking into account skills review, setting one competency objective, providing a specific task and review date. It addresses the growing challenge of skill gaps: according to the World Economic Forum (2023), six out of ten workers will require training until 2027, while only about half of them had sufficient training opportunities. NHSX should develop blended learning solutions comprising digital modules, projects, peer learning and coaching; Kraiger and Ford (2021) emphasize the key role of the learning process design and transfer to work. </w:t>
      </w:r>
    </w:p>
    <w:p w14:paraId="027BD147" w14:textId="77777777" w:rsidR="00E052A9" w:rsidRPr="00740F17" w:rsidRDefault="00E052A9" w:rsidP="00E052A9">
      <w:pPr>
        <w:keepLines/>
        <w:rPr>
          <w:rFonts w:ascii="Arial" w:hAnsi="Arial" w:cs="Arial"/>
          <w:color w:val="000000"/>
        </w:rPr>
      </w:pPr>
      <w:r w:rsidRPr="00740F17">
        <w:rPr>
          <w:rFonts w:ascii="Arial" w:hAnsi="Arial" w:cs="Arial"/>
          <w:color w:val="000000"/>
        </w:rPr>
        <w:t xml:space="preserve">Second, make career development visible. Design the competency-based progression pathways for technical, clinical, product and people-leadership tracks with promotion evidence and salary brackets where possible. Announce internal openings and give preference to internal placement and rotation across countries over external hiring if skill requirements match. Assign mentors to early-career employees without excluding others from mentoring. Ng </w:t>
      </w:r>
      <w:r w:rsidRPr="00740F17">
        <w:rPr>
          <w:rFonts w:ascii="Arial" w:hAnsi="Arial" w:cs="Arial"/>
          <w:i/>
          <w:iCs/>
          <w:color w:val="000000"/>
        </w:rPr>
        <w:t>et al</w:t>
      </w:r>
      <w:r w:rsidRPr="00740F17">
        <w:rPr>
          <w:rFonts w:ascii="Arial" w:hAnsi="Arial" w:cs="Arial"/>
          <w:color w:val="000000"/>
        </w:rPr>
        <w:t xml:space="preserve">. (2024) advocate institutionalised and career-oriented development as a sign of organisational support. </w:t>
      </w:r>
    </w:p>
    <w:p w14:paraId="63184A30" w14:textId="19C9ADC4" w:rsidR="00E052A9" w:rsidRPr="00740F17" w:rsidRDefault="00E052A9" w:rsidP="00E052A9">
      <w:pPr>
        <w:keepLines/>
        <w:rPr>
          <w:rFonts w:ascii="Arial" w:hAnsi="Arial" w:cs="Arial"/>
          <w:color w:val="000000"/>
        </w:rPr>
      </w:pPr>
      <w:r w:rsidRPr="00740F17">
        <w:rPr>
          <w:rFonts w:ascii="Arial" w:hAnsi="Arial" w:cs="Arial"/>
          <w:color w:val="000000"/>
        </w:rPr>
        <w:lastRenderedPageBreak/>
        <w:t>Third, promote learning and psychological safety in everyday activities. Create cross-discipline communities of practices, monthly learning events and blameless post-project setback analysis. The leaders should encourage dissent, explain their decisions and react to employee</w:t>
      </w:r>
      <w:r w:rsidR="00CD1A3A" w:rsidRPr="00740F17">
        <w:rPr>
          <w:rFonts w:ascii="Arial" w:hAnsi="Arial" w:cs="Arial"/>
          <w:color w:val="000000"/>
        </w:rPr>
        <w:t>’</w:t>
      </w:r>
      <w:r w:rsidRPr="00740F17">
        <w:rPr>
          <w:rFonts w:ascii="Arial" w:hAnsi="Arial" w:cs="Arial"/>
          <w:color w:val="000000"/>
        </w:rPr>
        <w:t>s questions openly. Learning from mistakes should not undermine the accountability of employees for intentional violation of clinical, privacy and security policies. It is critical for a company operating in the sphere of healthcare technology where experimentations and safety should go together (O</w:t>
      </w:r>
      <w:r w:rsidR="00CD1A3A" w:rsidRPr="00740F17">
        <w:rPr>
          <w:rFonts w:ascii="Arial" w:hAnsi="Arial" w:cs="Arial"/>
          <w:color w:val="000000"/>
        </w:rPr>
        <w:t>’</w:t>
      </w:r>
      <w:r w:rsidRPr="00740F17">
        <w:rPr>
          <w:rFonts w:ascii="Arial" w:hAnsi="Arial" w:cs="Arial"/>
          <w:color w:val="000000"/>
        </w:rPr>
        <w:t xml:space="preserve">Donovan and McAuliffe, 2020). </w:t>
      </w:r>
    </w:p>
    <w:p w14:paraId="35E2F286" w14:textId="77777777" w:rsidR="00E052A9" w:rsidRPr="00740F17" w:rsidRDefault="00E052A9" w:rsidP="00E052A9">
      <w:pPr>
        <w:keepLines/>
        <w:rPr>
          <w:rFonts w:ascii="Arial" w:hAnsi="Arial" w:cs="Arial"/>
          <w:color w:val="000000"/>
        </w:rPr>
      </w:pPr>
      <w:r w:rsidRPr="00740F17">
        <w:rPr>
          <w:rFonts w:ascii="Arial" w:hAnsi="Arial" w:cs="Arial"/>
          <w:color w:val="000000"/>
        </w:rPr>
        <w:t xml:space="preserve">Fourth, empower employees and help them craft jobs and wellbeing. Provide employees with the freedom to suggest changes within set boundaries, to shape tasks and develop new skills. Educate managers on discussing workloads, giving useful feedback and recognizing the signs of overload. Review the goals so that learning and knowledge exchange are not perceived as distractions from results. It aligns motivation and autonomy support with sustainable performance (Van den Broeck </w:t>
      </w:r>
      <w:r w:rsidRPr="00740F17">
        <w:rPr>
          <w:rFonts w:ascii="Arial" w:hAnsi="Arial" w:cs="Arial"/>
          <w:i/>
          <w:iCs/>
          <w:color w:val="000000"/>
        </w:rPr>
        <w:t>et al</w:t>
      </w:r>
      <w:r w:rsidRPr="00740F17">
        <w:rPr>
          <w:rFonts w:ascii="Arial" w:hAnsi="Arial" w:cs="Arial"/>
          <w:color w:val="000000"/>
        </w:rPr>
        <w:t xml:space="preserve">., 2021; Slemp, Lee and Mossman, 2021). </w:t>
      </w:r>
    </w:p>
    <w:p w14:paraId="5E7EDC6A" w14:textId="77777777" w:rsidR="00E052A9" w:rsidRPr="00740F17" w:rsidRDefault="00E052A9" w:rsidP="00E052A9">
      <w:pPr>
        <w:keepLines/>
        <w:rPr>
          <w:rFonts w:ascii="Arial" w:hAnsi="Arial" w:cs="Arial"/>
          <w:color w:val="000000"/>
        </w:rPr>
      </w:pPr>
      <w:r w:rsidRPr="00740F17">
        <w:rPr>
          <w:rFonts w:ascii="Arial" w:hAnsi="Arial" w:cs="Arial"/>
          <w:color w:val="000000"/>
        </w:rPr>
        <w:t>Finally, monitor results quarterly. Set up a baseline and measure the rate of voluntary turnover among high-performers, fill-rates for internal openings, completion and utilization of priority skills in workplace, promotion patterns by country and position, psychological safety pulse scores, and well-being levels. HR needs to inform the board about the results and make amendments to programs wherever there are inconsistencies. NHSX can only be able to retain talent if its employees grow, are given equal opportunities, meaningful tasks and safe environments.</w:t>
      </w:r>
    </w:p>
    <w:p w14:paraId="43DAB143" w14:textId="63665BD6" w:rsidR="00807F53" w:rsidRPr="00740F17" w:rsidRDefault="004076D8" w:rsidP="004076D8">
      <w:pPr>
        <w:jc w:val="center"/>
        <w:rPr>
          <w:rFonts w:ascii="Arial" w:hAnsi="Arial" w:cs="Arial"/>
        </w:rPr>
      </w:pPr>
      <w:r w:rsidRPr="00740F17">
        <w:rPr>
          <w:rFonts w:ascii="Arial" w:hAnsi="Arial" w:cs="Arial"/>
          <w:noProof/>
        </w:rPr>
        <w:lastRenderedPageBreak/>
        <w:drawing>
          <wp:inline distT="0" distB="0" distL="0" distR="0" wp14:anchorId="2C4015C6" wp14:editId="34BF5682">
            <wp:extent cx="5703570" cy="2851785"/>
            <wp:effectExtent l="0" t="0" r="0" b="5715"/>
            <wp:docPr id="76386672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03570" cy="2851785"/>
                    </a:xfrm>
                    <a:prstGeom prst="rect">
                      <a:avLst/>
                    </a:prstGeom>
                    <a:noFill/>
                  </pic:spPr>
                </pic:pic>
              </a:graphicData>
            </a:graphic>
          </wp:inline>
        </w:drawing>
      </w:r>
    </w:p>
    <w:p w14:paraId="021E1EDE" w14:textId="19740128" w:rsidR="004076D8" w:rsidRPr="00740F17" w:rsidRDefault="00000000" w:rsidP="004076D8">
      <w:pPr>
        <w:jc w:val="center"/>
        <w:rPr>
          <w:rFonts w:ascii="Arial" w:hAnsi="Arial" w:cs="Arial"/>
        </w:rPr>
      </w:pPr>
      <w:r w:rsidRPr="00740F17">
        <w:rPr>
          <w:rFonts w:ascii="Arial" w:hAnsi="Arial" w:cs="Arial"/>
          <w:b/>
          <w:bCs/>
        </w:rPr>
        <w:t>Figure 2</w:t>
      </w:r>
      <w:r w:rsidR="004076D8" w:rsidRPr="00740F17">
        <w:rPr>
          <w:rFonts w:ascii="Arial" w:hAnsi="Arial" w:cs="Arial"/>
          <w:b/>
          <w:bCs/>
        </w:rPr>
        <w:t>:</w:t>
      </w:r>
      <w:r w:rsidRPr="00740F17">
        <w:rPr>
          <w:rFonts w:ascii="Arial" w:hAnsi="Arial" w:cs="Arial"/>
        </w:rPr>
        <w:t xml:space="preserve"> Proposed Grow at NexSpace talent ecosystem</w:t>
      </w:r>
    </w:p>
    <w:p w14:paraId="37CF409D" w14:textId="72FBB80A" w:rsidR="00807F53" w:rsidRPr="00740F17" w:rsidRDefault="00000000" w:rsidP="004076D8">
      <w:pPr>
        <w:jc w:val="center"/>
        <w:rPr>
          <w:rFonts w:ascii="Arial" w:hAnsi="Arial" w:cs="Arial"/>
        </w:rPr>
      </w:pPr>
      <w:r w:rsidRPr="00740F17">
        <w:rPr>
          <w:rFonts w:ascii="Arial" w:hAnsi="Arial" w:cs="Arial"/>
        </w:rPr>
        <w:t>(</w:t>
      </w:r>
      <w:r w:rsidR="004076D8" w:rsidRPr="00740F17">
        <w:rPr>
          <w:rFonts w:ascii="Arial" w:hAnsi="Arial" w:cs="Arial"/>
        </w:rPr>
        <w:t xml:space="preserve">Source: Author-developed figure, synthesised from </w:t>
      </w:r>
      <w:r w:rsidRPr="00740F17">
        <w:rPr>
          <w:rFonts w:ascii="Arial" w:hAnsi="Arial" w:cs="Arial"/>
        </w:rPr>
        <w:t>Alerasoul et al., 2022; Ng et al., 2024; Van den Broeck et al., 2021; O</w:t>
      </w:r>
      <w:r w:rsidR="00CD1A3A" w:rsidRPr="00740F17">
        <w:rPr>
          <w:rFonts w:ascii="Arial" w:hAnsi="Arial" w:cs="Arial"/>
        </w:rPr>
        <w:t>’</w:t>
      </w:r>
      <w:r w:rsidRPr="00740F17">
        <w:rPr>
          <w:rFonts w:ascii="Arial" w:hAnsi="Arial" w:cs="Arial"/>
        </w:rPr>
        <w:t>Donovan and McAuliffe, 2020).</w:t>
      </w:r>
    </w:p>
    <w:p w14:paraId="24EEA8BE" w14:textId="77777777" w:rsidR="00E052A9" w:rsidRPr="00740F17" w:rsidRDefault="00E052A9" w:rsidP="00E052A9">
      <w:pPr>
        <w:pStyle w:val="Heading1"/>
        <w:rPr>
          <w:rFonts w:ascii="Arial" w:hAnsi="Arial" w:cs="Arial"/>
        </w:rPr>
      </w:pPr>
      <w:bookmarkStart w:id="9" w:name="_Toc242731663"/>
      <w:bookmarkStart w:id="10" w:name="_Toc242735265"/>
      <w:r w:rsidRPr="00740F17">
        <w:rPr>
          <w:rFonts w:ascii="Arial" w:hAnsi="Arial" w:cs="Arial"/>
          <w:lang w:val="en-IN"/>
        </w:rPr>
        <w:t>Task C: Reflective Report</w:t>
      </w:r>
      <w:bookmarkEnd w:id="9"/>
      <w:bookmarkEnd w:id="10"/>
    </w:p>
    <w:p w14:paraId="72CC5577" w14:textId="00EF75CB" w:rsidR="00E052A9" w:rsidRPr="00740F17" w:rsidRDefault="00CD1A3A" w:rsidP="00E052A9">
      <w:pPr>
        <w:pStyle w:val="Heading2"/>
        <w:rPr>
          <w:rFonts w:ascii="Arial" w:hAnsi="Arial" w:cs="Arial"/>
          <w:lang w:val="en-IN"/>
        </w:rPr>
      </w:pPr>
      <w:bookmarkStart w:id="11" w:name="_Toc242731664"/>
      <w:bookmarkStart w:id="12" w:name="_Toc242735266"/>
      <w:r w:rsidRPr="00740F17">
        <w:rPr>
          <w:rFonts w:ascii="Arial" w:hAnsi="Arial" w:cs="Arial"/>
          <w:lang w:val="en-IN"/>
        </w:rPr>
        <w:t xml:space="preserve">C.1 </w:t>
      </w:r>
      <w:r w:rsidR="00E052A9" w:rsidRPr="00740F17">
        <w:rPr>
          <w:rFonts w:ascii="Arial" w:hAnsi="Arial" w:cs="Arial"/>
          <w:lang w:val="en-IN"/>
        </w:rPr>
        <w:t>AI as a Strategic HR Tool</w:t>
      </w:r>
      <w:bookmarkEnd w:id="11"/>
      <w:bookmarkEnd w:id="12"/>
    </w:p>
    <w:p w14:paraId="23F7AB45" w14:textId="77777777" w:rsidR="00E052A9" w:rsidRPr="00740F17" w:rsidRDefault="00E052A9" w:rsidP="00E052A9">
      <w:pPr>
        <w:rPr>
          <w:rFonts w:ascii="Arial" w:eastAsiaTheme="majorEastAsia" w:hAnsi="Arial" w:cs="Arial"/>
          <w:lang w:val="en-IN"/>
        </w:rPr>
      </w:pPr>
      <w:r w:rsidRPr="00740F17">
        <w:rPr>
          <w:rFonts w:ascii="Arial" w:eastAsiaTheme="majorEastAsia" w:hAnsi="Arial" w:cs="Arial"/>
          <w:lang w:val="en-IN"/>
        </w:rPr>
        <w:t>Artificial intelligence (AI) could assist HR by analyzing workforce data, discovering skills shortages, aiding recruitment and forecasting turnover. AI could enhance speed and efficiency, but success would depend on data and system. Historical recruitment data could perpetuate discrimination, and AI could also use opaque algorithms, making decisions hard to question. UNESCO (2021) calls for human involvement, transparency and accountability, while NIST (2023) suggests identifying, measuring and managing risks related to AI. HR practitioners should thus consider AI only as an assistance tool, not as a substitute for human decision-making. Recruitment, promotions, and wellbeing decisions would require protecting privacy, bias assessment, explanation, and human review. Human empathy is still critical as circumstances of employees might not always be understood from the data (CIPD, 2024).</w:t>
      </w:r>
    </w:p>
    <w:p w14:paraId="6F72456A" w14:textId="0077A75A" w:rsidR="00E052A9" w:rsidRPr="00740F17" w:rsidRDefault="00CD1A3A" w:rsidP="00E052A9">
      <w:pPr>
        <w:pStyle w:val="Heading2"/>
        <w:rPr>
          <w:rFonts w:ascii="Arial" w:hAnsi="Arial" w:cs="Arial"/>
          <w:lang w:val="en-IN"/>
        </w:rPr>
      </w:pPr>
      <w:bookmarkStart w:id="13" w:name="_Toc242731665"/>
      <w:bookmarkStart w:id="14" w:name="_Toc242735267"/>
      <w:r w:rsidRPr="00740F17">
        <w:rPr>
          <w:rFonts w:ascii="Arial" w:hAnsi="Arial" w:cs="Arial"/>
          <w:lang w:val="en-IN"/>
        </w:rPr>
        <w:t xml:space="preserve">C.2 </w:t>
      </w:r>
      <w:r w:rsidR="00E052A9" w:rsidRPr="00740F17">
        <w:rPr>
          <w:rFonts w:ascii="Arial" w:hAnsi="Arial" w:cs="Arial"/>
          <w:lang w:val="en-IN"/>
        </w:rPr>
        <w:t>Reflective Analysis: Three Examples</w:t>
      </w:r>
      <w:bookmarkEnd w:id="13"/>
      <w:bookmarkEnd w:id="14"/>
    </w:p>
    <w:p w14:paraId="0DDDDB10" w14:textId="77777777" w:rsidR="00E052A9" w:rsidRPr="00740F17" w:rsidRDefault="00E052A9" w:rsidP="00E052A9">
      <w:pPr>
        <w:rPr>
          <w:rFonts w:ascii="Arial" w:eastAsiaTheme="majorEastAsia" w:hAnsi="Arial" w:cs="Arial"/>
          <w:lang w:val="en-IN"/>
        </w:rPr>
      </w:pPr>
      <w:r w:rsidRPr="00740F17">
        <w:rPr>
          <w:rFonts w:ascii="Arial" w:eastAsiaTheme="majorEastAsia" w:hAnsi="Arial" w:cs="Arial"/>
          <w:lang w:val="en-IN"/>
        </w:rPr>
        <w:t xml:space="preserve">I used ChatGPT in three ways. </w:t>
      </w:r>
    </w:p>
    <w:p w14:paraId="1329A97D" w14:textId="77777777" w:rsidR="00E052A9" w:rsidRPr="00740F17" w:rsidRDefault="00E052A9" w:rsidP="00E052A9">
      <w:pPr>
        <w:rPr>
          <w:rFonts w:ascii="Arial" w:eastAsiaTheme="majorEastAsia" w:hAnsi="Arial" w:cs="Arial"/>
          <w:lang w:val="en-IN"/>
        </w:rPr>
      </w:pPr>
      <w:r w:rsidRPr="00740F17">
        <w:rPr>
          <w:rFonts w:ascii="Arial" w:eastAsiaTheme="majorEastAsia" w:hAnsi="Arial" w:cs="Arial"/>
          <w:lang w:val="en-IN"/>
        </w:rPr>
        <w:lastRenderedPageBreak/>
        <w:t>First, I have used this tool to explain HR concepts in simple language. This has helped me understand, though I had to refer to scholarly journals as sometimes AI gives simple explanations of complicated theories.</w:t>
      </w:r>
    </w:p>
    <w:p w14:paraId="4057EE7C" w14:textId="77777777" w:rsidR="00E052A9" w:rsidRPr="00740F17" w:rsidRDefault="00E052A9" w:rsidP="00E052A9">
      <w:pPr>
        <w:rPr>
          <w:rFonts w:ascii="Arial" w:eastAsiaTheme="majorEastAsia" w:hAnsi="Arial" w:cs="Arial"/>
          <w:lang w:val="en-IN"/>
        </w:rPr>
      </w:pPr>
      <w:r w:rsidRPr="00740F17">
        <w:rPr>
          <w:rFonts w:ascii="Arial" w:eastAsiaTheme="majorEastAsia" w:hAnsi="Arial" w:cs="Arial"/>
          <w:lang w:val="en-IN"/>
        </w:rPr>
        <w:t>Second, I have used AI to find research topics and methods related to workplace issues. This has helped me in identifying areas to read about, though I have referred to reliable publications instead of taking suggestions blindly.</w:t>
      </w:r>
    </w:p>
    <w:p w14:paraId="0864EF3B" w14:textId="77777777" w:rsidR="00E052A9" w:rsidRPr="00740F17" w:rsidRDefault="00E052A9" w:rsidP="00E052A9">
      <w:pPr>
        <w:rPr>
          <w:rFonts w:ascii="Arial" w:eastAsiaTheme="majorEastAsia" w:hAnsi="Arial" w:cs="Arial"/>
          <w:lang w:val="en-IN"/>
        </w:rPr>
      </w:pPr>
      <w:r w:rsidRPr="00740F17">
        <w:rPr>
          <w:rFonts w:ascii="Arial" w:eastAsiaTheme="majorEastAsia" w:hAnsi="Arial" w:cs="Arial"/>
          <w:lang w:val="en-IN"/>
        </w:rPr>
        <w:t>Third, I have used AI to check my grammatical accuracy. This has helped me see whether there were areas that I needed to work on. Though sometimes some suggestions may have altered my message, I have gone through all suggestions.</w:t>
      </w:r>
    </w:p>
    <w:p w14:paraId="233A584B" w14:textId="1EBCD3D4" w:rsidR="00E052A9" w:rsidRPr="00740F17" w:rsidRDefault="00CD1A3A" w:rsidP="00E052A9">
      <w:pPr>
        <w:pStyle w:val="Heading2"/>
        <w:rPr>
          <w:rFonts w:ascii="Arial" w:hAnsi="Arial" w:cs="Arial"/>
          <w:lang w:val="en-IN"/>
        </w:rPr>
      </w:pPr>
      <w:bookmarkStart w:id="15" w:name="_Toc242731666"/>
      <w:bookmarkStart w:id="16" w:name="_Toc242735268"/>
      <w:r w:rsidRPr="00740F17">
        <w:rPr>
          <w:rFonts w:ascii="Arial" w:hAnsi="Arial" w:cs="Arial"/>
          <w:lang w:val="en-IN"/>
        </w:rPr>
        <w:t xml:space="preserve">C.3 </w:t>
      </w:r>
      <w:r w:rsidR="00E052A9" w:rsidRPr="00740F17">
        <w:rPr>
          <w:rFonts w:ascii="Arial" w:hAnsi="Arial" w:cs="Arial"/>
          <w:lang w:val="en-IN"/>
        </w:rPr>
        <w:t>Personal Action Plan</w:t>
      </w:r>
      <w:bookmarkEnd w:id="15"/>
      <w:bookmarkEnd w:id="16"/>
    </w:p>
    <w:tbl>
      <w:tblPr>
        <w:tblStyle w:val="TableGrid"/>
        <w:tblW w:w="0" w:type="auto"/>
        <w:tblLook w:val="04A0" w:firstRow="1" w:lastRow="0" w:firstColumn="1" w:lastColumn="0" w:noHBand="0" w:noVBand="1"/>
      </w:tblPr>
      <w:tblGrid>
        <w:gridCol w:w="2035"/>
        <w:gridCol w:w="3104"/>
        <w:gridCol w:w="2773"/>
        <w:gridCol w:w="1104"/>
      </w:tblGrid>
      <w:tr w:rsidR="00E052A9" w:rsidRPr="00740F17" w14:paraId="1EC467BB" w14:textId="77777777" w:rsidTr="000365DF">
        <w:tc>
          <w:tcPr>
            <w:tcW w:w="0" w:type="auto"/>
            <w:hideMark/>
          </w:tcPr>
          <w:p w14:paraId="1059EF05" w14:textId="77777777" w:rsidR="00E052A9" w:rsidRPr="00740F17" w:rsidRDefault="00E052A9" w:rsidP="000365DF">
            <w:pPr>
              <w:rPr>
                <w:rFonts w:ascii="Arial" w:eastAsiaTheme="majorEastAsia" w:hAnsi="Arial" w:cs="Arial"/>
                <w:b/>
                <w:bCs/>
                <w:lang w:val="en-IN"/>
              </w:rPr>
            </w:pPr>
            <w:r w:rsidRPr="00740F17">
              <w:rPr>
                <w:rFonts w:ascii="Arial" w:eastAsiaTheme="majorEastAsia" w:hAnsi="Arial" w:cs="Arial"/>
                <w:b/>
                <w:bCs/>
                <w:lang w:val="en-IN"/>
              </w:rPr>
              <w:t>Development priority</w:t>
            </w:r>
          </w:p>
        </w:tc>
        <w:tc>
          <w:tcPr>
            <w:tcW w:w="0" w:type="auto"/>
            <w:hideMark/>
          </w:tcPr>
          <w:p w14:paraId="65334803" w14:textId="77777777" w:rsidR="00E052A9" w:rsidRPr="00740F17" w:rsidRDefault="00E052A9" w:rsidP="000365DF">
            <w:pPr>
              <w:rPr>
                <w:rFonts w:ascii="Arial" w:eastAsiaTheme="majorEastAsia" w:hAnsi="Arial" w:cs="Arial"/>
                <w:b/>
                <w:bCs/>
                <w:lang w:val="en-IN"/>
              </w:rPr>
            </w:pPr>
            <w:r w:rsidRPr="00740F17">
              <w:rPr>
                <w:rFonts w:ascii="Arial" w:eastAsiaTheme="majorEastAsia" w:hAnsi="Arial" w:cs="Arial"/>
                <w:b/>
                <w:bCs/>
                <w:lang w:val="en-IN"/>
              </w:rPr>
              <w:t>Actions</w:t>
            </w:r>
          </w:p>
        </w:tc>
        <w:tc>
          <w:tcPr>
            <w:tcW w:w="0" w:type="auto"/>
            <w:hideMark/>
          </w:tcPr>
          <w:p w14:paraId="7B5E99F1" w14:textId="77777777" w:rsidR="00E052A9" w:rsidRPr="00740F17" w:rsidRDefault="00E052A9" w:rsidP="000365DF">
            <w:pPr>
              <w:rPr>
                <w:rFonts w:ascii="Arial" w:eastAsiaTheme="majorEastAsia" w:hAnsi="Arial" w:cs="Arial"/>
                <w:b/>
                <w:bCs/>
                <w:lang w:val="en-IN"/>
              </w:rPr>
            </w:pPr>
            <w:r w:rsidRPr="00740F17">
              <w:rPr>
                <w:rFonts w:ascii="Arial" w:eastAsiaTheme="majorEastAsia" w:hAnsi="Arial" w:cs="Arial"/>
                <w:b/>
                <w:bCs/>
                <w:lang w:val="en-IN"/>
              </w:rPr>
              <w:t>Measure of success</w:t>
            </w:r>
          </w:p>
        </w:tc>
        <w:tc>
          <w:tcPr>
            <w:tcW w:w="0" w:type="auto"/>
            <w:hideMark/>
          </w:tcPr>
          <w:p w14:paraId="7744A03E" w14:textId="77777777" w:rsidR="00E052A9" w:rsidRPr="00740F17" w:rsidRDefault="00E052A9" w:rsidP="000365DF">
            <w:pPr>
              <w:rPr>
                <w:rFonts w:ascii="Arial" w:eastAsiaTheme="majorEastAsia" w:hAnsi="Arial" w:cs="Arial"/>
                <w:b/>
                <w:bCs/>
                <w:lang w:val="en-IN"/>
              </w:rPr>
            </w:pPr>
            <w:r w:rsidRPr="00740F17">
              <w:rPr>
                <w:rFonts w:ascii="Arial" w:eastAsiaTheme="majorEastAsia" w:hAnsi="Arial" w:cs="Arial"/>
                <w:b/>
                <w:bCs/>
                <w:lang w:val="en-IN"/>
              </w:rPr>
              <w:t>Target</w:t>
            </w:r>
          </w:p>
        </w:tc>
      </w:tr>
      <w:tr w:rsidR="00E052A9" w:rsidRPr="00740F17" w14:paraId="6F32923D" w14:textId="77777777" w:rsidTr="000365DF">
        <w:tc>
          <w:tcPr>
            <w:tcW w:w="0" w:type="auto"/>
            <w:hideMark/>
          </w:tcPr>
          <w:p w14:paraId="6FCC387D" w14:textId="77777777" w:rsidR="00E052A9" w:rsidRPr="00740F17" w:rsidRDefault="00E052A9" w:rsidP="000365DF">
            <w:pPr>
              <w:rPr>
                <w:rFonts w:ascii="Arial" w:eastAsiaTheme="majorEastAsia" w:hAnsi="Arial" w:cs="Arial"/>
                <w:lang w:val="en-IN"/>
              </w:rPr>
            </w:pPr>
            <w:r w:rsidRPr="00740F17">
              <w:rPr>
                <w:rFonts w:ascii="Arial" w:eastAsiaTheme="majorEastAsia" w:hAnsi="Arial" w:cs="Arial"/>
                <w:lang w:val="en-IN"/>
              </w:rPr>
              <w:t>HR data and AI literacy</w:t>
            </w:r>
          </w:p>
        </w:tc>
        <w:tc>
          <w:tcPr>
            <w:tcW w:w="0" w:type="auto"/>
            <w:hideMark/>
          </w:tcPr>
          <w:p w14:paraId="089FFF29" w14:textId="77777777" w:rsidR="00E052A9" w:rsidRPr="00740F17" w:rsidRDefault="00E052A9" w:rsidP="000365DF">
            <w:pPr>
              <w:rPr>
                <w:rFonts w:ascii="Arial" w:eastAsiaTheme="majorEastAsia" w:hAnsi="Arial" w:cs="Arial"/>
                <w:lang w:val="en-IN"/>
              </w:rPr>
            </w:pPr>
            <w:r w:rsidRPr="00740F17">
              <w:rPr>
                <w:rFonts w:ascii="Arial" w:eastAsiaTheme="majorEastAsia" w:hAnsi="Arial" w:cs="Arial"/>
                <w:lang w:val="en-IN"/>
              </w:rPr>
              <w:t>Complete an introductory people-analytics course; practise interpreting dashboards and checking data quality.</w:t>
            </w:r>
          </w:p>
        </w:tc>
        <w:tc>
          <w:tcPr>
            <w:tcW w:w="0" w:type="auto"/>
            <w:hideMark/>
          </w:tcPr>
          <w:p w14:paraId="7D0C8329" w14:textId="77777777" w:rsidR="00E052A9" w:rsidRPr="00740F17" w:rsidRDefault="00E052A9" w:rsidP="000365DF">
            <w:pPr>
              <w:rPr>
                <w:rFonts w:ascii="Arial" w:eastAsiaTheme="majorEastAsia" w:hAnsi="Arial" w:cs="Arial"/>
                <w:lang w:val="en-IN"/>
              </w:rPr>
            </w:pPr>
            <w:r w:rsidRPr="00740F17">
              <w:rPr>
                <w:rFonts w:ascii="Arial" w:eastAsiaTheme="majorEastAsia" w:hAnsi="Arial" w:cs="Arial"/>
                <w:lang w:val="en-IN"/>
              </w:rPr>
              <w:t>Complete one course and explain an HR use case, its limits and risks.</w:t>
            </w:r>
          </w:p>
        </w:tc>
        <w:tc>
          <w:tcPr>
            <w:tcW w:w="0" w:type="auto"/>
            <w:hideMark/>
          </w:tcPr>
          <w:p w14:paraId="6410AFBB" w14:textId="77777777" w:rsidR="00E052A9" w:rsidRPr="00740F17" w:rsidRDefault="00E052A9" w:rsidP="000365DF">
            <w:pPr>
              <w:rPr>
                <w:rFonts w:ascii="Arial" w:eastAsiaTheme="majorEastAsia" w:hAnsi="Arial" w:cs="Arial"/>
                <w:lang w:val="en-IN"/>
              </w:rPr>
            </w:pPr>
            <w:r w:rsidRPr="00740F17">
              <w:rPr>
                <w:rFonts w:ascii="Arial" w:eastAsiaTheme="majorEastAsia" w:hAnsi="Arial" w:cs="Arial"/>
                <w:lang w:val="en-IN"/>
              </w:rPr>
              <w:t>Within 3 months</w:t>
            </w:r>
          </w:p>
        </w:tc>
      </w:tr>
      <w:tr w:rsidR="00E052A9" w:rsidRPr="00740F17" w14:paraId="75BE7BB7" w14:textId="77777777" w:rsidTr="000365DF">
        <w:tc>
          <w:tcPr>
            <w:tcW w:w="0" w:type="auto"/>
            <w:hideMark/>
          </w:tcPr>
          <w:p w14:paraId="0221314A" w14:textId="77777777" w:rsidR="00E052A9" w:rsidRPr="00740F17" w:rsidRDefault="00E052A9" w:rsidP="000365DF">
            <w:pPr>
              <w:rPr>
                <w:rFonts w:ascii="Arial" w:eastAsiaTheme="majorEastAsia" w:hAnsi="Arial" w:cs="Arial"/>
                <w:lang w:val="en-IN"/>
              </w:rPr>
            </w:pPr>
            <w:r w:rsidRPr="00740F17">
              <w:rPr>
                <w:rFonts w:ascii="Arial" w:eastAsiaTheme="majorEastAsia" w:hAnsi="Arial" w:cs="Arial"/>
                <w:lang w:val="en-IN"/>
              </w:rPr>
              <w:t>Ethical and responsible AI</w:t>
            </w:r>
          </w:p>
        </w:tc>
        <w:tc>
          <w:tcPr>
            <w:tcW w:w="0" w:type="auto"/>
            <w:hideMark/>
          </w:tcPr>
          <w:p w14:paraId="4E6C9290" w14:textId="77777777" w:rsidR="00E052A9" w:rsidRPr="00740F17" w:rsidRDefault="00E052A9" w:rsidP="000365DF">
            <w:pPr>
              <w:rPr>
                <w:rFonts w:ascii="Arial" w:eastAsiaTheme="majorEastAsia" w:hAnsi="Arial" w:cs="Arial"/>
                <w:lang w:val="en-IN"/>
              </w:rPr>
            </w:pPr>
            <w:r w:rsidRPr="00740F17">
              <w:rPr>
                <w:rFonts w:ascii="Arial" w:eastAsiaTheme="majorEastAsia" w:hAnsi="Arial" w:cs="Arial"/>
                <w:lang w:val="en-IN"/>
              </w:rPr>
              <w:t>Study bias, privacy, transparency and human oversight; use a checklist to evaluate AI-supported decisions.</w:t>
            </w:r>
          </w:p>
        </w:tc>
        <w:tc>
          <w:tcPr>
            <w:tcW w:w="0" w:type="auto"/>
            <w:hideMark/>
          </w:tcPr>
          <w:p w14:paraId="363F7E60" w14:textId="77777777" w:rsidR="00E052A9" w:rsidRPr="00740F17" w:rsidRDefault="00E052A9" w:rsidP="000365DF">
            <w:pPr>
              <w:rPr>
                <w:rFonts w:ascii="Arial" w:eastAsiaTheme="majorEastAsia" w:hAnsi="Arial" w:cs="Arial"/>
                <w:lang w:val="en-IN"/>
              </w:rPr>
            </w:pPr>
            <w:r w:rsidRPr="00740F17">
              <w:rPr>
                <w:rFonts w:ascii="Arial" w:eastAsiaTheme="majorEastAsia" w:hAnsi="Arial" w:cs="Arial"/>
                <w:lang w:val="en-IN"/>
              </w:rPr>
              <w:t>Apply the checklist to a recruitment or performance-management example.</w:t>
            </w:r>
          </w:p>
        </w:tc>
        <w:tc>
          <w:tcPr>
            <w:tcW w:w="0" w:type="auto"/>
            <w:hideMark/>
          </w:tcPr>
          <w:p w14:paraId="3CDFEE1C" w14:textId="77777777" w:rsidR="00E052A9" w:rsidRPr="00740F17" w:rsidRDefault="00E052A9" w:rsidP="000365DF">
            <w:pPr>
              <w:rPr>
                <w:rFonts w:ascii="Arial" w:eastAsiaTheme="majorEastAsia" w:hAnsi="Arial" w:cs="Arial"/>
                <w:lang w:val="en-IN"/>
              </w:rPr>
            </w:pPr>
            <w:r w:rsidRPr="00740F17">
              <w:rPr>
                <w:rFonts w:ascii="Arial" w:eastAsiaTheme="majorEastAsia" w:hAnsi="Arial" w:cs="Arial"/>
                <w:lang w:val="en-IN"/>
              </w:rPr>
              <w:t>Within 3 months</w:t>
            </w:r>
          </w:p>
        </w:tc>
      </w:tr>
      <w:tr w:rsidR="00E052A9" w:rsidRPr="00740F17" w14:paraId="2C49320C" w14:textId="77777777" w:rsidTr="000365DF">
        <w:tc>
          <w:tcPr>
            <w:tcW w:w="0" w:type="auto"/>
            <w:hideMark/>
          </w:tcPr>
          <w:p w14:paraId="279D09A0" w14:textId="77777777" w:rsidR="00E052A9" w:rsidRPr="00740F17" w:rsidRDefault="00E052A9" w:rsidP="000365DF">
            <w:pPr>
              <w:rPr>
                <w:rFonts w:ascii="Arial" w:eastAsiaTheme="majorEastAsia" w:hAnsi="Arial" w:cs="Arial"/>
                <w:lang w:val="en-IN"/>
              </w:rPr>
            </w:pPr>
            <w:r w:rsidRPr="00740F17">
              <w:rPr>
                <w:rFonts w:ascii="Arial" w:eastAsiaTheme="majorEastAsia" w:hAnsi="Arial" w:cs="Arial"/>
                <w:lang w:val="en-IN"/>
              </w:rPr>
              <w:t>Strategic HR and communication</w:t>
            </w:r>
          </w:p>
        </w:tc>
        <w:tc>
          <w:tcPr>
            <w:tcW w:w="0" w:type="auto"/>
            <w:hideMark/>
          </w:tcPr>
          <w:p w14:paraId="4E871990" w14:textId="77777777" w:rsidR="00E052A9" w:rsidRPr="00740F17" w:rsidRDefault="00E052A9" w:rsidP="000365DF">
            <w:pPr>
              <w:rPr>
                <w:rFonts w:ascii="Arial" w:eastAsiaTheme="majorEastAsia" w:hAnsi="Arial" w:cs="Arial"/>
                <w:lang w:val="en-IN"/>
              </w:rPr>
            </w:pPr>
            <w:r w:rsidRPr="00740F17">
              <w:rPr>
                <w:rFonts w:ascii="Arial" w:eastAsiaTheme="majorEastAsia" w:hAnsi="Arial" w:cs="Arial"/>
                <w:lang w:val="en-IN"/>
              </w:rPr>
              <w:t>Read current HR research monthly; request feedback on a written recommendation and reflect on improvements.</w:t>
            </w:r>
          </w:p>
        </w:tc>
        <w:tc>
          <w:tcPr>
            <w:tcW w:w="0" w:type="auto"/>
            <w:hideMark/>
          </w:tcPr>
          <w:p w14:paraId="2FEC8C5E" w14:textId="77777777" w:rsidR="00E052A9" w:rsidRPr="00740F17" w:rsidRDefault="00E052A9" w:rsidP="000365DF">
            <w:pPr>
              <w:rPr>
                <w:rFonts w:ascii="Arial" w:eastAsiaTheme="majorEastAsia" w:hAnsi="Arial" w:cs="Arial"/>
                <w:lang w:val="en-IN"/>
              </w:rPr>
            </w:pPr>
            <w:r w:rsidRPr="00740F17">
              <w:rPr>
                <w:rFonts w:ascii="Arial" w:eastAsiaTheme="majorEastAsia" w:hAnsi="Arial" w:cs="Arial"/>
                <w:lang w:val="en-IN"/>
              </w:rPr>
              <w:t>Produce two evidence-based HR recommendations and record feedback.</w:t>
            </w:r>
          </w:p>
        </w:tc>
        <w:tc>
          <w:tcPr>
            <w:tcW w:w="0" w:type="auto"/>
            <w:hideMark/>
          </w:tcPr>
          <w:p w14:paraId="20D1D0EF" w14:textId="77777777" w:rsidR="00E052A9" w:rsidRPr="00740F17" w:rsidRDefault="00E052A9" w:rsidP="000365DF">
            <w:pPr>
              <w:rPr>
                <w:rFonts w:ascii="Arial" w:eastAsiaTheme="majorEastAsia" w:hAnsi="Arial" w:cs="Arial"/>
                <w:lang w:val="en-IN"/>
              </w:rPr>
            </w:pPr>
            <w:r w:rsidRPr="00740F17">
              <w:rPr>
                <w:rFonts w:ascii="Arial" w:eastAsiaTheme="majorEastAsia" w:hAnsi="Arial" w:cs="Arial"/>
                <w:lang w:val="en-IN"/>
              </w:rPr>
              <w:t>Within 6 months</w:t>
            </w:r>
          </w:p>
        </w:tc>
      </w:tr>
    </w:tbl>
    <w:p w14:paraId="38D78CED" w14:textId="77777777" w:rsidR="00E052A9" w:rsidRPr="00740F17" w:rsidRDefault="00E052A9" w:rsidP="00E052A9">
      <w:pPr>
        <w:rPr>
          <w:rFonts w:ascii="Arial" w:eastAsiaTheme="majorEastAsia" w:hAnsi="Arial" w:cs="Arial"/>
          <w:lang w:val="en-IN"/>
        </w:rPr>
      </w:pPr>
      <w:r w:rsidRPr="00740F17">
        <w:rPr>
          <w:rFonts w:ascii="Arial" w:eastAsiaTheme="majorEastAsia" w:hAnsi="Arial" w:cs="Arial"/>
          <w:lang w:val="en-IN"/>
        </w:rPr>
        <w:t>AI has the potential to streamline HR operations, although there is a risk of creating bias and mistakes. I will develop digital literacy along with critical, communication, and ethical skills and verify evidence while remaining responsible for decision making regarding people.</w:t>
      </w:r>
    </w:p>
    <w:p w14:paraId="4046299A" w14:textId="77777777" w:rsidR="00E052A9" w:rsidRPr="00740F17" w:rsidRDefault="00E052A9" w:rsidP="00E052A9">
      <w:pPr>
        <w:spacing w:after="200" w:line="276" w:lineRule="auto"/>
        <w:jc w:val="left"/>
        <w:rPr>
          <w:rFonts w:ascii="Arial" w:eastAsiaTheme="majorEastAsia" w:hAnsi="Arial" w:cs="Arial"/>
          <w:lang w:val="en-IN"/>
        </w:rPr>
      </w:pPr>
      <w:r w:rsidRPr="00740F17">
        <w:rPr>
          <w:rFonts w:ascii="Arial" w:eastAsiaTheme="majorEastAsia" w:hAnsi="Arial" w:cs="Arial"/>
          <w:lang w:val="en-IN"/>
        </w:rPr>
        <w:lastRenderedPageBreak/>
        <w:br w:type="page"/>
      </w:r>
    </w:p>
    <w:p w14:paraId="5EB6DA0D" w14:textId="77777777" w:rsidR="00004F9E" w:rsidRPr="00740F17" w:rsidRDefault="00000000" w:rsidP="00661F79">
      <w:pPr>
        <w:pStyle w:val="Heading1"/>
        <w:rPr>
          <w:rFonts w:ascii="Arial" w:hAnsi="Arial" w:cs="Arial"/>
        </w:rPr>
      </w:pPr>
      <w:bookmarkStart w:id="17" w:name="_Toc242735269"/>
      <w:r w:rsidRPr="00740F17">
        <w:rPr>
          <w:rFonts w:ascii="Arial" w:hAnsi="Arial" w:cs="Arial"/>
        </w:rPr>
        <w:lastRenderedPageBreak/>
        <w:t>Reference List</w:t>
      </w:r>
      <w:bookmarkEnd w:id="17"/>
    </w:p>
    <w:p w14:paraId="27D80E26" w14:textId="74844175" w:rsidR="00180636" w:rsidRPr="00740F17" w:rsidRDefault="00180636" w:rsidP="003109E8">
      <w:pPr>
        <w:rPr>
          <w:rFonts w:ascii="Arial" w:hAnsi="Arial" w:cs="Arial"/>
        </w:rPr>
      </w:pPr>
      <w:r w:rsidRPr="00740F17">
        <w:rPr>
          <w:rFonts w:ascii="Arial" w:hAnsi="Arial" w:cs="Arial"/>
        </w:rPr>
        <w:t xml:space="preserve">Akuffo, I.N. (2020) </w:t>
      </w:r>
      <w:r w:rsidR="00CD1A3A" w:rsidRPr="00740F17">
        <w:rPr>
          <w:rFonts w:ascii="Arial" w:hAnsi="Arial" w:cs="Arial"/>
        </w:rPr>
        <w:t>‘</w:t>
      </w:r>
      <w:r w:rsidRPr="00740F17">
        <w:rPr>
          <w:rFonts w:ascii="Arial" w:hAnsi="Arial" w:cs="Arial"/>
        </w:rPr>
        <w:t>Cross-functional teams and innovation performance: the case of multinational enterprises</w:t>
      </w:r>
      <w:r w:rsidR="00CD1A3A" w:rsidRPr="00740F17">
        <w:rPr>
          <w:rFonts w:ascii="Arial" w:hAnsi="Arial" w:cs="Arial"/>
        </w:rPr>
        <w:t>’</w:t>
      </w:r>
      <w:r w:rsidRPr="00740F17">
        <w:rPr>
          <w:rFonts w:ascii="Arial" w:hAnsi="Arial" w:cs="Arial"/>
        </w:rPr>
        <w:t xml:space="preserve">, International Journal of Export Marketing, 3(3), pp. 204–218. Available at: </w:t>
      </w:r>
      <w:hyperlink r:id="rId11" w:history="1">
        <w:r w:rsidRPr="00740F17">
          <w:rPr>
            <w:rStyle w:val="Hyperlink"/>
            <w:rFonts w:ascii="Arial" w:hAnsi="Arial" w:cs="Arial"/>
          </w:rPr>
          <w:t>https://doi.org/10.1504/IJEXPORTM.2020.107720</w:t>
        </w:r>
      </w:hyperlink>
      <w:r w:rsidRPr="00740F17">
        <w:rPr>
          <w:rFonts w:ascii="Arial" w:hAnsi="Arial" w:cs="Arial"/>
        </w:rPr>
        <w:t xml:space="preserve"> </w:t>
      </w:r>
    </w:p>
    <w:p w14:paraId="26A39116" w14:textId="15AB2AF1" w:rsidR="00180636" w:rsidRPr="00740F17" w:rsidRDefault="00180636" w:rsidP="000D3F86">
      <w:pPr>
        <w:rPr>
          <w:rFonts w:ascii="Arial" w:hAnsi="Arial" w:cs="Arial"/>
        </w:rPr>
      </w:pPr>
      <w:r w:rsidRPr="00740F17">
        <w:rPr>
          <w:rFonts w:ascii="Arial" w:hAnsi="Arial" w:cs="Arial"/>
        </w:rPr>
        <w:t xml:space="preserve">Alerasoul, S.A., Afeltra, G., Hakala, H., Minelli, E. and Strozzi, F. (2022) </w:t>
      </w:r>
      <w:r w:rsidR="00CD1A3A" w:rsidRPr="00740F17">
        <w:rPr>
          <w:rFonts w:ascii="Arial" w:hAnsi="Arial" w:cs="Arial"/>
        </w:rPr>
        <w:t>‘</w:t>
      </w:r>
      <w:r w:rsidRPr="00740F17">
        <w:rPr>
          <w:rFonts w:ascii="Arial" w:hAnsi="Arial" w:cs="Arial"/>
        </w:rPr>
        <w:t>Organisational learning, learning organisation, and learning orientation: An integrative review and framework</w:t>
      </w:r>
      <w:r w:rsidR="00CD1A3A" w:rsidRPr="00740F17">
        <w:rPr>
          <w:rFonts w:ascii="Arial" w:hAnsi="Arial" w:cs="Arial"/>
        </w:rPr>
        <w:t>’</w:t>
      </w:r>
      <w:r w:rsidRPr="00740F17">
        <w:rPr>
          <w:rFonts w:ascii="Arial" w:hAnsi="Arial" w:cs="Arial"/>
        </w:rPr>
        <w:t xml:space="preserve">, </w:t>
      </w:r>
      <w:r w:rsidRPr="00740F17">
        <w:rPr>
          <w:rFonts w:ascii="Arial" w:hAnsi="Arial" w:cs="Arial"/>
          <w:i/>
        </w:rPr>
        <w:t>Human Resource Management Review</w:t>
      </w:r>
      <w:r w:rsidRPr="00740F17">
        <w:rPr>
          <w:rFonts w:ascii="Arial" w:hAnsi="Arial" w:cs="Arial"/>
        </w:rPr>
        <w:t xml:space="preserve">, 32(3), 100854. Available at:  </w:t>
      </w:r>
      <w:hyperlink r:id="rId12" w:history="1">
        <w:r w:rsidRPr="00740F17">
          <w:rPr>
            <w:rStyle w:val="Hyperlink"/>
            <w:rFonts w:ascii="Arial" w:hAnsi="Arial" w:cs="Arial"/>
          </w:rPr>
          <w:t>https://doi.org/10.1016/j.hrmr.2021.100854</w:t>
        </w:r>
      </w:hyperlink>
    </w:p>
    <w:p w14:paraId="6C01C531" w14:textId="601AD152" w:rsidR="00180636" w:rsidRPr="00740F17" w:rsidRDefault="00180636" w:rsidP="003109E8">
      <w:pPr>
        <w:rPr>
          <w:rFonts w:ascii="Arial" w:hAnsi="Arial" w:cs="Arial"/>
        </w:rPr>
      </w:pPr>
      <w:r w:rsidRPr="00740F17">
        <w:rPr>
          <w:rFonts w:ascii="Arial" w:hAnsi="Arial" w:cs="Arial"/>
        </w:rPr>
        <w:t xml:space="preserve">Ashiru, J-A., Erdil, G.E. and Oluwajana, D. (2021) </w:t>
      </w:r>
      <w:r w:rsidR="00CD1A3A" w:rsidRPr="00740F17">
        <w:rPr>
          <w:rFonts w:ascii="Arial" w:hAnsi="Arial" w:cs="Arial"/>
        </w:rPr>
        <w:t>‘</w:t>
      </w:r>
      <w:r w:rsidRPr="00740F17">
        <w:rPr>
          <w:rFonts w:ascii="Arial" w:hAnsi="Arial" w:cs="Arial"/>
        </w:rPr>
        <w:t>The linkage between high performance work systems on organisational performance, employee voice and employee innovation</w:t>
      </w:r>
      <w:r w:rsidR="00CD1A3A" w:rsidRPr="00740F17">
        <w:rPr>
          <w:rFonts w:ascii="Arial" w:hAnsi="Arial" w:cs="Arial"/>
        </w:rPr>
        <w:t>’</w:t>
      </w:r>
      <w:r w:rsidRPr="00740F17">
        <w:rPr>
          <w:rFonts w:ascii="Arial" w:hAnsi="Arial" w:cs="Arial"/>
        </w:rPr>
        <w:t xml:space="preserve">, Journal of Organizational Change Management, 35(1), pp. 1–17. Available at: </w:t>
      </w:r>
      <w:hyperlink r:id="rId13" w:history="1">
        <w:r w:rsidRPr="00740F17">
          <w:rPr>
            <w:rStyle w:val="Hyperlink"/>
            <w:rFonts w:ascii="Arial" w:hAnsi="Arial" w:cs="Arial"/>
          </w:rPr>
          <w:t>https://doi.org/10.1108/JOCM-02-2021-0039</w:t>
        </w:r>
      </w:hyperlink>
      <w:r w:rsidRPr="00740F17">
        <w:rPr>
          <w:rFonts w:ascii="Arial" w:hAnsi="Arial" w:cs="Arial"/>
        </w:rPr>
        <w:t xml:space="preserve"> </w:t>
      </w:r>
    </w:p>
    <w:p w14:paraId="1AF6DE97" w14:textId="205223FB" w:rsidR="00180636" w:rsidRPr="00740F17" w:rsidRDefault="00180636" w:rsidP="00180636">
      <w:pPr>
        <w:rPr>
          <w:rFonts w:ascii="Arial" w:hAnsi="Arial" w:cs="Arial"/>
          <w:lang w:val="en-IN"/>
        </w:rPr>
      </w:pPr>
      <w:r w:rsidRPr="00740F17">
        <w:rPr>
          <w:rFonts w:ascii="Arial" w:hAnsi="Arial" w:cs="Arial"/>
          <w:lang w:val="en-IN"/>
        </w:rPr>
        <w:t xml:space="preserve">Chartered Institute of Personnel and Development (CIPD) (2024) </w:t>
      </w:r>
      <w:r w:rsidR="00CD1A3A" w:rsidRPr="00740F17">
        <w:rPr>
          <w:rFonts w:ascii="Arial" w:hAnsi="Arial" w:cs="Arial"/>
          <w:lang w:val="en-IN"/>
        </w:rPr>
        <w:t>‘</w:t>
      </w:r>
      <w:r w:rsidRPr="00740F17">
        <w:rPr>
          <w:rFonts w:ascii="Arial" w:hAnsi="Arial" w:cs="Arial"/>
          <w:lang w:val="en-IN"/>
        </w:rPr>
        <w:t>CIPD to develop principles and guidance for safe and ethical use of AI in the workplace</w:t>
      </w:r>
      <w:r w:rsidR="00CD1A3A" w:rsidRPr="00740F17">
        <w:rPr>
          <w:rFonts w:ascii="Arial" w:hAnsi="Arial" w:cs="Arial"/>
          <w:lang w:val="en-IN"/>
        </w:rPr>
        <w:t>’</w:t>
      </w:r>
      <w:r w:rsidRPr="00740F17">
        <w:rPr>
          <w:rFonts w:ascii="Arial" w:hAnsi="Arial" w:cs="Arial"/>
          <w:lang w:val="en-IN"/>
        </w:rPr>
        <w:t xml:space="preserve">. Available at: </w:t>
      </w:r>
      <w:hyperlink r:id="rId14" w:history="1">
        <w:r w:rsidRPr="00740F17">
          <w:rPr>
            <w:rStyle w:val="Hyperlink"/>
            <w:rFonts w:ascii="Arial" w:hAnsi="Arial" w:cs="Arial"/>
            <w:lang w:val="en-IN"/>
          </w:rPr>
          <w:t>https://www.cipd.org/en/about/news/cipd-guidance-ai-in-workplace/</w:t>
        </w:r>
      </w:hyperlink>
      <w:r w:rsidRPr="00740F17">
        <w:rPr>
          <w:rFonts w:ascii="Arial" w:hAnsi="Arial" w:cs="Arial"/>
          <w:lang w:val="en-IN"/>
        </w:rPr>
        <w:t xml:space="preserve"> (Accessed: 12 October 2026).</w:t>
      </w:r>
    </w:p>
    <w:p w14:paraId="0BC60F04" w14:textId="77777777" w:rsidR="00180636" w:rsidRPr="00740F17" w:rsidRDefault="00180636" w:rsidP="003109E8">
      <w:pPr>
        <w:rPr>
          <w:rFonts w:ascii="Arial" w:hAnsi="Arial" w:cs="Arial"/>
        </w:rPr>
      </w:pPr>
      <w:r w:rsidRPr="00740F17">
        <w:rPr>
          <w:rFonts w:ascii="Arial" w:hAnsi="Arial" w:cs="Arial"/>
        </w:rPr>
        <w:t xml:space="preserve">CIPD (2025) Flexible and hybrid working practices in 2025. Available at: </w:t>
      </w:r>
      <w:hyperlink r:id="rId15" w:history="1">
        <w:r w:rsidRPr="00740F17">
          <w:rPr>
            <w:rStyle w:val="Hyperlink"/>
            <w:rFonts w:ascii="Arial" w:hAnsi="Arial" w:cs="Arial"/>
          </w:rPr>
          <w:t>https://www.cipd.org/en/knowledge/reports/flexible-hybrid-working/</w:t>
        </w:r>
      </w:hyperlink>
      <w:r w:rsidRPr="00740F17">
        <w:rPr>
          <w:rFonts w:ascii="Arial" w:hAnsi="Arial" w:cs="Arial"/>
        </w:rPr>
        <w:t xml:space="preserve"> </w:t>
      </w:r>
    </w:p>
    <w:p w14:paraId="483ABCDB" w14:textId="214EB485" w:rsidR="00180636" w:rsidRPr="00740F17" w:rsidRDefault="00180636" w:rsidP="003109E8">
      <w:pPr>
        <w:rPr>
          <w:rFonts w:ascii="Arial" w:hAnsi="Arial" w:cs="Arial"/>
        </w:rPr>
      </w:pPr>
      <w:r w:rsidRPr="00740F17">
        <w:rPr>
          <w:rFonts w:ascii="Arial" w:hAnsi="Arial" w:cs="Arial"/>
        </w:rPr>
        <w:t xml:space="preserve">Frare, A.B. and Beuren, I.M. (2021) </w:t>
      </w:r>
      <w:r w:rsidR="00CD1A3A" w:rsidRPr="00740F17">
        <w:rPr>
          <w:rFonts w:ascii="Arial" w:hAnsi="Arial" w:cs="Arial"/>
        </w:rPr>
        <w:t>‘</w:t>
      </w:r>
      <w:r w:rsidRPr="00740F17">
        <w:rPr>
          <w:rFonts w:ascii="Arial" w:hAnsi="Arial" w:cs="Arial"/>
        </w:rPr>
        <w:t>Job autonomy, unscripted agility and ambidextrous innovation: analysis of Brazilian startups in times of the Covid-19 pandemic</w:t>
      </w:r>
      <w:r w:rsidR="00CD1A3A" w:rsidRPr="00740F17">
        <w:rPr>
          <w:rFonts w:ascii="Arial" w:hAnsi="Arial" w:cs="Arial"/>
        </w:rPr>
        <w:t>’</w:t>
      </w:r>
      <w:r w:rsidRPr="00740F17">
        <w:rPr>
          <w:rFonts w:ascii="Arial" w:hAnsi="Arial" w:cs="Arial"/>
        </w:rPr>
        <w:t xml:space="preserve">, Revista de Gestão, 28(3), pp. 263–278. Available at: </w:t>
      </w:r>
      <w:hyperlink r:id="rId16" w:history="1">
        <w:r w:rsidRPr="00740F17">
          <w:rPr>
            <w:rStyle w:val="Hyperlink"/>
            <w:rFonts w:ascii="Arial" w:hAnsi="Arial" w:cs="Arial"/>
          </w:rPr>
          <w:t>https://doi.org/10.1108/REGE-01-2021-0005</w:t>
        </w:r>
      </w:hyperlink>
      <w:r w:rsidRPr="00740F17">
        <w:rPr>
          <w:rFonts w:ascii="Arial" w:hAnsi="Arial" w:cs="Arial"/>
        </w:rPr>
        <w:t xml:space="preserve"> </w:t>
      </w:r>
    </w:p>
    <w:p w14:paraId="106C0470" w14:textId="342D88F9" w:rsidR="00180636" w:rsidRPr="00740F17" w:rsidRDefault="00180636" w:rsidP="000D3F86">
      <w:pPr>
        <w:rPr>
          <w:rFonts w:ascii="Arial" w:hAnsi="Arial" w:cs="Arial"/>
        </w:rPr>
      </w:pPr>
      <w:r w:rsidRPr="00740F17">
        <w:rPr>
          <w:rFonts w:ascii="Arial" w:hAnsi="Arial" w:cs="Arial"/>
        </w:rPr>
        <w:t xml:space="preserve">Giannakos, M.N., Mikalef, P. and Pappas, I.O. (2022) </w:t>
      </w:r>
      <w:r w:rsidR="00CD1A3A" w:rsidRPr="00740F17">
        <w:rPr>
          <w:rFonts w:ascii="Arial" w:hAnsi="Arial" w:cs="Arial"/>
        </w:rPr>
        <w:t>‘</w:t>
      </w:r>
      <w:r w:rsidRPr="00740F17">
        <w:rPr>
          <w:rFonts w:ascii="Arial" w:hAnsi="Arial" w:cs="Arial"/>
        </w:rPr>
        <w:t>Systematic literature review of e-learning capabilities to enhance organizational learning</w:t>
      </w:r>
      <w:r w:rsidR="00CD1A3A" w:rsidRPr="00740F17">
        <w:rPr>
          <w:rFonts w:ascii="Arial" w:hAnsi="Arial" w:cs="Arial"/>
        </w:rPr>
        <w:t>’</w:t>
      </w:r>
      <w:r w:rsidRPr="00740F17">
        <w:rPr>
          <w:rFonts w:ascii="Arial" w:hAnsi="Arial" w:cs="Arial"/>
        </w:rPr>
        <w:t xml:space="preserve">, </w:t>
      </w:r>
      <w:r w:rsidRPr="00740F17">
        <w:rPr>
          <w:rFonts w:ascii="Arial" w:hAnsi="Arial" w:cs="Arial"/>
          <w:i/>
        </w:rPr>
        <w:t>Information Systems Frontiers</w:t>
      </w:r>
      <w:r w:rsidRPr="00740F17">
        <w:rPr>
          <w:rFonts w:ascii="Arial" w:hAnsi="Arial" w:cs="Arial"/>
        </w:rPr>
        <w:t xml:space="preserve">, 24(2), pp. 619–635. Available at:  </w:t>
      </w:r>
      <w:hyperlink r:id="rId17" w:history="1">
        <w:r w:rsidRPr="00740F17">
          <w:rPr>
            <w:rStyle w:val="Hyperlink"/>
            <w:rFonts w:ascii="Arial" w:hAnsi="Arial" w:cs="Arial"/>
          </w:rPr>
          <w:t>https://doi.org/10.1007/s10796-020-10097-2</w:t>
        </w:r>
      </w:hyperlink>
    </w:p>
    <w:p w14:paraId="1AF2FF3A" w14:textId="531CCE9B" w:rsidR="00180636" w:rsidRPr="00740F17" w:rsidRDefault="00180636" w:rsidP="003109E8">
      <w:pPr>
        <w:rPr>
          <w:rFonts w:ascii="Arial" w:hAnsi="Arial" w:cs="Arial"/>
        </w:rPr>
      </w:pPr>
      <w:r w:rsidRPr="00740F17">
        <w:rPr>
          <w:rFonts w:ascii="Arial" w:hAnsi="Arial" w:cs="Arial"/>
        </w:rPr>
        <w:t xml:space="preserve">Gibbs, M., Mengel, F. and Siemroth, C. (2024) </w:t>
      </w:r>
      <w:r w:rsidR="00CD1A3A" w:rsidRPr="00740F17">
        <w:rPr>
          <w:rFonts w:ascii="Arial" w:hAnsi="Arial" w:cs="Arial"/>
        </w:rPr>
        <w:t>‘</w:t>
      </w:r>
      <w:r w:rsidRPr="00740F17">
        <w:rPr>
          <w:rFonts w:ascii="Arial" w:hAnsi="Arial" w:cs="Arial"/>
        </w:rPr>
        <w:t>Employee innovation during office work, work from home and hybrid work</w:t>
      </w:r>
      <w:r w:rsidR="00CD1A3A" w:rsidRPr="00740F17">
        <w:rPr>
          <w:rFonts w:ascii="Arial" w:hAnsi="Arial" w:cs="Arial"/>
        </w:rPr>
        <w:t>’</w:t>
      </w:r>
      <w:r w:rsidRPr="00740F17">
        <w:rPr>
          <w:rFonts w:ascii="Arial" w:hAnsi="Arial" w:cs="Arial"/>
        </w:rPr>
        <w:t xml:space="preserve">, Scientific Reports, 14, 17117. Available at: </w:t>
      </w:r>
      <w:hyperlink r:id="rId18" w:history="1">
        <w:r w:rsidRPr="00740F17">
          <w:rPr>
            <w:rStyle w:val="Hyperlink"/>
            <w:rFonts w:ascii="Arial" w:hAnsi="Arial" w:cs="Arial"/>
          </w:rPr>
          <w:t>https://doi.org/10.1038/s41598-024-67122-6</w:t>
        </w:r>
      </w:hyperlink>
      <w:r w:rsidRPr="00740F17">
        <w:rPr>
          <w:rFonts w:ascii="Arial" w:hAnsi="Arial" w:cs="Arial"/>
        </w:rPr>
        <w:t xml:space="preserve"> </w:t>
      </w:r>
    </w:p>
    <w:p w14:paraId="773612EF" w14:textId="47DF6063" w:rsidR="00180636" w:rsidRPr="00740F17" w:rsidRDefault="00180636" w:rsidP="003109E8">
      <w:pPr>
        <w:rPr>
          <w:rFonts w:ascii="Arial" w:hAnsi="Arial" w:cs="Arial"/>
        </w:rPr>
      </w:pPr>
      <w:r w:rsidRPr="00740F17">
        <w:rPr>
          <w:rFonts w:ascii="Arial" w:hAnsi="Arial" w:cs="Arial"/>
        </w:rPr>
        <w:t xml:space="preserve">Guest, D., Knox, A. and Warhurst, C. (2022) </w:t>
      </w:r>
      <w:r w:rsidR="00CD1A3A" w:rsidRPr="00740F17">
        <w:rPr>
          <w:rFonts w:ascii="Arial" w:hAnsi="Arial" w:cs="Arial"/>
        </w:rPr>
        <w:t>‘</w:t>
      </w:r>
      <w:r w:rsidRPr="00740F17">
        <w:rPr>
          <w:rFonts w:ascii="Arial" w:hAnsi="Arial" w:cs="Arial"/>
        </w:rPr>
        <w:t>Humanizing work in the digital age: lessons from socio-technical systems and quality of working life initiatives</w:t>
      </w:r>
      <w:r w:rsidR="00CD1A3A" w:rsidRPr="00740F17">
        <w:rPr>
          <w:rFonts w:ascii="Arial" w:hAnsi="Arial" w:cs="Arial"/>
        </w:rPr>
        <w:t>’</w:t>
      </w:r>
      <w:r w:rsidRPr="00740F17">
        <w:rPr>
          <w:rFonts w:ascii="Arial" w:hAnsi="Arial" w:cs="Arial"/>
        </w:rPr>
        <w:t xml:space="preserve">, Human </w:t>
      </w:r>
      <w:r w:rsidRPr="00740F17">
        <w:rPr>
          <w:rFonts w:ascii="Arial" w:hAnsi="Arial" w:cs="Arial"/>
        </w:rPr>
        <w:lastRenderedPageBreak/>
        <w:t xml:space="preserve">Relations, 75(8), pp. 1461–1482. Available at: </w:t>
      </w:r>
      <w:hyperlink r:id="rId19" w:history="1">
        <w:r w:rsidRPr="00740F17">
          <w:rPr>
            <w:rStyle w:val="Hyperlink"/>
            <w:rFonts w:ascii="Arial" w:hAnsi="Arial" w:cs="Arial"/>
          </w:rPr>
          <w:t>https://doi.org/10.1177/00187267221092674</w:t>
        </w:r>
      </w:hyperlink>
      <w:r w:rsidRPr="00740F17">
        <w:rPr>
          <w:rFonts w:ascii="Arial" w:hAnsi="Arial" w:cs="Arial"/>
        </w:rPr>
        <w:t xml:space="preserve"> </w:t>
      </w:r>
    </w:p>
    <w:p w14:paraId="708143DF" w14:textId="287E3AAE" w:rsidR="00180636" w:rsidRPr="00740F17" w:rsidRDefault="00180636" w:rsidP="000D3F86">
      <w:pPr>
        <w:rPr>
          <w:rFonts w:ascii="Arial" w:hAnsi="Arial" w:cs="Arial"/>
        </w:rPr>
      </w:pPr>
      <w:r w:rsidRPr="00740F17">
        <w:rPr>
          <w:rFonts w:ascii="Arial" w:hAnsi="Arial" w:cs="Arial"/>
        </w:rPr>
        <w:t xml:space="preserve">Han, S.J. and Stieha, V. (2020) </w:t>
      </w:r>
      <w:r w:rsidR="00CD1A3A" w:rsidRPr="00740F17">
        <w:rPr>
          <w:rFonts w:ascii="Arial" w:hAnsi="Arial" w:cs="Arial"/>
        </w:rPr>
        <w:t>‘</w:t>
      </w:r>
      <w:r w:rsidRPr="00740F17">
        <w:rPr>
          <w:rFonts w:ascii="Arial" w:hAnsi="Arial" w:cs="Arial"/>
        </w:rPr>
        <w:t>Growth mindset for human resource development: A scoping review of the literature with recommended interventions</w:t>
      </w:r>
      <w:r w:rsidR="00CD1A3A" w:rsidRPr="00740F17">
        <w:rPr>
          <w:rFonts w:ascii="Arial" w:hAnsi="Arial" w:cs="Arial"/>
        </w:rPr>
        <w:t>’</w:t>
      </w:r>
      <w:r w:rsidRPr="00740F17">
        <w:rPr>
          <w:rFonts w:ascii="Arial" w:hAnsi="Arial" w:cs="Arial"/>
        </w:rPr>
        <w:t xml:space="preserve">, </w:t>
      </w:r>
      <w:r w:rsidRPr="00740F17">
        <w:rPr>
          <w:rFonts w:ascii="Arial" w:hAnsi="Arial" w:cs="Arial"/>
          <w:i/>
        </w:rPr>
        <w:t>Human Resource Development Review</w:t>
      </w:r>
      <w:r w:rsidRPr="00740F17">
        <w:rPr>
          <w:rFonts w:ascii="Arial" w:hAnsi="Arial" w:cs="Arial"/>
        </w:rPr>
        <w:t xml:space="preserve">, 19(3), pp. 309–331. Available at:  </w:t>
      </w:r>
      <w:hyperlink r:id="rId20" w:history="1">
        <w:r w:rsidRPr="00740F17">
          <w:rPr>
            <w:rStyle w:val="Hyperlink"/>
            <w:rFonts w:ascii="Arial" w:hAnsi="Arial" w:cs="Arial"/>
          </w:rPr>
          <w:t>https://doi.org/10.1177/1534484320939739</w:t>
        </w:r>
      </w:hyperlink>
    </w:p>
    <w:p w14:paraId="2A15B554" w14:textId="0D74A216" w:rsidR="00180636" w:rsidRPr="00740F17" w:rsidRDefault="00180636" w:rsidP="003109E8">
      <w:pPr>
        <w:rPr>
          <w:rFonts w:ascii="Arial" w:hAnsi="Arial" w:cs="Arial"/>
        </w:rPr>
      </w:pPr>
      <w:r w:rsidRPr="00740F17">
        <w:rPr>
          <w:rFonts w:ascii="Arial" w:hAnsi="Arial" w:cs="Arial"/>
        </w:rPr>
        <w:t xml:space="preserve">Kaushik, D. and Mukherjee, U. (2022) </w:t>
      </w:r>
      <w:r w:rsidR="00CD1A3A" w:rsidRPr="00740F17">
        <w:rPr>
          <w:rFonts w:ascii="Arial" w:hAnsi="Arial" w:cs="Arial"/>
        </w:rPr>
        <w:t>‘</w:t>
      </w:r>
      <w:r w:rsidRPr="00740F17">
        <w:rPr>
          <w:rFonts w:ascii="Arial" w:hAnsi="Arial" w:cs="Arial"/>
        </w:rPr>
        <w:t>High-performance work system: a systematic review of literature</w:t>
      </w:r>
      <w:r w:rsidR="00CD1A3A" w:rsidRPr="00740F17">
        <w:rPr>
          <w:rFonts w:ascii="Arial" w:hAnsi="Arial" w:cs="Arial"/>
        </w:rPr>
        <w:t>’</w:t>
      </w:r>
      <w:r w:rsidRPr="00740F17">
        <w:rPr>
          <w:rFonts w:ascii="Arial" w:hAnsi="Arial" w:cs="Arial"/>
        </w:rPr>
        <w:t xml:space="preserve">, International Journal of Organizational Analysis, 30(6), pp. 1624–1643. Available at: </w:t>
      </w:r>
      <w:hyperlink r:id="rId21" w:history="1">
        <w:r w:rsidRPr="00740F17">
          <w:rPr>
            <w:rStyle w:val="Hyperlink"/>
            <w:rFonts w:ascii="Arial" w:hAnsi="Arial" w:cs="Arial"/>
          </w:rPr>
          <w:t>https://doi.org/10.1108/IJOA-07-2020-2282</w:t>
        </w:r>
      </w:hyperlink>
      <w:r w:rsidRPr="00740F17">
        <w:rPr>
          <w:rFonts w:ascii="Arial" w:hAnsi="Arial" w:cs="Arial"/>
        </w:rPr>
        <w:t xml:space="preserve"> </w:t>
      </w:r>
    </w:p>
    <w:p w14:paraId="1DDA1FF9" w14:textId="16831561" w:rsidR="00180636" w:rsidRPr="00740F17" w:rsidRDefault="00180636" w:rsidP="000D3F86">
      <w:pPr>
        <w:rPr>
          <w:rFonts w:ascii="Arial" w:hAnsi="Arial" w:cs="Arial"/>
        </w:rPr>
      </w:pPr>
      <w:r w:rsidRPr="00740F17">
        <w:rPr>
          <w:rFonts w:ascii="Arial" w:hAnsi="Arial" w:cs="Arial"/>
        </w:rPr>
        <w:t xml:space="preserve">Kraiger, K. and Ford, J.K. (2021) </w:t>
      </w:r>
      <w:r w:rsidR="00CD1A3A" w:rsidRPr="00740F17">
        <w:rPr>
          <w:rFonts w:ascii="Arial" w:hAnsi="Arial" w:cs="Arial"/>
        </w:rPr>
        <w:t>‘</w:t>
      </w:r>
      <w:r w:rsidRPr="00740F17">
        <w:rPr>
          <w:rFonts w:ascii="Arial" w:hAnsi="Arial" w:cs="Arial"/>
        </w:rPr>
        <w:t>The science of workplace instruction: Learning and development applied to work</w:t>
      </w:r>
      <w:r w:rsidR="00CD1A3A" w:rsidRPr="00740F17">
        <w:rPr>
          <w:rFonts w:ascii="Arial" w:hAnsi="Arial" w:cs="Arial"/>
        </w:rPr>
        <w:t>’</w:t>
      </w:r>
      <w:r w:rsidRPr="00740F17">
        <w:rPr>
          <w:rFonts w:ascii="Arial" w:hAnsi="Arial" w:cs="Arial"/>
        </w:rPr>
        <w:t xml:space="preserve">, </w:t>
      </w:r>
      <w:r w:rsidRPr="00740F17">
        <w:rPr>
          <w:rFonts w:ascii="Arial" w:hAnsi="Arial" w:cs="Arial"/>
          <w:i/>
        </w:rPr>
        <w:t>Annual Review of Organizational Psychology and Organizational Behavior</w:t>
      </w:r>
      <w:r w:rsidRPr="00740F17">
        <w:rPr>
          <w:rFonts w:ascii="Arial" w:hAnsi="Arial" w:cs="Arial"/>
        </w:rPr>
        <w:t xml:space="preserve">, 8, pp. 45–72. Available at:  </w:t>
      </w:r>
      <w:hyperlink r:id="rId22" w:history="1">
        <w:r w:rsidRPr="00740F17">
          <w:rPr>
            <w:rStyle w:val="Hyperlink"/>
            <w:rFonts w:ascii="Arial" w:hAnsi="Arial" w:cs="Arial"/>
          </w:rPr>
          <w:t>https://doi.org/10.1146/annurev-orgpsych-012420-060109</w:t>
        </w:r>
      </w:hyperlink>
    </w:p>
    <w:p w14:paraId="54095FBC" w14:textId="61EA6564" w:rsidR="00180636" w:rsidRPr="00740F17" w:rsidRDefault="00180636" w:rsidP="000D3F86">
      <w:pPr>
        <w:rPr>
          <w:rFonts w:ascii="Arial" w:hAnsi="Arial" w:cs="Arial"/>
        </w:rPr>
      </w:pPr>
      <w:r w:rsidRPr="00740F17">
        <w:rPr>
          <w:rFonts w:ascii="Arial" w:hAnsi="Arial" w:cs="Arial"/>
        </w:rPr>
        <w:t xml:space="preserve">Kumar, G.V. and Valarmathi, B. (2022) </w:t>
      </w:r>
      <w:r w:rsidR="00CD1A3A" w:rsidRPr="00740F17">
        <w:rPr>
          <w:rFonts w:ascii="Arial" w:hAnsi="Arial" w:cs="Arial"/>
        </w:rPr>
        <w:t>‘</w:t>
      </w:r>
      <w:r w:rsidRPr="00740F17">
        <w:rPr>
          <w:rFonts w:ascii="Arial" w:hAnsi="Arial" w:cs="Arial"/>
        </w:rPr>
        <w:t>Job crafting: A systematic review and meta-analytical relationships with precursors and work outcomes (2001–2021)</w:t>
      </w:r>
      <w:r w:rsidR="00CD1A3A" w:rsidRPr="00740F17">
        <w:rPr>
          <w:rFonts w:ascii="Arial" w:hAnsi="Arial" w:cs="Arial"/>
        </w:rPr>
        <w:t>’</w:t>
      </w:r>
      <w:r w:rsidRPr="00740F17">
        <w:rPr>
          <w:rFonts w:ascii="Arial" w:hAnsi="Arial" w:cs="Arial"/>
        </w:rPr>
        <w:t xml:space="preserve">, </w:t>
      </w:r>
      <w:r w:rsidRPr="00740F17">
        <w:rPr>
          <w:rFonts w:ascii="Arial" w:hAnsi="Arial" w:cs="Arial"/>
          <w:i/>
        </w:rPr>
        <w:t>Prabandhan: Indian Journal of Management</w:t>
      </w:r>
      <w:r w:rsidRPr="00740F17">
        <w:rPr>
          <w:rFonts w:ascii="Arial" w:hAnsi="Arial" w:cs="Arial"/>
        </w:rPr>
        <w:t xml:space="preserve">, 15(1), pp. 40–52. Available at:  </w:t>
      </w:r>
      <w:hyperlink r:id="rId23" w:history="1">
        <w:r w:rsidRPr="00740F17">
          <w:rPr>
            <w:rStyle w:val="Hyperlink"/>
            <w:rFonts w:ascii="Arial" w:hAnsi="Arial" w:cs="Arial"/>
          </w:rPr>
          <w:t>https://doi.org/10.17010/pijom/2022/v15i1/167860</w:t>
        </w:r>
      </w:hyperlink>
    </w:p>
    <w:p w14:paraId="06AA85B1" w14:textId="77777777" w:rsidR="00180636" w:rsidRPr="00740F17" w:rsidRDefault="00180636" w:rsidP="00180636">
      <w:pPr>
        <w:rPr>
          <w:rFonts w:ascii="Arial" w:hAnsi="Arial" w:cs="Arial"/>
          <w:lang w:val="en-IN"/>
        </w:rPr>
      </w:pPr>
      <w:r w:rsidRPr="00740F17">
        <w:rPr>
          <w:rFonts w:ascii="Arial" w:hAnsi="Arial" w:cs="Arial"/>
          <w:lang w:val="en-IN"/>
        </w:rPr>
        <w:t xml:space="preserve">National Institute of Standards and Technology (NIST) (2023) </w:t>
      </w:r>
      <w:r w:rsidRPr="00740F17">
        <w:rPr>
          <w:rFonts w:ascii="Arial" w:hAnsi="Arial" w:cs="Arial"/>
          <w:i/>
          <w:iCs/>
          <w:lang w:val="en-IN"/>
        </w:rPr>
        <w:t>Artificial Intelligence Risk Management Framework (AI RMF 1.0)</w:t>
      </w:r>
      <w:r w:rsidRPr="00740F17">
        <w:rPr>
          <w:rFonts w:ascii="Arial" w:hAnsi="Arial" w:cs="Arial"/>
          <w:lang w:val="en-IN"/>
        </w:rPr>
        <w:t xml:space="preserve">. Available at: </w:t>
      </w:r>
      <w:hyperlink r:id="rId24" w:history="1">
        <w:r w:rsidRPr="00740F17">
          <w:rPr>
            <w:rStyle w:val="Hyperlink"/>
            <w:rFonts w:ascii="Arial" w:hAnsi="Arial" w:cs="Arial"/>
            <w:lang w:val="en-IN"/>
          </w:rPr>
          <w:t>https://nvlpubs.nist.gov/nistpubs/ai/nist.ai.100-1.pdf</w:t>
        </w:r>
      </w:hyperlink>
      <w:r w:rsidRPr="00740F17">
        <w:rPr>
          <w:rFonts w:ascii="Arial" w:hAnsi="Arial" w:cs="Arial"/>
          <w:lang w:val="en-IN"/>
        </w:rPr>
        <w:t xml:space="preserve"> (Accessed: 12 October 2026).</w:t>
      </w:r>
    </w:p>
    <w:p w14:paraId="56D79B56" w14:textId="173B5825" w:rsidR="00180636" w:rsidRPr="00740F17" w:rsidRDefault="00180636" w:rsidP="000D3F86">
      <w:pPr>
        <w:rPr>
          <w:rFonts w:ascii="Arial" w:hAnsi="Arial" w:cs="Arial"/>
        </w:rPr>
      </w:pPr>
      <w:r w:rsidRPr="00740F17">
        <w:rPr>
          <w:rFonts w:ascii="Arial" w:hAnsi="Arial" w:cs="Arial"/>
        </w:rPr>
        <w:t xml:space="preserve">Ng, T.W.H., Yim, F.H.K., Chen, H. and Zou, Y. (2024) </w:t>
      </w:r>
      <w:r w:rsidR="00CD1A3A" w:rsidRPr="00740F17">
        <w:rPr>
          <w:rFonts w:ascii="Arial" w:hAnsi="Arial" w:cs="Arial"/>
        </w:rPr>
        <w:t>‘</w:t>
      </w:r>
      <w:r w:rsidRPr="00740F17">
        <w:rPr>
          <w:rFonts w:ascii="Arial" w:hAnsi="Arial" w:cs="Arial"/>
        </w:rPr>
        <w:t>Employer-sponsored career development practices and employee performance and turnover: A meta-analysis</w:t>
      </w:r>
      <w:r w:rsidR="00CD1A3A" w:rsidRPr="00740F17">
        <w:rPr>
          <w:rFonts w:ascii="Arial" w:hAnsi="Arial" w:cs="Arial"/>
        </w:rPr>
        <w:t>’</w:t>
      </w:r>
      <w:r w:rsidRPr="00740F17">
        <w:rPr>
          <w:rFonts w:ascii="Arial" w:hAnsi="Arial" w:cs="Arial"/>
        </w:rPr>
        <w:t xml:space="preserve">, </w:t>
      </w:r>
      <w:r w:rsidRPr="00740F17">
        <w:rPr>
          <w:rFonts w:ascii="Arial" w:hAnsi="Arial" w:cs="Arial"/>
          <w:i/>
        </w:rPr>
        <w:t>Journal of Management</w:t>
      </w:r>
      <w:r w:rsidRPr="00740F17">
        <w:rPr>
          <w:rFonts w:ascii="Arial" w:hAnsi="Arial" w:cs="Arial"/>
        </w:rPr>
        <w:t xml:space="preserve">, 50(2), pp. 685–721. Available at:  </w:t>
      </w:r>
      <w:hyperlink r:id="rId25" w:history="1">
        <w:r w:rsidRPr="00740F17">
          <w:rPr>
            <w:rStyle w:val="Hyperlink"/>
            <w:rFonts w:ascii="Arial" w:hAnsi="Arial" w:cs="Arial"/>
          </w:rPr>
          <w:t>https://doi.org/10.1177/01492063221125143</w:t>
        </w:r>
      </w:hyperlink>
    </w:p>
    <w:p w14:paraId="286F0963" w14:textId="634DD50D" w:rsidR="00180636" w:rsidRPr="00740F17" w:rsidRDefault="00180636" w:rsidP="000D3F86">
      <w:pPr>
        <w:rPr>
          <w:rFonts w:ascii="Arial" w:hAnsi="Arial" w:cs="Arial"/>
        </w:rPr>
      </w:pPr>
      <w:r w:rsidRPr="00740F17">
        <w:rPr>
          <w:rFonts w:ascii="Arial" w:hAnsi="Arial" w:cs="Arial"/>
        </w:rPr>
        <w:t>O</w:t>
      </w:r>
      <w:r w:rsidR="00CD1A3A" w:rsidRPr="00740F17">
        <w:rPr>
          <w:rFonts w:ascii="Arial" w:hAnsi="Arial" w:cs="Arial"/>
        </w:rPr>
        <w:t>’</w:t>
      </w:r>
      <w:r w:rsidRPr="00740F17">
        <w:rPr>
          <w:rFonts w:ascii="Arial" w:hAnsi="Arial" w:cs="Arial"/>
        </w:rPr>
        <w:t xml:space="preserve">Donovan, R. and McAuliffe, E. (2020) </w:t>
      </w:r>
      <w:r w:rsidR="00CD1A3A" w:rsidRPr="00740F17">
        <w:rPr>
          <w:rFonts w:ascii="Arial" w:hAnsi="Arial" w:cs="Arial"/>
        </w:rPr>
        <w:t>‘</w:t>
      </w:r>
      <w:r w:rsidRPr="00740F17">
        <w:rPr>
          <w:rFonts w:ascii="Arial" w:hAnsi="Arial" w:cs="Arial"/>
        </w:rPr>
        <w:t>A systematic review exploring the content and outcomes of interventions to improve psychological safety, speaking up and voice behaviour</w:t>
      </w:r>
      <w:r w:rsidR="00CD1A3A" w:rsidRPr="00740F17">
        <w:rPr>
          <w:rFonts w:ascii="Arial" w:hAnsi="Arial" w:cs="Arial"/>
        </w:rPr>
        <w:t>’</w:t>
      </w:r>
      <w:r w:rsidRPr="00740F17">
        <w:rPr>
          <w:rFonts w:ascii="Arial" w:hAnsi="Arial" w:cs="Arial"/>
        </w:rPr>
        <w:t xml:space="preserve">, </w:t>
      </w:r>
      <w:r w:rsidRPr="00740F17">
        <w:rPr>
          <w:rFonts w:ascii="Arial" w:hAnsi="Arial" w:cs="Arial"/>
          <w:i/>
        </w:rPr>
        <w:t>BMC Health Services Research</w:t>
      </w:r>
      <w:r w:rsidRPr="00740F17">
        <w:rPr>
          <w:rFonts w:ascii="Arial" w:hAnsi="Arial" w:cs="Arial"/>
        </w:rPr>
        <w:t xml:space="preserve">, 20, article 101. Available at:  </w:t>
      </w:r>
      <w:hyperlink r:id="rId26" w:history="1">
        <w:r w:rsidRPr="00740F17">
          <w:rPr>
            <w:rStyle w:val="Hyperlink"/>
            <w:rFonts w:ascii="Arial" w:hAnsi="Arial" w:cs="Arial"/>
          </w:rPr>
          <w:t>https://doi.org/10.1186/s12913-020-4931-2</w:t>
        </w:r>
      </w:hyperlink>
    </w:p>
    <w:p w14:paraId="46C7D7F5" w14:textId="4633F6B9" w:rsidR="00180636" w:rsidRPr="00740F17" w:rsidRDefault="00180636" w:rsidP="003109E8">
      <w:pPr>
        <w:rPr>
          <w:rFonts w:ascii="Arial" w:hAnsi="Arial" w:cs="Arial"/>
        </w:rPr>
      </w:pPr>
      <w:r w:rsidRPr="00740F17">
        <w:rPr>
          <w:rFonts w:ascii="Arial" w:hAnsi="Arial" w:cs="Arial"/>
        </w:rPr>
        <w:t xml:space="preserve">Parker, S.K. and Grote, G. (2022) </w:t>
      </w:r>
      <w:r w:rsidR="00CD1A3A" w:rsidRPr="00740F17">
        <w:rPr>
          <w:rFonts w:ascii="Arial" w:hAnsi="Arial" w:cs="Arial"/>
        </w:rPr>
        <w:t>‘</w:t>
      </w:r>
      <w:r w:rsidRPr="00740F17">
        <w:rPr>
          <w:rFonts w:ascii="Arial" w:hAnsi="Arial" w:cs="Arial"/>
        </w:rPr>
        <w:t xml:space="preserve">More than </w:t>
      </w:r>
      <w:r w:rsidR="00CD1A3A" w:rsidRPr="00740F17">
        <w:rPr>
          <w:rFonts w:ascii="Arial" w:hAnsi="Arial" w:cs="Arial"/>
        </w:rPr>
        <w:t>‘</w:t>
      </w:r>
      <w:r w:rsidRPr="00740F17">
        <w:rPr>
          <w:rFonts w:ascii="Arial" w:hAnsi="Arial" w:cs="Arial"/>
        </w:rPr>
        <w:t>more than ever</w:t>
      </w:r>
      <w:r w:rsidR="00CD1A3A" w:rsidRPr="00740F17">
        <w:rPr>
          <w:rFonts w:ascii="Arial" w:hAnsi="Arial" w:cs="Arial"/>
        </w:rPr>
        <w:t>’</w:t>
      </w:r>
      <w:r w:rsidRPr="00740F17">
        <w:rPr>
          <w:rFonts w:ascii="Arial" w:hAnsi="Arial" w:cs="Arial"/>
        </w:rPr>
        <w:t>: revisiting a work design and sociotechnical perspective on digital technologies</w:t>
      </w:r>
      <w:r w:rsidR="00CD1A3A" w:rsidRPr="00740F17">
        <w:rPr>
          <w:rFonts w:ascii="Arial" w:hAnsi="Arial" w:cs="Arial"/>
        </w:rPr>
        <w:t>’</w:t>
      </w:r>
      <w:r w:rsidRPr="00740F17">
        <w:rPr>
          <w:rFonts w:ascii="Arial" w:hAnsi="Arial" w:cs="Arial"/>
        </w:rPr>
        <w:t xml:space="preserve">, Applied Psychology, 71(4), pp. 1215–1223. Available at: </w:t>
      </w:r>
      <w:hyperlink r:id="rId27" w:history="1">
        <w:r w:rsidRPr="00740F17">
          <w:rPr>
            <w:rStyle w:val="Hyperlink"/>
            <w:rFonts w:ascii="Arial" w:hAnsi="Arial" w:cs="Arial"/>
          </w:rPr>
          <w:t>https://doi.org/10.1111/apps.12425</w:t>
        </w:r>
      </w:hyperlink>
      <w:r w:rsidRPr="00740F17">
        <w:rPr>
          <w:rFonts w:ascii="Arial" w:hAnsi="Arial" w:cs="Arial"/>
        </w:rPr>
        <w:t xml:space="preserve"> </w:t>
      </w:r>
    </w:p>
    <w:p w14:paraId="7BB4A64B" w14:textId="77777777" w:rsidR="00180636" w:rsidRPr="00740F17" w:rsidRDefault="00180636" w:rsidP="003109E8">
      <w:pPr>
        <w:rPr>
          <w:rFonts w:ascii="Arial" w:hAnsi="Arial" w:cs="Arial"/>
        </w:rPr>
      </w:pPr>
      <w:r w:rsidRPr="00740F17">
        <w:rPr>
          <w:rFonts w:ascii="Arial" w:hAnsi="Arial" w:cs="Arial"/>
        </w:rPr>
        <w:lastRenderedPageBreak/>
        <w:t xml:space="preserve">Rigby, D.K., Elk, S. and Berez, S. (2020) Doing Agile Right: Transformation Without Chaos. Boston, MA: Harvard Business Review Press. Available at: </w:t>
      </w:r>
      <w:hyperlink r:id="rId28" w:history="1">
        <w:r w:rsidRPr="00740F17">
          <w:rPr>
            <w:rStyle w:val="Hyperlink"/>
            <w:rFonts w:ascii="Arial" w:hAnsi="Arial" w:cs="Arial"/>
          </w:rPr>
          <w:t>https://store.hbr.org/product/doing-agile-right-transformation-without-chaos/10340</w:t>
        </w:r>
      </w:hyperlink>
      <w:r w:rsidRPr="00740F17">
        <w:rPr>
          <w:rFonts w:ascii="Arial" w:hAnsi="Arial" w:cs="Arial"/>
        </w:rPr>
        <w:t xml:space="preserve"> </w:t>
      </w:r>
    </w:p>
    <w:p w14:paraId="5C5C98B6" w14:textId="70DFC24F" w:rsidR="00180636" w:rsidRPr="00740F17" w:rsidRDefault="00180636" w:rsidP="000D3F86">
      <w:pPr>
        <w:rPr>
          <w:rFonts w:ascii="Arial" w:hAnsi="Arial" w:cs="Arial"/>
        </w:rPr>
      </w:pPr>
      <w:r w:rsidRPr="00740F17">
        <w:rPr>
          <w:rFonts w:ascii="Arial" w:hAnsi="Arial" w:cs="Arial"/>
        </w:rPr>
        <w:t xml:space="preserve">Sinisterra, L., Peñalver, J. and Salanova, M. (2024) </w:t>
      </w:r>
      <w:r w:rsidR="00CD1A3A" w:rsidRPr="00740F17">
        <w:rPr>
          <w:rFonts w:ascii="Arial" w:hAnsi="Arial" w:cs="Arial"/>
        </w:rPr>
        <w:t>‘</w:t>
      </w:r>
      <w:r w:rsidRPr="00740F17">
        <w:rPr>
          <w:rFonts w:ascii="Arial" w:hAnsi="Arial" w:cs="Arial"/>
        </w:rPr>
        <w:t>Connecting the organizational incomes and outcomes: A systematic review of the relationship between talent management, employee engagement, and turnover intention</w:t>
      </w:r>
      <w:r w:rsidR="00CD1A3A" w:rsidRPr="00740F17">
        <w:rPr>
          <w:rFonts w:ascii="Arial" w:hAnsi="Arial" w:cs="Arial"/>
        </w:rPr>
        <w:t>’</w:t>
      </w:r>
      <w:r w:rsidRPr="00740F17">
        <w:rPr>
          <w:rFonts w:ascii="Arial" w:hAnsi="Arial" w:cs="Arial"/>
        </w:rPr>
        <w:t xml:space="preserve">, </w:t>
      </w:r>
      <w:r w:rsidRPr="00740F17">
        <w:rPr>
          <w:rFonts w:ascii="Arial" w:hAnsi="Arial" w:cs="Arial"/>
          <w:i/>
        </w:rPr>
        <w:t>Frontiers in Psychology</w:t>
      </w:r>
      <w:r w:rsidRPr="00740F17">
        <w:rPr>
          <w:rFonts w:ascii="Arial" w:hAnsi="Arial" w:cs="Arial"/>
        </w:rPr>
        <w:t xml:space="preserve">, 15, 1439127. Available at: </w:t>
      </w:r>
      <w:hyperlink r:id="rId29" w:history="1">
        <w:r w:rsidRPr="00740F17">
          <w:rPr>
            <w:rStyle w:val="Hyperlink"/>
            <w:rFonts w:ascii="Arial" w:hAnsi="Arial" w:cs="Arial"/>
          </w:rPr>
          <w:t>https://doi.org/10.3389/fpsyg.2024.1439127</w:t>
        </w:r>
      </w:hyperlink>
      <w:r w:rsidRPr="00740F17">
        <w:rPr>
          <w:rFonts w:ascii="Arial" w:hAnsi="Arial" w:cs="Arial"/>
        </w:rPr>
        <w:t xml:space="preserve"> </w:t>
      </w:r>
    </w:p>
    <w:p w14:paraId="675B558E" w14:textId="0919E286" w:rsidR="00180636" w:rsidRPr="00740F17" w:rsidRDefault="00180636" w:rsidP="000D3F86">
      <w:pPr>
        <w:rPr>
          <w:rFonts w:ascii="Arial" w:hAnsi="Arial" w:cs="Arial"/>
        </w:rPr>
      </w:pPr>
      <w:r w:rsidRPr="00740F17">
        <w:rPr>
          <w:rFonts w:ascii="Arial" w:hAnsi="Arial" w:cs="Arial"/>
        </w:rPr>
        <w:t xml:space="preserve">Slemp, G.R., Lee, M.A. and Mossman, L.H. (2021) </w:t>
      </w:r>
      <w:r w:rsidR="00CD1A3A" w:rsidRPr="00740F17">
        <w:rPr>
          <w:rFonts w:ascii="Arial" w:hAnsi="Arial" w:cs="Arial"/>
        </w:rPr>
        <w:t>‘</w:t>
      </w:r>
      <w:r w:rsidRPr="00740F17">
        <w:rPr>
          <w:rFonts w:ascii="Arial" w:hAnsi="Arial" w:cs="Arial"/>
        </w:rPr>
        <w:t>Interventions to support autonomy, competence, and relatedness needs in organizations: A systematic review with recommendations for research and practice</w:t>
      </w:r>
      <w:r w:rsidR="00CD1A3A" w:rsidRPr="00740F17">
        <w:rPr>
          <w:rFonts w:ascii="Arial" w:hAnsi="Arial" w:cs="Arial"/>
        </w:rPr>
        <w:t>’</w:t>
      </w:r>
      <w:r w:rsidRPr="00740F17">
        <w:rPr>
          <w:rFonts w:ascii="Arial" w:hAnsi="Arial" w:cs="Arial"/>
        </w:rPr>
        <w:t xml:space="preserve">, </w:t>
      </w:r>
      <w:r w:rsidRPr="00740F17">
        <w:rPr>
          <w:rFonts w:ascii="Arial" w:hAnsi="Arial" w:cs="Arial"/>
          <w:i/>
        </w:rPr>
        <w:t>Journal of Occupational and Organizational Psychology</w:t>
      </w:r>
      <w:r w:rsidRPr="00740F17">
        <w:rPr>
          <w:rFonts w:ascii="Arial" w:hAnsi="Arial" w:cs="Arial"/>
        </w:rPr>
        <w:t xml:space="preserve">, 94(2), pp. 427–457. Available at:  </w:t>
      </w:r>
      <w:hyperlink r:id="rId30" w:history="1">
        <w:r w:rsidRPr="00740F17">
          <w:rPr>
            <w:rStyle w:val="Hyperlink"/>
            <w:rFonts w:ascii="Arial" w:hAnsi="Arial" w:cs="Arial"/>
          </w:rPr>
          <w:t>https://doi.org/10.1111/joop.12338</w:t>
        </w:r>
      </w:hyperlink>
      <w:r w:rsidRPr="00740F17">
        <w:rPr>
          <w:rFonts w:ascii="Arial" w:hAnsi="Arial" w:cs="Arial"/>
        </w:rPr>
        <w:t xml:space="preserve"> </w:t>
      </w:r>
    </w:p>
    <w:p w14:paraId="35EE27D1" w14:textId="75480FA6" w:rsidR="00807F53" w:rsidRPr="00740F17" w:rsidRDefault="00000000">
      <w:pPr>
        <w:rPr>
          <w:rFonts w:ascii="Arial" w:hAnsi="Arial" w:cs="Arial"/>
        </w:rPr>
      </w:pPr>
      <w:r w:rsidRPr="00740F17">
        <w:rPr>
          <w:rFonts w:ascii="Arial" w:hAnsi="Arial" w:cs="Arial"/>
          <w:sz w:val="22"/>
        </w:rPr>
        <w:t xml:space="preserve">Song, Z., Gu, Q. and Cooke, F.L. (2020) </w:t>
      </w:r>
      <w:r w:rsidR="00CD1A3A" w:rsidRPr="00740F17">
        <w:rPr>
          <w:rFonts w:ascii="Arial" w:hAnsi="Arial" w:cs="Arial"/>
          <w:sz w:val="22"/>
        </w:rPr>
        <w:t>‘</w:t>
      </w:r>
      <w:r w:rsidRPr="00740F17">
        <w:rPr>
          <w:rFonts w:ascii="Arial" w:hAnsi="Arial" w:cs="Arial"/>
          <w:sz w:val="22"/>
        </w:rPr>
        <w:t>The effects of high-involvement work systems and shared leadership on team creativity: a multilevel investigation</w:t>
      </w:r>
      <w:r w:rsidR="00CD1A3A" w:rsidRPr="00740F17">
        <w:rPr>
          <w:rFonts w:ascii="Arial" w:hAnsi="Arial" w:cs="Arial"/>
          <w:sz w:val="22"/>
        </w:rPr>
        <w:t>’</w:t>
      </w:r>
      <w:r w:rsidRPr="00740F17">
        <w:rPr>
          <w:rFonts w:ascii="Arial" w:hAnsi="Arial" w:cs="Arial"/>
          <w:sz w:val="22"/>
        </w:rPr>
        <w:t>, Human Resource Management, 59(2), pp. 201–213. Available at: https://doi.org/10.1002/hrm.21988</w:t>
      </w:r>
    </w:p>
    <w:p w14:paraId="0C7A40BD" w14:textId="77777777" w:rsidR="00180636" w:rsidRPr="00740F17" w:rsidRDefault="00180636" w:rsidP="00180636">
      <w:pPr>
        <w:rPr>
          <w:rFonts w:ascii="Arial" w:hAnsi="Arial" w:cs="Arial"/>
          <w:lang w:val="en-IN"/>
        </w:rPr>
      </w:pPr>
      <w:r w:rsidRPr="00740F17">
        <w:rPr>
          <w:rFonts w:ascii="Arial" w:hAnsi="Arial" w:cs="Arial"/>
          <w:lang w:val="en-IN"/>
        </w:rPr>
        <w:t xml:space="preserve">United Nations Educational, Scientific and Cultural Organization (UNESCO) (2021) </w:t>
      </w:r>
      <w:r w:rsidRPr="00740F17">
        <w:rPr>
          <w:rFonts w:ascii="Arial" w:hAnsi="Arial" w:cs="Arial"/>
          <w:i/>
          <w:iCs/>
          <w:lang w:val="en-IN"/>
        </w:rPr>
        <w:t>Recommendation on the Ethics of Artificial Intelligence</w:t>
      </w:r>
      <w:r w:rsidRPr="00740F17">
        <w:rPr>
          <w:rFonts w:ascii="Arial" w:hAnsi="Arial" w:cs="Arial"/>
          <w:lang w:val="en-IN"/>
        </w:rPr>
        <w:t xml:space="preserve">. Available at: </w:t>
      </w:r>
      <w:hyperlink r:id="rId31" w:history="1">
        <w:r w:rsidRPr="00740F17">
          <w:rPr>
            <w:rStyle w:val="Hyperlink"/>
            <w:rFonts w:ascii="Arial" w:hAnsi="Arial" w:cs="Arial"/>
            <w:lang w:val="en-IN"/>
          </w:rPr>
          <w:t>https://www.unesco.org/en/legal-affairs/recommendation-ethics-artificial-intelligence</w:t>
        </w:r>
      </w:hyperlink>
      <w:r w:rsidRPr="00740F17">
        <w:rPr>
          <w:rFonts w:ascii="Arial" w:hAnsi="Arial" w:cs="Arial"/>
          <w:lang w:val="en-IN"/>
        </w:rPr>
        <w:t xml:space="preserve"> (Accessed: 12 October 2026).</w:t>
      </w:r>
    </w:p>
    <w:p w14:paraId="491254E6" w14:textId="3FD5F367" w:rsidR="00180636" w:rsidRPr="00740F17" w:rsidRDefault="00180636" w:rsidP="000D3F86">
      <w:pPr>
        <w:rPr>
          <w:rFonts w:ascii="Arial" w:hAnsi="Arial" w:cs="Arial"/>
        </w:rPr>
      </w:pPr>
      <w:r w:rsidRPr="00740F17">
        <w:rPr>
          <w:rFonts w:ascii="Arial" w:hAnsi="Arial" w:cs="Arial"/>
        </w:rPr>
        <w:t xml:space="preserve">Van den Broeck, A., Howard, J.L., Van Vaerenbergh, Y., Leroy, H. and Gagné, M. (2021) </w:t>
      </w:r>
      <w:r w:rsidR="00CD1A3A" w:rsidRPr="00740F17">
        <w:rPr>
          <w:rFonts w:ascii="Arial" w:hAnsi="Arial" w:cs="Arial"/>
        </w:rPr>
        <w:t>‘</w:t>
      </w:r>
      <w:r w:rsidRPr="00740F17">
        <w:rPr>
          <w:rFonts w:ascii="Arial" w:hAnsi="Arial" w:cs="Arial"/>
        </w:rPr>
        <w:t>Beyond intrinsic and extrinsic motivation: A meta-analysis on self-determination theory</w:t>
      </w:r>
      <w:r w:rsidR="00CD1A3A" w:rsidRPr="00740F17">
        <w:rPr>
          <w:rFonts w:ascii="Arial" w:hAnsi="Arial" w:cs="Arial"/>
        </w:rPr>
        <w:t>’</w:t>
      </w:r>
      <w:r w:rsidRPr="00740F17">
        <w:rPr>
          <w:rFonts w:ascii="Arial" w:hAnsi="Arial" w:cs="Arial"/>
        </w:rPr>
        <w:t>s multidimensional conceptualization of work motivation</w:t>
      </w:r>
      <w:r w:rsidR="00CD1A3A" w:rsidRPr="00740F17">
        <w:rPr>
          <w:rFonts w:ascii="Arial" w:hAnsi="Arial" w:cs="Arial"/>
        </w:rPr>
        <w:t>’</w:t>
      </w:r>
      <w:r w:rsidRPr="00740F17">
        <w:rPr>
          <w:rFonts w:ascii="Arial" w:hAnsi="Arial" w:cs="Arial"/>
        </w:rPr>
        <w:t xml:space="preserve">, </w:t>
      </w:r>
      <w:r w:rsidRPr="00740F17">
        <w:rPr>
          <w:rFonts w:ascii="Arial" w:hAnsi="Arial" w:cs="Arial"/>
          <w:i/>
        </w:rPr>
        <w:t>Organizational Psychology Review</w:t>
      </w:r>
      <w:r w:rsidRPr="00740F17">
        <w:rPr>
          <w:rFonts w:ascii="Arial" w:hAnsi="Arial" w:cs="Arial"/>
        </w:rPr>
        <w:t xml:space="preserve">, 11(3), pp. 240–273. Available at:  </w:t>
      </w:r>
      <w:hyperlink r:id="rId32" w:history="1">
        <w:r w:rsidRPr="00740F17">
          <w:rPr>
            <w:rStyle w:val="Hyperlink"/>
            <w:rFonts w:ascii="Arial" w:hAnsi="Arial" w:cs="Arial"/>
          </w:rPr>
          <w:t>https://doi.org/10.1177/20413866211006173</w:t>
        </w:r>
      </w:hyperlink>
      <w:r w:rsidRPr="00740F17">
        <w:rPr>
          <w:rFonts w:ascii="Arial" w:hAnsi="Arial" w:cs="Arial"/>
        </w:rPr>
        <w:t xml:space="preserve"> </w:t>
      </w:r>
    </w:p>
    <w:p w14:paraId="5F4FC4E8" w14:textId="3A127FC4" w:rsidR="00180636" w:rsidRPr="00740F17" w:rsidRDefault="00180636" w:rsidP="003109E8">
      <w:pPr>
        <w:rPr>
          <w:rFonts w:ascii="Arial" w:hAnsi="Arial" w:cs="Arial"/>
        </w:rPr>
      </w:pPr>
      <w:r w:rsidRPr="00740F17">
        <w:rPr>
          <w:rFonts w:ascii="Arial" w:hAnsi="Arial" w:cs="Arial"/>
        </w:rPr>
        <w:t xml:space="preserve">Wang, B., Liu, Y., Qian, J. and Parker, S.K. (2021) </w:t>
      </w:r>
      <w:r w:rsidR="00CD1A3A" w:rsidRPr="00740F17">
        <w:rPr>
          <w:rFonts w:ascii="Arial" w:hAnsi="Arial" w:cs="Arial"/>
        </w:rPr>
        <w:t>‘</w:t>
      </w:r>
      <w:r w:rsidRPr="00740F17">
        <w:rPr>
          <w:rFonts w:ascii="Arial" w:hAnsi="Arial" w:cs="Arial"/>
        </w:rPr>
        <w:t>Achieving effective remote working during the COVID-19 pandemic: a work design perspective</w:t>
      </w:r>
      <w:r w:rsidR="00CD1A3A" w:rsidRPr="00740F17">
        <w:rPr>
          <w:rFonts w:ascii="Arial" w:hAnsi="Arial" w:cs="Arial"/>
        </w:rPr>
        <w:t>’</w:t>
      </w:r>
      <w:r w:rsidRPr="00740F17">
        <w:rPr>
          <w:rFonts w:ascii="Arial" w:hAnsi="Arial" w:cs="Arial"/>
        </w:rPr>
        <w:t xml:space="preserve">, Applied Psychology, 70(1), pp. 16–59. Available at: </w:t>
      </w:r>
      <w:hyperlink r:id="rId33" w:history="1">
        <w:r w:rsidRPr="00740F17">
          <w:rPr>
            <w:rStyle w:val="Hyperlink"/>
            <w:rFonts w:ascii="Arial" w:hAnsi="Arial" w:cs="Arial"/>
          </w:rPr>
          <w:t>https://doi.org/10.1111/apps.12290</w:t>
        </w:r>
      </w:hyperlink>
      <w:r w:rsidRPr="00740F17">
        <w:rPr>
          <w:rFonts w:ascii="Arial" w:hAnsi="Arial" w:cs="Arial"/>
        </w:rPr>
        <w:t xml:space="preserve"> </w:t>
      </w:r>
    </w:p>
    <w:p w14:paraId="1241F1D1" w14:textId="77777777" w:rsidR="00180636" w:rsidRPr="00740F17" w:rsidRDefault="00180636" w:rsidP="000D3F86">
      <w:pPr>
        <w:rPr>
          <w:rFonts w:ascii="Arial" w:hAnsi="Arial" w:cs="Arial"/>
        </w:rPr>
      </w:pPr>
      <w:r w:rsidRPr="00740F17">
        <w:rPr>
          <w:rFonts w:ascii="Arial" w:hAnsi="Arial" w:cs="Arial"/>
        </w:rPr>
        <w:t xml:space="preserve">World Economic Forum (2023) </w:t>
      </w:r>
      <w:r w:rsidRPr="00740F17">
        <w:rPr>
          <w:rFonts w:ascii="Arial" w:hAnsi="Arial" w:cs="Arial"/>
          <w:i/>
        </w:rPr>
        <w:t>The Future of Jobs Report 2023</w:t>
      </w:r>
      <w:r w:rsidRPr="00740F17">
        <w:rPr>
          <w:rFonts w:ascii="Arial" w:hAnsi="Arial" w:cs="Arial"/>
        </w:rPr>
        <w:t xml:space="preserve">. Geneva: World Economic Forum. Available at:  </w:t>
      </w:r>
      <w:hyperlink r:id="rId34" w:history="1">
        <w:r w:rsidRPr="00740F17">
          <w:rPr>
            <w:rStyle w:val="Hyperlink"/>
            <w:rFonts w:ascii="Arial" w:hAnsi="Arial" w:cs="Arial"/>
          </w:rPr>
          <w:t>https://www.weforum.org/publications/the-future-of-jobs-report-2023/</w:t>
        </w:r>
      </w:hyperlink>
      <w:r w:rsidRPr="00740F17">
        <w:rPr>
          <w:rFonts w:ascii="Arial" w:hAnsi="Arial" w:cs="Arial"/>
        </w:rPr>
        <w:t xml:space="preserve">  </w:t>
      </w:r>
    </w:p>
    <w:p w14:paraId="06E6AA3C" w14:textId="77777777" w:rsidR="00180636" w:rsidRPr="00740F17" w:rsidRDefault="00180636" w:rsidP="003109E8">
      <w:pPr>
        <w:rPr>
          <w:rFonts w:ascii="Arial" w:hAnsi="Arial" w:cs="Arial"/>
        </w:rPr>
      </w:pPr>
      <w:r w:rsidRPr="00740F17">
        <w:rPr>
          <w:rFonts w:ascii="Arial" w:hAnsi="Arial" w:cs="Arial"/>
        </w:rPr>
        <w:lastRenderedPageBreak/>
        <w:t xml:space="preserve">World Economic Forum (2025) Future of Jobs Report 2025. Geneva: World Economic Forum. Available at: </w:t>
      </w:r>
      <w:hyperlink r:id="rId35" w:history="1">
        <w:r w:rsidRPr="00740F17">
          <w:rPr>
            <w:rStyle w:val="Hyperlink"/>
            <w:rFonts w:ascii="Arial" w:hAnsi="Arial" w:cs="Arial"/>
          </w:rPr>
          <w:t>https://www.weforum.org/publications/the-future-of-jobs-report-2025/</w:t>
        </w:r>
      </w:hyperlink>
      <w:r w:rsidRPr="00740F17">
        <w:rPr>
          <w:rFonts w:ascii="Arial" w:hAnsi="Arial" w:cs="Arial"/>
        </w:rPr>
        <w:t xml:space="preserve"> </w:t>
      </w:r>
    </w:p>
    <w:p w14:paraId="5A1D61F7" w14:textId="15014F57" w:rsidR="00180636" w:rsidRPr="00740F17" w:rsidRDefault="00180636" w:rsidP="003109E8">
      <w:pPr>
        <w:rPr>
          <w:rFonts w:ascii="Arial" w:hAnsi="Arial" w:cs="Arial"/>
        </w:rPr>
      </w:pPr>
      <w:r w:rsidRPr="00740F17">
        <w:rPr>
          <w:rFonts w:ascii="Arial" w:hAnsi="Arial" w:cs="Arial"/>
        </w:rPr>
        <w:t xml:space="preserve">Yang, L., Holtz, D., Jaffe, S., Suri, S., Sinha, S., Weston, J., Joyce, C., Shah, N., Sherman, K., Hecht, B. and Teevan, J. (2022) </w:t>
      </w:r>
      <w:r w:rsidR="00CD1A3A" w:rsidRPr="00740F17">
        <w:rPr>
          <w:rFonts w:ascii="Arial" w:hAnsi="Arial" w:cs="Arial"/>
        </w:rPr>
        <w:t>‘</w:t>
      </w:r>
      <w:r w:rsidRPr="00740F17">
        <w:rPr>
          <w:rFonts w:ascii="Arial" w:hAnsi="Arial" w:cs="Arial"/>
        </w:rPr>
        <w:t>The effects of remote work on collaboration among information workers</w:t>
      </w:r>
      <w:r w:rsidR="00CD1A3A" w:rsidRPr="00740F17">
        <w:rPr>
          <w:rFonts w:ascii="Arial" w:hAnsi="Arial" w:cs="Arial"/>
        </w:rPr>
        <w:t>’</w:t>
      </w:r>
      <w:r w:rsidRPr="00740F17">
        <w:rPr>
          <w:rFonts w:ascii="Arial" w:hAnsi="Arial" w:cs="Arial"/>
        </w:rPr>
        <w:t xml:space="preserve">, Nature Human Behaviour, 6, pp. 43–54. Available at: </w:t>
      </w:r>
      <w:hyperlink r:id="rId36" w:history="1">
        <w:r w:rsidRPr="00740F17">
          <w:rPr>
            <w:rStyle w:val="Hyperlink"/>
            <w:rFonts w:ascii="Arial" w:hAnsi="Arial" w:cs="Arial"/>
          </w:rPr>
          <w:t>https://doi.org/10.1038/s41562-021-01196-4</w:t>
        </w:r>
      </w:hyperlink>
      <w:r w:rsidRPr="00740F17">
        <w:rPr>
          <w:rFonts w:ascii="Arial" w:hAnsi="Arial" w:cs="Arial"/>
        </w:rPr>
        <w:t xml:space="preserve"> </w:t>
      </w:r>
    </w:p>
    <w:p w14:paraId="344413FA" w14:textId="77777777" w:rsidR="000D3F86" w:rsidRDefault="000D3F86" w:rsidP="003109E8"/>
    <w:sectPr w:rsidR="000D3F86" w:rsidSect="003109E8">
      <w:footerReference w:type="default" r:id="rId37"/>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8950D7" w14:textId="77777777" w:rsidR="00946482" w:rsidRDefault="00946482">
      <w:pPr>
        <w:spacing w:after="0" w:line="240" w:lineRule="auto"/>
      </w:pPr>
      <w:r>
        <w:separator/>
      </w:r>
    </w:p>
  </w:endnote>
  <w:endnote w:type="continuationSeparator" w:id="0">
    <w:p w14:paraId="79948DFE" w14:textId="77777777" w:rsidR="00946482" w:rsidRDefault="009464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Vrinda">
    <w:panose1 w:val="00000400000000000000"/>
    <w:charset w:val="00"/>
    <w:family w:val="swiss"/>
    <w:pitch w:val="variable"/>
    <w:sig w:usb0="0001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725461" w14:textId="77777777" w:rsidR="00004F9E" w:rsidRDefault="00000000">
    <w:pPr>
      <w:pStyle w:val="Footer"/>
      <w:jc w:val="center"/>
    </w:pPr>
    <w:r>
      <w:rPr>
        <w:sz w:val="20"/>
      </w:rPr>
      <w:fldChar w:fldCharType="begin"/>
    </w:r>
    <w:r>
      <w:rPr>
        <w:sz w:val="20"/>
      </w:rPr>
      <w:instrText>PAGE</w:instrText>
    </w:r>
    <w:r>
      <w:rPr>
        <w:sz w:val="20"/>
      </w:rPr>
      <w:fldChar w:fldCharType="separate"/>
    </w:r>
    <w:r w:rsidR="003109E8">
      <w:rPr>
        <w:noProof/>
        <w:sz w:val="20"/>
      </w:rPr>
      <w:t>1</w:t>
    </w:r>
    <w:r>
      <w:rPr>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5E33B9" w14:textId="77777777" w:rsidR="00946482" w:rsidRDefault="00946482">
      <w:pPr>
        <w:spacing w:after="0" w:line="240" w:lineRule="auto"/>
      </w:pPr>
      <w:r>
        <w:separator/>
      </w:r>
    </w:p>
  </w:footnote>
  <w:footnote w:type="continuationSeparator" w:id="0">
    <w:p w14:paraId="5CA00286" w14:textId="77777777" w:rsidR="00946482" w:rsidRDefault="009464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669988606">
    <w:abstractNumId w:val="8"/>
  </w:num>
  <w:num w:numId="2" w16cid:durableId="1918324441">
    <w:abstractNumId w:val="6"/>
  </w:num>
  <w:num w:numId="3" w16cid:durableId="959992676">
    <w:abstractNumId w:val="5"/>
  </w:num>
  <w:num w:numId="4" w16cid:durableId="1828011172">
    <w:abstractNumId w:val="4"/>
  </w:num>
  <w:num w:numId="5" w16cid:durableId="1398091722">
    <w:abstractNumId w:val="7"/>
  </w:num>
  <w:num w:numId="6" w16cid:durableId="1225986458">
    <w:abstractNumId w:val="3"/>
  </w:num>
  <w:num w:numId="7" w16cid:durableId="289554828">
    <w:abstractNumId w:val="2"/>
  </w:num>
  <w:num w:numId="8" w16cid:durableId="1161194379">
    <w:abstractNumId w:val="1"/>
  </w:num>
  <w:num w:numId="9" w16cid:durableId="20999088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4F9E"/>
    <w:rsid w:val="00034616"/>
    <w:rsid w:val="0006063C"/>
    <w:rsid w:val="000D27C4"/>
    <w:rsid w:val="000D3F86"/>
    <w:rsid w:val="00132FD5"/>
    <w:rsid w:val="0015074B"/>
    <w:rsid w:val="00180636"/>
    <w:rsid w:val="001A6833"/>
    <w:rsid w:val="0026534A"/>
    <w:rsid w:val="0029639D"/>
    <w:rsid w:val="003109E8"/>
    <w:rsid w:val="00317861"/>
    <w:rsid w:val="00326F90"/>
    <w:rsid w:val="0033623E"/>
    <w:rsid w:val="00346187"/>
    <w:rsid w:val="003F4B04"/>
    <w:rsid w:val="004076D8"/>
    <w:rsid w:val="004E2046"/>
    <w:rsid w:val="0056775E"/>
    <w:rsid w:val="00613B30"/>
    <w:rsid w:val="00661F79"/>
    <w:rsid w:val="00740F17"/>
    <w:rsid w:val="007A5F36"/>
    <w:rsid w:val="00807F53"/>
    <w:rsid w:val="00837537"/>
    <w:rsid w:val="008F7E2E"/>
    <w:rsid w:val="00930B23"/>
    <w:rsid w:val="00946482"/>
    <w:rsid w:val="009F64A2"/>
    <w:rsid w:val="00AA1D8D"/>
    <w:rsid w:val="00AA3961"/>
    <w:rsid w:val="00AE61DD"/>
    <w:rsid w:val="00B142A0"/>
    <w:rsid w:val="00B14B82"/>
    <w:rsid w:val="00B47730"/>
    <w:rsid w:val="00B660F2"/>
    <w:rsid w:val="00BD75BA"/>
    <w:rsid w:val="00C25C59"/>
    <w:rsid w:val="00C82B23"/>
    <w:rsid w:val="00CB0664"/>
    <w:rsid w:val="00CD1A3A"/>
    <w:rsid w:val="00D22344"/>
    <w:rsid w:val="00DE5B9C"/>
    <w:rsid w:val="00E052A9"/>
    <w:rsid w:val="00EA656E"/>
    <w:rsid w:val="00EB3D54"/>
    <w:rsid w:val="00F20EEC"/>
    <w:rsid w:val="00F25521"/>
    <w:rsid w:val="00F919E2"/>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bn-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5C1F1E9"/>
  <w14:defaultImageDpi w14:val="300"/>
  <w15:docId w15:val="{5923D7B5-DFED-42FF-A045-C7B3644415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jc w:val="both"/>
    </w:pPr>
    <w:rPr>
      <w:rFonts w:ascii="Times New Roman" w:eastAsia="Times New Roman" w:hAnsi="Times New Roman"/>
      <w:sz w:val="24"/>
    </w:rPr>
  </w:style>
  <w:style w:type="paragraph" w:styleId="Heading1">
    <w:name w:val="heading 1"/>
    <w:basedOn w:val="Normal"/>
    <w:next w:val="Normal"/>
    <w:link w:val="Heading1Char"/>
    <w:uiPriority w:val="9"/>
    <w:qFormat/>
    <w:rsid w:val="00661F79"/>
    <w:pPr>
      <w:keepNext/>
      <w:keepLines/>
      <w:spacing w:before="240"/>
      <w:outlineLvl w:val="0"/>
    </w:pPr>
    <w:rPr>
      <w:rFonts w:eastAsiaTheme="majorEastAsia" w:cstheme="majorBidi"/>
      <w:b/>
      <w:bCs/>
      <w:sz w:val="28"/>
      <w:szCs w:val="28"/>
    </w:rPr>
  </w:style>
  <w:style w:type="paragraph" w:styleId="Heading2">
    <w:name w:val="heading 2"/>
    <w:basedOn w:val="Heading1"/>
    <w:next w:val="Normal"/>
    <w:link w:val="Heading2Char"/>
    <w:uiPriority w:val="9"/>
    <w:unhideWhenUsed/>
    <w:qFormat/>
    <w:rsid w:val="00661F79"/>
    <w:pPr>
      <w:outlineLvl w:val="1"/>
    </w:pPr>
    <w:rPr>
      <w:sz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661F7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661F79"/>
    <w:rPr>
      <w:rFonts w:ascii="Times New Roman" w:eastAsiaTheme="majorEastAsia" w:hAnsi="Times New Roman" w:cstheme="majorBidi"/>
      <w:b/>
      <w:bCs/>
      <w:sz w:val="26"/>
      <w:szCs w:val="28"/>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200"/>
      <w:contextualSpacing/>
    </w:pPr>
    <w:rPr>
      <w:rFonts w:asciiTheme="majorHAnsi" w:eastAsiaTheme="majorEastAsia" w:hAnsiTheme="majorHAnsi" w:cstheme="majorBidi"/>
      <w:b/>
      <w:color w:val="17365D" w:themeColor="text2" w:themeShade="BF"/>
      <w:spacing w:val="5"/>
      <w:kern w:val="28"/>
      <w:sz w:val="3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661F79"/>
    <w:rPr>
      <w:color w:val="0000FF" w:themeColor="hyperlink"/>
      <w:u w:val="single"/>
    </w:rPr>
  </w:style>
  <w:style w:type="character" w:styleId="UnresolvedMention">
    <w:name w:val="Unresolved Mention"/>
    <w:basedOn w:val="DefaultParagraphFont"/>
    <w:uiPriority w:val="99"/>
    <w:semiHidden/>
    <w:unhideWhenUsed/>
    <w:rsid w:val="00661F79"/>
    <w:rPr>
      <w:color w:val="605E5C"/>
      <w:shd w:val="clear" w:color="auto" w:fill="E1DFDD"/>
    </w:rPr>
  </w:style>
  <w:style w:type="paragraph" w:styleId="TOC1">
    <w:name w:val="toc 1"/>
    <w:basedOn w:val="Normal"/>
    <w:next w:val="Normal"/>
    <w:autoRedefine/>
    <w:uiPriority w:val="39"/>
    <w:unhideWhenUsed/>
    <w:rsid w:val="00317861"/>
    <w:pPr>
      <w:spacing w:after="100"/>
    </w:pPr>
  </w:style>
  <w:style w:type="paragraph" w:styleId="TOC2">
    <w:name w:val="toc 2"/>
    <w:basedOn w:val="Normal"/>
    <w:next w:val="Normal"/>
    <w:autoRedefine/>
    <w:uiPriority w:val="39"/>
    <w:unhideWhenUsed/>
    <w:rsid w:val="0031786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08/JOCM-02-2021-0039" TargetMode="External"/><Relationship Id="rId18" Type="http://schemas.openxmlformats.org/officeDocument/2006/relationships/hyperlink" Target="https://doi.org/10.1038/s41598-024-67122-6" TargetMode="External"/><Relationship Id="rId26" Type="http://schemas.openxmlformats.org/officeDocument/2006/relationships/hyperlink" Target="https://doi.org/10.1186/s12913-020-4931-2" TargetMode="External"/><Relationship Id="rId39" Type="http://schemas.openxmlformats.org/officeDocument/2006/relationships/theme" Target="theme/theme1.xml"/><Relationship Id="rId21" Type="http://schemas.openxmlformats.org/officeDocument/2006/relationships/hyperlink" Target="https://doi.org/10.1108/IJOA-07-2020-2282" TargetMode="External"/><Relationship Id="rId34" Type="http://schemas.openxmlformats.org/officeDocument/2006/relationships/hyperlink" Target="https://www.weforum.org/publications/the-future-of-jobs-report-2023/" TargetMode="External"/><Relationship Id="rId7" Type="http://schemas.openxmlformats.org/officeDocument/2006/relationships/endnotes" Target="endnotes.xml"/><Relationship Id="rId12" Type="http://schemas.openxmlformats.org/officeDocument/2006/relationships/hyperlink" Target="https://doi.org/10.1016/j.hrmr.2021.100854" TargetMode="External"/><Relationship Id="rId17" Type="http://schemas.openxmlformats.org/officeDocument/2006/relationships/hyperlink" Target="https://doi.org/10.1007/s10796-020-10097-2" TargetMode="External"/><Relationship Id="rId25" Type="http://schemas.openxmlformats.org/officeDocument/2006/relationships/hyperlink" Target="https://doi.org/10.1177/01492063221125143" TargetMode="External"/><Relationship Id="rId33" Type="http://schemas.openxmlformats.org/officeDocument/2006/relationships/hyperlink" Target="https://doi.org/10.1111/apps.12290"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108/REGE-01-2021-0005" TargetMode="External"/><Relationship Id="rId20" Type="http://schemas.openxmlformats.org/officeDocument/2006/relationships/hyperlink" Target="https://doi.org/10.1177/1534484320939739" TargetMode="External"/><Relationship Id="rId29" Type="http://schemas.openxmlformats.org/officeDocument/2006/relationships/hyperlink" Target="https://doi.org/10.3389/fpsyg.2024.143912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504/IJEXPORTM.2020.107720" TargetMode="External"/><Relationship Id="rId24" Type="http://schemas.openxmlformats.org/officeDocument/2006/relationships/hyperlink" Target="https://nvlpubs.nist.gov/nistpubs/ai/nist.ai.100-1.pdf" TargetMode="External"/><Relationship Id="rId32" Type="http://schemas.openxmlformats.org/officeDocument/2006/relationships/hyperlink" Target="https://doi.org/10.1177/20413866211006173"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cipd.org/en/knowledge/reports/flexible-hybrid-working/" TargetMode="External"/><Relationship Id="rId23" Type="http://schemas.openxmlformats.org/officeDocument/2006/relationships/hyperlink" Target="https://doi.org/10.17010/pijom/2022/v15i1/167860" TargetMode="External"/><Relationship Id="rId28" Type="http://schemas.openxmlformats.org/officeDocument/2006/relationships/hyperlink" Target="https://store.hbr.org/product/doing-agile-right-transformation-without-chaos/10340" TargetMode="External"/><Relationship Id="rId36" Type="http://schemas.openxmlformats.org/officeDocument/2006/relationships/hyperlink" Target="https://doi.org/10.1038/s41562-021-01196-4" TargetMode="External"/><Relationship Id="rId10" Type="http://schemas.openxmlformats.org/officeDocument/2006/relationships/image" Target="media/image3.png"/><Relationship Id="rId19" Type="http://schemas.openxmlformats.org/officeDocument/2006/relationships/hyperlink" Target="https://doi.org/10.1177/00187267221092674" TargetMode="External"/><Relationship Id="rId31" Type="http://schemas.openxmlformats.org/officeDocument/2006/relationships/hyperlink" Target="https://www.unesco.org/en/legal-affairs/recommendation-ethics-artificial-intelligenc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ipd.org/en/about/news/cipd-guidance-ai-in-workplace/" TargetMode="External"/><Relationship Id="rId22" Type="http://schemas.openxmlformats.org/officeDocument/2006/relationships/hyperlink" Target="https://doi.org/10.1146/annurev-orgpsych-012420-060109" TargetMode="External"/><Relationship Id="rId27" Type="http://schemas.openxmlformats.org/officeDocument/2006/relationships/hyperlink" Target="https://doi.org/10.1111/apps.12425" TargetMode="External"/><Relationship Id="rId30" Type="http://schemas.openxmlformats.org/officeDocument/2006/relationships/hyperlink" Target="https://doi.org/10.1111/joop.12338" TargetMode="External"/><Relationship Id="rId35" Type="http://schemas.openxmlformats.org/officeDocument/2006/relationships/hyperlink" Target="https://www.weforum.org/publications/the-future-of-jobs-report-2025/"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16</Pages>
  <Words>4173</Words>
  <Characters>23790</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27908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Ravat Rani</dc:creator>
  <cp:lastModifiedBy>Ravat Rani</cp:lastModifiedBy>
  <cp:revision>3</cp:revision>
  <dcterms:created xsi:type="dcterms:W3CDTF">2026-10-14T08:29:00Z</dcterms:created>
  <dcterms:modified xsi:type="dcterms:W3CDTF">2026-10-14T08:40:00Z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c26ed616be646730d9bc2bb039c9886fc9785e75789c57509ce6a13d883324c5</vt:lpwstr>
  </property>
</Properties>
</file>