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A893C" w14:textId="77777777" w:rsidR="00FD0F7F" w:rsidRDefault="00FD0F7F" w:rsidP="00FE6EE4">
      <w:pPr>
        <w:jc w:val="center"/>
      </w:pPr>
    </w:p>
    <w:p w14:paraId="44A50755" w14:textId="77777777" w:rsidR="00FE6EE4" w:rsidRDefault="00FE6EE4" w:rsidP="00FE6EE4">
      <w:pPr>
        <w:jc w:val="center"/>
      </w:pPr>
    </w:p>
    <w:p w14:paraId="34D9FCFD" w14:textId="77777777" w:rsidR="00FE6EE4" w:rsidRDefault="00FE6EE4" w:rsidP="00FE6EE4">
      <w:pPr>
        <w:jc w:val="center"/>
      </w:pPr>
    </w:p>
    <w:p w14:paraId="790F9B4A" w14:textId="77777777" w:rsidR="00FE6EE4" w:rsidRDefault="00FE6EE4" w:rsidP="00FE6EE4">
      <w:pPr>
        <w:jc w:val="center"/>
      </w:pPr>
    </w:p>
    <w:p w14:paraId="3A947213" w14:textId="77777777" w:rsidR="00FE6EE4" w:rsidRDefault="00FE6EE4" w:rsidP="00FE6EE4">
      <w:pPr>
        <w:jc w:val="center"/>
      </w:pPr>
    </w:p>
    <w:p w14:paraId="68625DCE" w14:textId="77777777" w:rsidR="00FE6EE4" w:rsidRDefault="00FE6EE4" w:rsidP="00FE6EE4">
      <w:pPr>
        <w:jc w:val="center"/>
      </w:pPr>
    </w:p>
    <w:p w14:paraId="7366E007" w14:textId="77777777" w:rsidR="00FE6EE4" w:rsidRDefault="00FE6EE4" w:rsidP="00FE6EE4">
      <w:pPr>
        <w:jc w:val="center"/>
      </w:pPr>
    </w:p>
    <w:p w14:paraId="31BF0954" w14:textId="77777777" w:rsidR="00FE6EE4" w:rsidRDefault="00FE6EE4" w:rsidP="00FE6EE4">
      <w:pPr>
        <w:jc w:val="center"/>
      </w:pPr>
    </w:p>
    <w:p w14:paraId="073CB106" w14:textId="77777777" w:rsidR="00FE6EE4" w:rsidRDefault="00FE6EE4" w:rsidP="00FE6EE4">
      <w:pPr>
        <w:jc w:val="center"/>
      </w:pPr>
    </w:p>
    <w:p w14:paraId="7E23C397" w14:textId="77777777" w:rsidR="00FE6EE4" w:rsidRDefault="00FE6EE4" w:rsidP="00FE6EE4">
      <w:pPr>
        <w:jc w:val="center"/>
      </w:pPr>
    </w:p>
    <w:p w14:paraId="2EF488FE" w14:textId="77777777" w:rsidR="00FE6EE4" w:rsidRDefault="00FE6EE4" w:rsidP="00FE6EE4">
      <w:pPr>
        <w:jc w:val="center"/>
      </w:pPr>
    </w:p>
    <w:p w14:paraId="69039C18" w14:textId="7586FA3A" w:rsidR="00FE6EE4" w:rsidRDefault="00FE6EE4" w:rsidP="00FE6EE4">
      <w:pPr>
        <w:jc w:val="center"/>
      </w:pPr>
      <w:r>
        <w:t>Maddison McCarthy</w:t>
      </w:r>
    </w:p>
    <w:p w14:paraId="1CB412A6" w14:textId="69BD5122" w:rsidR="00FE6EE4" w:rsidRDefault="00FE6EE4" w:rsidP="00FE6EE4">
      <w:pPr>
        <w:jc w:val="center"/>
      </w:pPr>
      <w:r>
        <w:t>2500781</w:t>
      </w:r>
    </w:p>
    <w:p w14:paraId="54A044D7" w14:textId="77777777" w:rsidR="00FE6EE4" w:rsidRDefault="00FE6EE4" w:rsidP="00FE6EE4">
      <w:pPr>
        <w:jc w:val="center"/>
      </w:pPr>
    </w:p>
    <w:p w14:paraId="2EDCDB86" w14:textId="2DDEA627" w:rsidR="00FE6EE4" w:rsidRDefault="00FE6EE4" w:rsidP="00FE6EE4">
      <w:pPr>
        <w:jc w:val="center"/>
      </w:pPr>
      <w:r>
        <w:t>BMLC4008</w:t>
      </w:r>
    </w:p>
    <w:p w14:paraId="0FB0D1E5" w14:textId="77777777" w:rsidR="00FE6EE4" w:rsidRDefault="00FE6EE4" w:rsidP="00FE6EE4">
      <w:pPr>
        <w:jc w:val="center"/>
      </w:pPr>
    </w:p>
    <w:p w14:paraId="74744BFA" w14:textId="7E87C681" w:rsidR="00FE6EE4" w:rsidRDefault="00FE6EE4" w:rsidP="00FE6EE4">
      <w:pPr>
        <w:jc w:val="center"/>
      </w:pPr>
      <w:r>
        <w:t xml:space="preserve">UK Drugs policy Supporting Paper </w:t>
      </w:r>
    </w:p>
    <w:p w14:paraId="0E9BBDCF" w14:textId="77777777" w:rsidR="00B84E41" w:rsidRDefault="00B84E41" w:rsidP="00FE6EE4">
      <w:pPr>
        <w:jc w:val="center"/>
      </w:pPr>
    </w:p>
    <w:p w14:paraId="6D6838AC" w14:textId="77777777" w:rsidR="00B84E41" w:rsidRDefault="00B84E41" w:rsidP="00FE6EE4">
      <w:pPr>
        <w:jc w:val="center"/>
      </w:pPr>
    </w:p>
    <w:p w14:paraId="57A53084" w14:textId="77777777" w:rsidR="00B84E41" w:rsidRDefault="00B84E41" w:rsidP="00FE6EE4">
      <w:pPr>
        <w:jc w:val="center"/>
      </w:pPr>
    </w:p>
    <w:p w14:paraId="61E097FF" w14:textId="77777777" w:rsidR="00B84E41" w:rsidRDefault="00B84E41" w:rsidP="00FE6EE4">
      <w:pPr>
        <w:jc w:val="center"/>
      </w:pPr>
    </w:p>
    <w:p w14:paraId="646A2725" w14:textId="77777777" w:rsidR="00B84E41" w:rsidRDefault="00B84E41" w:rsidP="00FE6EE4">
      <w:pPr>
        <w:jc w:val="center"/>
      </w:pPr>
    </w:p>
    <w:p w14:paraId="7BD96F59" w14:textId="77777777" w:rsidR="00B84E41" w:rsidRDefault="00B84E41" w:rsidP="00FE6EE4">
      <w:pPr>
        <w:jc w:val="center"/>
      </w:pPr>
    </w:p>
    <w:p w14:paraId="7136091E" w14:textId="77777777" w:rsidR="00B84E41" w:rsidRDefault="00B84E41" w:rsidP="00FE6EE4">
      <w:pPr>
        <w:jc w:val="center"/>
      </w:pPr>
    </w:p>
    <w:p w14:paraId="08384C8B" w14:textId="77777777" w:rsidR="00B84E41" w:rsidRDefault="00B84E41" w:rsidP="00FE6EE4">
      <w:pPr>
        <w:jc w:val="center"/>
      </w:pPr>
    </w:p>
    <w:p w14:paraId="29B3EDE1" w14:textId="77777777" w:rsidR="00B84E41" w:rsidRDefault="00B84E41" w:rsidP="00FE6EE4">
      <w:pPr>
        <w:jc w:val="center"/>
      </w:pPr>
    </w:p>
    <w:p w14:paraId="49C698F9" w14:textId="77777777" w:rsidR="00B84E41" w:rsidRDefault="00B84E41" w:rsidP="00FE6EE4">
      <w:pPr>
        <w:jc w:val="center"/>
      </w:pPr>
    </w:p>
    <w:p w14:paraId="64CC2B96" w14:textId="77777777" w:rsidR="00B84E41" w:rsidRDefault="00B84E41" w:rsidP="00FE6EE4">
      <w:pPr>
        <w:jc w:val="center"/>
      </w:pPr>
    </w:p>
    <w:p w14:paraId="2C67FF0D" w14:textId="77777777" w:rsidR="00B84E41" w:rsidRDefault="00B84E41" w:rsidP="00FE6EE4">
      <w:pPr>
        <w:jc w:val="center"/>
      </w:pPr>
    </w:p>
    <w:p w14:paraId="03A9E78C" w14:textId="77777777" w:rsidR="00B84E41" w:rsidRDefault="00B84E41" w:rsidP="00FE6EE4">
      <w:pPr>
        <w:jc w:val="center"/>
      </w:pPr>
    </w:p>
    <w:p w14:paraId="1D27206B" w14:textId="77777777" w:rsidR="00B84E41" w:rsidRDefault="00B84E41" w:rsidP="00FE6EE4">
      <w:pPr>
        <w:jc w:val="center"/>
      </w:pPr>
    </w:p>
    <w:p w14:paraId="62B2E6FF" w14:textId="77777777" w:rsidR="00B84E41" w:rsidRDefault="00B84E41" w:rsidP="00FE6EE4">
      <w:pPr>
        <w:jc w:val="center"/>
      </w:pPr>
    </w:p>
    <w:p w14:paraId="40CBA35E" w14:textId="77777777" w:rsidR="00B84E41" w:rsidRDefault="00B84E41" w:rsidP="00FE6EE4">
      <w:pPr>
        <w:jc w:val="center"/>
      </w:pPr>
    </w:p>
    <w:p w14:paraId="44B00C1D" w14:textId="77777777" w:rsidR="00B84E41" w:rsidRDefault="00B84E41" w:rsidP="00FE6EE4">
      <w:pPr>
        <w:jc w:val="center"/>
      </w:pPr>
    </w:p>
    <w:p w14:paraId="56F60067" w14:textId="77777777" w:rsidR="00B84E41" w:rsidRDefault="00B84E41" w:rsidP="00FE6EE4">
      <w:pPr>
        <w:jc w:val="center"/>
      </w:pPr>
    </w:p>
    <w:p w14:paraId="0D2B1136" w14:textId="77777777" w:rsidR="00B84E41" w:rsidRDefault="00B84E41" w:rsidP="00FE6EE4">
      <w:pPr>
        <w:jc w:val="center"/>
      </w:pPr>
    </w:p>
    <w:p w14:paraId="59F518B1" w14:textId="77777777" w:rsidR="00B84E41" w:rsidRDefault="00B84E41" w:rsidP="00FE6EE4">
      <w:pPr>
        <w:jc w:val="center"/>
      </w:pPr>
    </w:p>
    <w:p w14:paraId="4C635347" w14:textId="77777777" w:rsidR="00B84E41" w:rsidRDefault="00B84E41" w:rsidP="00FE6EE4">
      <w:pPr>
        <w:jc w:val="center"/>
      </w:pPr>
    </w:p>
    <w:p w14:paraId="290BDD35" w14:textId="77777777" w:rsidR="00B84E41" w:rsidRDefault="00B84E41" w:rsidP="00FE6EE4">
      <w:pPr>
        <w:jc w:val="center"/>
      </w:pPr>
    </w:p>
    <w:p w14:paraId="6656989B" w14:textId="77777777" w:rsidR="00B84E41" w:rsidRDefault="00B84E41" w:rsidP="00FE6EE4">
      <w:pPr>
        <w:jc w:val="center"/>
      </w:pPr>
    </w:p>
    <w:p w14:paraId="0515A00E" w14:textId="77777777" w:rsidR="00B84E41" w:rsidRDefault="00B84E41" w:rsidP="00FE6EE4">
      <w:pPr>
        <w:jc w:val="center"/>
      </w:pPr>
    </w:p>
    <w:p w14:paraId="763B899D" w14:textId="77777777" w:rsidR="00B84E41" w:rsidRDefault="00B84E41" w:rsidP="00FE6EE4">
      <w:pPr>
        <w:jc w:val="center"/>
      </w:pPr>
    </w:p>
    <w:p w14:paraId="5F68DE73" w14:textId="77777777" w:rsidR="00B84E41" w:rsidRDefault="00B84E41" w:rsidP="00FE6EE4">
      <w:pPr>
        <w:jc w:val="center"/>
      </w:pPr>
    </w:p>
    <w:p w14:paraId="63B44AD6" w14:textId="122914EB" w:rsidR="00B84E41" w:rsidRDefault="00B84E41" w:rsidP="00FE6EE4">
      <w:pPr>
        <w:jc w:val="center"/>
      </w:pPr>
    </w:p>
    <w:p w14:paraId="4D1436F0" w14:textId="77777777" w:rsidR="00B84E41" w:rsidRDefault="00B84E41">
      <w:r>
        <w:br w:type="page"/>
      </w:r>
    </w:p>
    <w:p w14:paraId="40442AC1" w14:textId="77777777" w:rsidR="00B84E41" w:rsidRDefault="00B84E41" w:rsidP="00FE6EE4">
      <w:pPr>
        <w:jc w:val="center"/>
      </w:pPr>
    </w:p>
    <w:p w14:paraId="77DF3671" w14:textId="77777777" w:rsidR="00B84E41" w:rsidRDefault="00B84E41" w:rsidP="00FE6EE4">
      <w:pPr>
        <w:jc w:val="center"/>
      </w:pPr>
    </w:p>
    <w:p w14:paraId="1822B8B6" w14:textId="77777777" w:rsidR="00B84E41" w:rsidRDefault="00B84E41" w:rsidP="00FE6EE4">
      <w:pPr>
        <w:jc w:val="center"/>
      </w:pPr>
    </w:p>
    <w:p w14:paraId="4859FC1E" w14:textId="77777777" w:rsidR="00B84E41" w:rsidRDefault="00B84E41" w:rsidP="00FE6EE4">
      <w:pPr>
        <w:jc w:val="center"/>
      </w:pPr>
    </w:p>
    <w:p w14:paraId="46E54510" w14:textId="77777777" w:rsidR="00B84E41" w:rsidRDefault="00B84E41" w:rsidP="00FE6EE4">
      <w:pPr>
        <w:jc w:val="center"/>
      </w:pPr>
    </w:p>
    <w:p w14:paraId="1BE40982" w14:textId="77777777" w:rsidR="00B84E41" w:rsidRDefault="00B84E41" w:rsidP="00FE6EE4">
      <w:pPr>
        <w:jc w:val="center"/>
      </w:pPr>
    </w:p>
    <w:p w14:paraId="341A750A" w14:textId="77777777" w:rsidR="00B84E41" w:rsidRDefault="00B84E41" w:rsidP="00FE6EE4">
      <w:pPr>
        <w:jc w:val="center"/>
      </w:pPr>
    </w:p>
    <w:p w14:paraId="4995E974" w14:textId="77777777" w:rsidR="00B84E41" w:rsidRDefault="00B84E41" w:rsidP="00FE6EE4">
      <w:pPr>
        <w:jc w:val="center"/>
      </w:pPr>
    </w:p>
    <w:p w14:paraId="3B331FAB" w14:textId="77777777" w:rsidR="00B84E41" w:rsidRDefault="00B84E41" w:rsidP="00FE6EE4">
      <w:pPr>
        <w:jc w:val="center"/>
      </w:pPr>
    </w:p>
    <w:p w14:paraId="07E2FE26" w14:textId="77777777" w:rsidR="00B84E41" w:rsidRDefault="00B84E41" w:rsidP="00FE6EE4">
      <w:pPr>
        <w:jc w:val="center"/>
      </w:pPr>
    </w:p>
    <w:p w14:paraId="72059789" w14:textId="77777777" w:rsidR="00B84E41" w:rsidRDefault="00B84E41" w:rsidP="00FE6EE4">
      <w:pPr>
        <w:jc w:val="center"/>
      </w:pPr>
    </w:p>
    <w:p w14:paraId="3F574711" w14:textId="77777777" w:rsidR="00B84E41" w:rsidRDefault="00B84E41" w:rsidP="00FE6EE4">
      <w:pPr>
        <w:jc w:val="center"/>
      </w:pPr>
    </w:p>
    <w:p w14:paraId="5DD7CB52" w14:textId="77777777" w:rsidR="00B84E41" w:rsidRDefault="00B84E41" w:rsidP="00FE6EE4">
      <w:pPr>
        <w:jc w:val="center"/>
      </w:pPr>
    </w:p>
    <w:p w14:paraId="24CE54C1" w14:textId="77777777" w:rsidR="00B84E41" w:rsidRDefault="00B84E41" w:rsidP="00FE6EE4">
      <w:pPr>
        <w:jc w:val="center"/>
      </w:pPr>
    </w:p>
    <w:p w14:paraId="10022573" w14:textId="77777777" w:rsidR="00B84E41" w:rsidRDefault="00B84E41" w:rsidP="00FE6EE4">
      <w:pPr>
        <w:jc w:val="center"/>
      </w:pPr>
    </w:p>
    <w:p w14:paraId="288A4E1F" w14:textId="77777777" w:rsidR="00B84E41" w:rsidRDefault="00B84E41" w:rsidP="00FE6EE4">
      <w:pPr>
        <w:jc w:val="center"/>
      </w:pPr>
    </w:p>
    <w:p w14:paraId="2B92B6B2" w14:textId="77777777" w:rsidR="00B84E41" w:rsidRDefault="00B84E41" w:rsidP="00FE6EE4">
      <w:pPr>
        <w:jc w:val="center"/>
      </w:pPr>
    </w:p>
    <w:p w14:paraId="25D22757" w14:textId="77777777" w:rsidR="00B84E41" w:rsidRDefault="00B84E41" w:rsidP="00FE6EE4">
      <w:pPr>
        <w:jc w:val="center"/>
      </w:pPr>
    </w:p>
    <w:p w14:paraId="3AD8360C" w14:textId="77777777" w:rsidR="00B84E41" w:rsidRDefault="00B84E41" w:rsidP="00FE6EE4">
      <w:pPr>
        <w:jc w:val="center"/>
      </w:pPr>
    </w:p>
    <w:p w14:paraId="38101CB2" w14:textId="77777777" w:rsidR="00B84E41" w:rsidRDefault="00B84E41" w:rsidP="00FE6EE4">
      <w:pPr>
        <w:jc w:val="center"/>
      </w:pPr>
    </w:p>
    <w:p w14:paraId="1FF49B9A" w14:textId="77777777" w:rsidR="00B84E41" w:rsidRDefault="00B84E41" w:rsidP="00FE6EE4">
      <w:pPr>
        <w:jc w:val="center"/>
      </w:pPr>
    </w:p>
    <w:p w14:paraId="1D812C9A" w14:textId="77777777" w:rsidR="00B84E41" w:rsidRDefault="00B84E41" w:rsidP="00FE6EE4">
      <w:pPr>
        <w:jc w:val="center"/>
      </w:pPr>
    </w:p>
    <w:p w14:paraId="23B5EA96" w14:textId="77777777" w:rsidR="00B84E41" w:rsidRDefault="00B84E41" w:rsidP="00FE6EE4">
      <w:pPr>
        <w:jc w:val="center"/>
      </w:pPr>
    </w:p>
    <w:p w14:paraId="22909178" w14:textId="77777777" w:rsidR="00B84E41" w:rsidRDefault="00B84E41" w:rsidP="00FE6EE4">
      <w:pPr>
        <w:jc w:val="center"/>
      </w:pPr>
    </w:p>
    <w:p w14:paraId="11256B8F" w14:textId="77777777" w:rsidR="00B84E41" w:rsidRDefault="00B84E41" w:rsidP="00FE6EE4">
      <w:pPr>
        <w:jc w:val="center"/>
      </w:pPr>
    </w:p>
    <w:p w14:paraId="737B5F40" w14:textId="77777777" w:rsidR="00B84E41" w:rsidRDefault="00B84E41" w:rsidP="00FE6EE4">
      <w:pPr>
        <w:jc w:val="center"/>
      </w:pPr>
    </w:p>
    <w:p w14:paraId="6AE0D260" w14:textId="77777777" w:rsidR="00B84E41" w:rsidRDefault="00B84E41" w:rsidP="00FE6EE4">
      <w:pPr>
        <w:jc w:val="center"/>
      </w:pPr>
    </w:p>
    <w:p w14:paraId="13390402" w14:textId="77777777" w:rsidR="00B84E41" w:rsidRDefault="00B84E41" w:rsidP="00FE6EE4">
      <w:pPr>
        <w:jc w:val="center"/>
      </w:pPr>
    </w:p>
    <w:p w14:paraId="09CA91F4" w14:textId="77777777" w:rsidR="00B84E41" w:rsidRDefault="00B84E41" w:rsidP="00FE6EE4">
      <w:pPr>
        <w:jc w:val="center"/>
      </w:pPr>
    </w:p>
    <w:p w14:paraId="374A8787" w14:textId="77777777" w:rsidR="00B84E41" w:rsidRDefault="00B84E41" w:rsidP="00FE6EE4">
      <w:pPr>
        <w:jc w:val="center"/>
      </w:pPr>
    </w:p>
    <w:p w14:paraId="08D84194" w14:textId="77777777" w:rsidR="00B84E41" w:rsidRDefault="00B84E41" w:rsidP="00FE6EE4">
      <w:pPr>
        <w:jc w:val="center"/>
      </w:pPr>
    </w:p>
    <w:p w14:paraId="3B3815FC" w14:textId="77777777" w:rsidR="00B84E41" w:rsidRDefault="00B84E41" w:rsidP="00FE6EE4">
      <w:pPr>
        <w:jc w:val="center"/>
      </w:pPr>
    </w:p>
    <w:p w14:paraId="0E0913A9" w14:textId="77777777" w:rsidR="00B84E41" w:rsidRDefault="00B84E41" w:rsidP="00FE6EE4">
      <w:pPr>
        <w:jc w:val="center"/>
      </w:pPr>
    </w:p>
    <w:p w14:paraId="0550AFED" w14:textId="77777777" w:rsidR="00B84E41" w:rsidRDefault="00B84E41" w:rsidP="00FE6EE4">
      <w:pPr>
        <w:jc w:val="center"/>
      </w:pPr>
    </w:p>
    <w:p w14:paraId="702F9429" w14:textId="77777777" w:rsidR="00B84E41" w:rsidRDefault="00B84E41" w:rsidP="00FE6EE4">
      <w:pPr>
        <w:jc w:val="center"/>
      </w:pPr>
    </w:p>
    <w:p w14:paraId="69254135" w14:textId="77777777" w:rsidR="00B84E41" w:rsidRDefault="00B84E41" w:rsidP="00FE6EE4">
      <w:pPr>
        <w:jc w:val="center"/>
      </w:pPr>
    </w:p>
    <w:p w14:paraId="19950902" w14:textId="77777777" w:rsidR="00B84E41" w:rsidRDefault="00B84E41" w:rsidP="00FE6EE4">
      <w:pPr>
        <w:jc w:val="center"/>
      </w:pPr>
    </w:p>
    <w:p w14:paraId="34FD44F5" w14:textId="77777777" w:rsidR="00B84E41" w:rsidRDefault="00B84E41" w:rsidP="00FE6EE4">
      <w:pPr>
        <w:jc w:val="center"/>
      </w:pPr>
    </w:p>
    <w:p w14:paraId="25589549" w14:textId="77777777" w:rsidR="00B84E41" w:rsidRDefault="00B84E41" w:rsidP="00FE6EE4">
      <w:pPr>
        <w:jc w:val="center"/>
      </w:pPr>
    </w:p>
    <w:p w14:paraId="5D2F46C4" w14:textId="77777777" w:rsidR="00B84E41" w:rsidRDefault="00B84E41" w:rsidP="00FE6EE4">
      <w:pPr>
        <w:jc w:val="center"/>
      </w:pPr>
    </w:p>
    <w:p w14:paraId="0B9E0088" w14:textId="77777777" w:rsidR="00B84E41" w:rsidRDefault="00B84E41" w:rsidP="00FE6EE4">
      <w:pPr>
        <w:jc w:val="center"/>
      </w:pPr>
    </w:p>
    <w:p w14:paraId="2216CC59" w14:textId="77777777" w:rsidR="00B84E41" w:rsidRDefault="00B84E41" w:rsidP="00FE6EE4">
      <w:pPr>
        <w:jc w:val="center"/>
      </w:pPr>
    </w:p>
    <w:p w14:paraId="1FC3AD7E" w14:textId="77777777" w:rsidR="00B84E41" w:rsidRDefault="00B84E41" w:rsidP="00FE6EE4">
      <w:pPr>
        <w:jc w:val="center"/>
      </w:pPr>
    </w:p>
    <w:p w14:paraId="20769A02" w14:textId="77777777" w:rsidR="00B84E41" w:rsidRDefault="00B84E41" w:rsidP="00FE6EE4">
      <w:pPr>
        <w:jc w:val="center"/>
      </w:pPr>
    </w:p>
    <w:p w14:paraId="54D44A8E" w14:textId="77777777" w:rsidR="00B84E41" w:rsidRDefault="00B84E41" w:rsidP="00FE6EE4">
      <w:pPr>
        <w:jc w:val="center"/>
      </w:pPr>
    </w:p>
    <w:p w14:paraId="138E002B" w14:textId="77777777" w:rsidR="00B84E41" w:rsidRDefault="00B84E41" w:rsidP="00FE6EE4">
      <w:pPr>
        <w:jc w:val="center"/>
      </w:pPr>
    </w:p>
    <w:p w14:paraId="7809CCDF" w14:textId="77777777" w:rsidR="00B84E41" w:rsidRDefault="00B84E41" w:rsidP="00FE6EE4">
      <w:pPr>
        <w:jc w:val="center"/>
      </w:pPr>
    </w:p>
    <w:p w14:paraId="0F6E8BBB" w14:textId="77777777" w:rsidR="00B84E41" w:rsidRDefault="00B84E41" w:rsidP="00FE6EE4">
      <w:pPr>
        <w:jc w:val="center"/>
      </w:pPr>
    </w:p>
    <w:p w14:paraId="721B9915" w14:textId="77777777" w:rsidR="00B84E41" w:rsidRDefault="00B84E41" w:rsidP="00FE6EE4">
      <w:pPr>
        <w:jc w:val="center"/>
      </w:pPr>
    </w:p>
    <w:p w14:paraId="556EA69F" w14:textId="77777777" w:rsidR="00AE3051" w:rsidRDefault="00AE3051" w:rsidP="00AE3051">
      <w:r>
        <w:rPr>
          <w:color w:val="000000"/>
        </w:rPr>
        <w:t xml:space="preserve">In the UK, drug related harm has reached record levels. In 2023, 5,448 drug-poisoning deaths were recorded in England and Wales - the highest figure on record (ONS, 2024b). This demonstrates limitations of the UK government’s criminal justice approach, which prioritises punishment over public health and has failed to reduce drug use or harm over the years. The short film </w:t>
      </w:r>
      <w:r>
        <w:rPr>
          <w:i/>
          <w:iCs/>
          <w:color w:val="000000"/>
        </w:rPr>
        <w:t xml:space="preserve">Putting UK Drug Policy into Focus </w:t>
      </w:r>
      <w:r>
        <w:rPr>
          <w:color w:val="000000"/>
        </w:rPr>
        <w:t>(Drug Science, 2020) highlights the ideological foundations of UK drug policy, critiques its punitive focus, and proposes evidence-based reforms.</w:t>
      </w:r>
      <w:r>
        <w:t xml:space="preserve"> </w:t>
      </w:r>
      <w:r>
        <w:rPr>
          <w:color w:val="000000"/>
        </w:rPr>
        <w:t>This paper reviews the challenges identified in the film; assesses whether these issues exist today; evaluates reforms introduced since 2020; and outlines three recommendations for the Labour government. The Royal College of Physicians (2024) suggest that a health led approach can reduce avoidable deaths.</w:t>
      </w:r>
      <w:r>
        <w:t xml:space="preserve"> </w:t>
      </w:r>
      <w:r>
        <w:rPr>
          <w:color w:val="000000"/>
        </w:rPr>
        <w:t xml:space="preserve">By drawing on evidence, policies and international comparisons, this paper argues that a change in direction towards health, harm reduction, and social justice is crucial if the UK government want to reduce drug related harm. </w:t>
      </w:r>
    </w:p>
    <w:p w14:paraId="10FB008D" w14:textId="77777777" w:rsidR="00AE3051" w:rsidRDefault="00AE3051" w:rsidP="00AE3051">
      <w:pPr>
        <w:rPr>
          <w:color w:val="EE0000"/>
        </w:rPr>
      </w:pPr>
    </w:p>
    <w:p w14:paraId="0850CC16" w14:textId="77777777" w:rsidR="00AE3051" w:rsidRDefault="00AE3051" w:rsidP="00AE3051">
      <w:r>
        <w:rPr>
          <w:color w:val="000000"/>
        </w:rPr>
        <w:t xml:space="preserve">The 2020 film identified three ongoing challenges within UK drug policy, that four years later are still challenging - ideology over evidence; punitive policies causing further harm; and record high drug related deaths </w:t>
      </w:r>
      <w:r>
        <w:t xml:space="preserve">(Drug Science, 2020). Historically, </w:t>
      </w:r>
      <w:r>
        <w:rPr>
          <w:color w:val="000000"/>
        </w:rPr>
        <w:t>UK drug law has always emphasised deterrence and control, despite evidence that criminalisation does not reduce consumption and can exacerbate harm (</w:t>
      </w:r>
      <w:proofErr w:type="spellStart"/>
      <w:r>
        <w:rPr>
          <w:color w:val="000000"/>
        </w:rPr>
        <w:t>Peatfield</w:t>
      </w:r>
      <w:proofErr w:type="spellEnd"/>
      <w:r>
        <w:rPr>
          <w:color w:val="000000"/>
        </w:rPr>
        <w:t xml:space="preserve">, 2025). The government’s </w:t>
      </w:r>
      <w:r>
        <w:rPr>
          <w:i/>
          <w:iCs/>
          <w:color w:val="000000"/>
        </w:rPr>
        <w:t>From Harm to Hope</w:t>
      </w:r>
      <w:r>
        <w:rPr>
          <w:color w:val="000000"/>
        </w:rPr>
        <w:t xml:space="preserve"> 10-year strategy (Home Office, 2021) reiterates a commitment to tougher penalties and policing, despite the absence of evidence that punishment reduces drug misuse. The UN Human Rights Office (2023) reported that punitive drug laws discourage people from seeking support which contributes to untreated dependence and deaths</w:t>
      </w:r>
      <w:r>
        <w:t xml:space="preserve">. </w:t>
      </w:r>
      <w:r>
        <w:rPr>
          <w:color w:val="000000"/>
        </w:rPr>
        <w:t>Dame Carol Black’s independent review prompted a financial investment of £80 million into treatment services (Black, 2020; Black 2021) however, this has not replaced the UK government’s ideological commitment to criminalisation and policy remains shaped by politics rather than evidence from public health.</w:t>
      </w:r>
    </w:p>
    <w:p w14:paraId="1EB21793" w14:textId="77777777" w:rsidR="00AE3051" w:rsidRDefault="00AE3051" w:rsidP="00AE3051">
      <w:pPr>
        <w:rPr>
          <w:b/>
          <w:bCs/>
          <w:color w:val="C00000"/>
        </w:rPr>
      </w:pPr>
    </w:p>
    <w:p w14:paraId="313F22FE" w14:textId="5B7CAF84" w:rsidR="00AE3051" w:rsidRDefault="00AE3051" w:rsidP="00AE3051">
      <w:r>
        <w:rPr>
          <w:color w:val="000000"/>
        </w:rPr>
        <w:t xml:space="preserve">The film showed how punitive measures produce wide ranging harms including trauma, </w:t>
      </w:r>
      <w:r w:rsidR="00C826E3">
        <w:rPr>
          <w:color w:val="000000"/>
        </w:rPr>
        <w:t>unemployment,</w:t>
      </w:r>
      <w:r>
        <w:rPr>
          <w:color w:val="000000"/>
        </w:rPr>
        <w:t xml:space="preserve"> and reduced access to healthcare (Drug Science, 2020). </w:t>
      </w:r>
      <w:bookmarkStart w:id="0" w:name="_Hlk216428607"/>
      <w:r>
        <w:rPr>
          <w:color w:val="000000"/>
        </w:rPr>
        <w:t xml:space="preserve">Research has consistently shown that imprisonment does not deter drug misuse (Travis, 2014; Bales and Piquero, 2012). </w:t>
      </w:r>
      <w:bookmarkEnd w:id="0"/>
      <w:r>
        <w:rPr>
          <w:color w:val="000000"/>
        </w:rPr>
        <w:t>However, the Home Office’s recent “intensive supervision courts” approach maintains punitive consequences for failing drug tests, reinforcing surveillance rather than offering holistic support (</w:t>
      </w:r>
      <w:r w:rsidR="00FA176A">
        <w:rPr>
          <w:color w:val="000000"/>
        </w:rPr>
        <w:t>MOJ</w:t>
      </w:r>
      <w:r>
        <w:rPr>
          <w:color w:val="000000"/>
        </w:rPr>
        <w:t>, 202</w:t>
      </w:r>
      <w:r w:rsidR="00FA176A">
        <w:rPr>
          <w:color w:val="000000"/>
        </w:rPr>
        <w:t>5)</w:t>
      </w:r>
      <w:r>
        <w:rPr>
          <w:color w:val="000000"/>
        </w:rPr>
        <w:t xml:space="preserve">. The </w:t>
      </w:r>
      <w:r>
        <w:rPr>
          <w:i/>
          <w:iCs/>
          <w:color w:val="000000"/>
        </w:rPr>
        <w:t>From Harm to Hope</w:t>
      </w:r>
      <w:r>
        <w:rPr>
          <w:color w:val="000000"/>
        </w:rPr>
        <w:t xml:space="preserve"> strategy outlines a </w:t>
      </w:r>
      <w:proofErr w:type="gramStart"/>
      <w:r>
        <w:rPr>
          <w:color w:val="000000"/>
        </w:rPr>
        <w:t>three tier</w:t>
      </w:r>
      <w:proofErr w:type="gramEnd"/>
      <w:r>
        <w:rPr>
          <w:color w:val="000000"/>
        </w:rPr>
        <w:t xml:space="preserve"> penalty system for cannabis possession, none of which involve referral to treatment unless individuals repeatedly fail to comply with penalties (HO, 2021). Scotland, however, has taken a progressive public health approach, expanding harm reduction services such as supervised drug consumption facilities and it is these examples that show evidence-based alternatives exist (YouTube, 2020). Unfortunately, the rest of the UK remains set in a punitive framework.</w:t>
      </w:r>
    </w:p>
    <w:p w14:paraId="5E2E33C7" w14:textId="77777777" w:rsidR="00AE3051" w:rsidRDefault="00AE3051" w:rsidP="00AE3051">
      <w:pPr>
        <w:rPr>
          <w:b/>
          <w:bCs/>
          <w:color w:val="C00000"/>
        </w:rPr>
      </w:pPr>
    </w:p>
    <w:p w14:paraId="2D853A67" w14:textId="77777777" w:rsidR="00AE3051" w:rsidRDefault="00AE3051" w:rsidP="00AE3051">
      <w:r>
        <w:rPr>
          <w:color w:val="000000"/>
        </w:rPr>
        <w:t xml:space="preserve">In terms of record high drug related deaths, according to The Health Foundation (2025) the UK has one of the highest drug related death rates in Europe, particularly among women aged 25–49. Drug related deaths were reaching more than 5,000 annually by </w:t>
      </w:r>
      <w:r>
        <w:rPr>
          <w:color w:val="000000"/>
        </w:rPr>
        <w:lastRenderedPageBreak/>
        <w:t>2024 (ONS, 2024b).</w:t>
      </w:r>
      <w:r>
        <w:rPr>
          <w:rFonts w:cs="Aptos"/>
          <w:color w:val="000000"/>
          <w:kern w:val="0"/>
        </w:rPr>
        <w:t xml:space="preserve"> </w:t>
      </w:r>
      <w:r>
        <w:rPr>
          <w:color w:val="000000"/>
        </w:rPr>
        <w:t>Synthetic opioids, poly-drug use, and limited access to treatment have further accelerated mortality. A 2025 parliamentary debate acknowledged that progress in expanding harm reduction measures remains minimal (Hansard, 2025). These trends show that the UK government are yet to implement the scale of reform that is needed.</w:t>
      </w:r>
    </w:p>
    <w:p w14:paraId="6B1E447A" w14:textId="77777777" w:rsidR="00AE3051" w:rsidRDefault="00AE3051" w:rsidP="00AE3051">
      <w:pPr>
        <w:rPr>
          <w:color w:val="C00000"/>
        </w:rPr>
      </w:pPr>
    </w:p>
    <w:p w14:paraId="0335EBF8" w14:textId="77777777" w:rsidR="00AE3051" w:rsidRDefault="00AE3051" w:rsidP="00AE3051">
      <w:r>
        <w:rPr>
          <w:color w:val="000000"/>
        </w:rPr>
        <w:t>The film also made several recommendations for the future government, some of which have partly been implemented, but mainly through local or third-sector initiatives rather than national policy (Drug Science, 2020).</w:t>
      </w:r>
      <w:r>
        <w:t xml:space="preserve"> The first being </w:t>
      </w:r>
      <w:r>
        <w:rPr>
          <w:color w:val="000000"/>
        </w:rPr>
        <w:t>Drug Checking Services</w:t>
      </w:r>
      <w:r>
        <w:t xml:space="preserve">. </w:t>
      </w:r>
      <w:r>
        <w:rPr>
          <w:color w:val="000000"/>
        </w:rPr>
        <w:t xml:space="preserve">According to Meacher et al. (2019), drug checking services supports harm reduction, education and detects emerging synthetic drugs. In the absence of national policy, organisations such as The Loop (2024) have pioneered drug checking at festivals and recently opened a permanent service in Bristol. Similarly, Wales operates WEDINOS, the UK’s only national drug-testing service, which identified 13 high-risk synthetic substances in 2024 alone (PHW, 2024). </w:t>
      </w:r>
      <w:r>
        <w:t xml:space="preserve">The World Health Organization emphasises that harm-reduction interventions like these, improve health outcomes, support recovery, and reduce deaths (WHO, 2019). On the other hand, </w:t>
      </w:r>
      <w:proofErr w:type="spellStart"/>
      <w:r>
        <w:rPr>
          <w:color w:val="000000"/>
        </w:rPr>
        <w:t>Betzler</w:t>
      </w:r>
      <w:proofErr w:type="spellEnd"/>
      <w:r>
        <w:rPr>
          <w:color w:val="000000"/>
        </w:rPr>
        <w:t xml:space="preserve"> et al, (2020) proposed that drug checking could negatively affect nightlife as people will be more inclined to use illicit substances which could in time have negative consequences for health.</w:t>
      </w:r>
    </w:p>
    <w:p w14:paraId="46AA2EEF" w14:textId="77777777" w:rsidR="00AE3051" w:rsidRDefault="00AE3051" w:rsidP="00AE3051">
      <w:pPr>
        <w:rPr>
          <w:b/>
          <w:bCs/>
          <w:color w:val="EE0000"/>
        </w:rPr>
      </w:pPr>
    </w:p>
    <w:p w14:paraId="09D75641" w14:textId="77777777" w:rsidR="00AE3051" w:rsidRDefault="00AE3051" w:rsidP="00AE3051">
      <w:pPr>
        <w:rPr>
          <w:color w:val="000000"/>
        </w:rPr>
      </w:pPr>
      <w:r>
        <w:rPr>
          <w:color w:val="000000"/>
        </w:rPr>
        <w:t>Secondly, the film recommended introducing Drug Consumption Rooms (DCRs) across the UK. DCRs provide safe, supervised spaces for drug use which aims at reducing overdose deaths, infections, and public injecting (Drug Science, 2020). According to Nicholls et al. (2022), legal and political barriers - particularly the Misuse of Drugs Act 1971 - prevented widespread adoption. The major exception is The Thistle, the UK’s first official DCR which opened in Glasgow in 2024 in response to rising HIV infections. Within four months it recorded over 2,600 visits, 2,000 supervised injections, and multiple overdose interventions without fatalities (Pharmaceutical Journal, 2025). Glasgow’s model mirrors international best practice and demonstrates clear public health benefits but this has not been implemented elsewhere due to resistance and stigma.</w:t>
      </w:r>
    </w:p>
    <w:p w14:paraId="2514B469" w14:textId="77777777" w:rsidR="00AE3051" w:rsidRDefault="00AE3051" w:rsidP="00AE3051">
      <w:pPr>
        <w:rPr>
          <w:b/>
          <w:bCs/>
          <w:color w:val="EE0000"/>
        </w:rPr>
      </w:pPr>
    </w:p>
    <w:p w14:paraId="2659EDD9" w14:textId="77777777" w:rsidR="00AE3051" w:rsidRDefault="00AE3051" w:rsidP="00AE3051">
      <w:r>
        <w:rPr>
          <w:color w:val="000000"/>
        </w:rPr>
        <w:t>The final recommendation was to rollout Heroin-Assisted Treatment (HAT).</w:t>
      </w:r>
      <w:r>
        <w:rPr>
          <w:b/>
          <w:bCs/>
          <w:color w:val="000000"/>
        </w:rPr>
        <w:t xml:space="preserve"> </w:t>
      </w:r>
      <w:r>
        <w:rPr>
          <w:color w:val="000000"/>
        </w:rPr>
        <w:t xml:space="preserve">The film proposed that HAT could support those who are dependent on heroin by providing medical grade diamorphine within a clinical setting (Drug Science, 2020). Research shows that HAT reduces mortality, improves treatment retention, and lowers demand on emergency services. The first UK HAT programme was introduced in Middlesbrough and has demonstrated reductions in overdoses and long-term healthcare costs. Despite its success, HAT remains rare and is criticised for being resource-intensive, requiring twice-daily supervision. This has prevented wider rollout (Poulter et al. 2024). </w:t>
      </w:r>
    </w:p>
    <w:p w14:paraId="63065F2B" w14:textId="77777777" w:rsidR="00AE3051" w:rsidRDefault="00AE3051" w:rsidP="00AE3051">
      <w:pPr>
        <w:rPr>
          <w:color w:val="EE0000"/>
        </w:rPr>
      </w:pPr>
    </w:p>
    <w:p w14:paraId="067DDD73" w14:textId="4A7132BF" w:rsidR="00AE3051" w:rsidRDefault="00AE3051" w:rsidP="00AE3051">
      <w:r>
        <w:rPr>
          <w:color w:val="000000"/>
        </w:rPr>
        <w:t xml:space="preserve">To address persistent policy failures, the UK government could prioritise </w:t>
      </w:r>
      <w:r w:rsidR="00D428D0">
        <w:rPr>
          <w:color w:val="000000"/>
        </w:rPr>
        <w:t>several</w:t>
      </w:r>
      <w:r>
        <w:rPr>
          <w:color w:val="000000"/>
        </w:rPr>
        <w:t xml:space="preserve"> things, including (but not limited to): the decriminalisation or legalisation of cannabis; the expansion of diversion programmes; and expansion of public health and drug services. Cannabis is the most used illicit drug in the UK, with 7.4% of adults aged 16–59 reporting use (ONS, 2023). Prohibition strengthens illegal markets, exposes users to contaminated products, and contributes to unnecessary criminal records. </w:t>
      </w:r>
      <w:r>
        <w:rPr>
          <w:color w:val="000000"/>
        </w:rPr>
        <w:lastRenderedPageBreak/>
        <w:t xml:space="preserve">Decriminalisation would promote social justice and allow individuals to seek help without fear of punishment. Legalisation would: reduce the black market and limit access to harmful adulterants; enable quality control, labelling and THC/CBD monitoring; reduce police and court costs by an estimated £300 million; allow for taxation and reinvestment into public health services; decrease stigma and remove barriers to employment and education (Transform Drugs, 2025). Evidence from the Netherlands shows that </w:t>
      </w:r>
      <w:bookmarkStart w:id="1" w:name="_Hlk216428491"/>
      <w:r>
        <w:rPr>
          <w:color w:val="000000"/>
        </w:rPr>
        <w:t>a decriminalised approach does not result in substantially higher levels of consumption. Consumption rates are like those in countries like the UK where there is stricter prohibition, suggesting that criminal penalties have limited impact (CBS, 2024; ONS, 2024a).</w:t>
      </w:r>
    </w:p>
    <w:bookmarkEnd w:id="1"/>
    <w:p w14:paraId="25A53CAD" w14:textId="77777777" w:rsidR="00AE3051" w:rsidRDefault="00AE3051" w:rsidP="00AE3051">
      <w:pPr>
        <w:rPr>
          <w:b/>
          <w:bCs/>
          <w:color w:val="000000"/>
        </w:rPr>
      </w:pPr>
    </w:p>
    <w:p w14:paraId="4F157FA8" w14:textId="77777777" w:rsidR="00AE3051" w:rsidRDefault="00AE3051" w:rsidP="00AE3051">
      <w:pPr>
        <w:rPr>
          <w:color w:val="000000"/>
        </w:rPr>
      </w:pPr>
      <w:r>
        <w:rPr>
          <w:color w:val="000000"/>
        </w:rPr>
        <w:t>Diversion programmes direct individuals away from criminal sanctions and towards treatment, mental health support and social services. Diversion offers a cost-effective alternative that aligns with public health principles. In the UK, police-led diversion remains inconsistent across forces. Introducing a national framework would: prevent criminal records for possession offences; embed routine assessment and referral into health services; save the NHS and justice system resources; and tackle root causes such as trauma, poverty, and homelessness (</w:t>
      </w:r>
      <w:proofErr w:type="spellStart"/>
      <w:r>
        <w:rPr>
          <w:color w:val="000000"/>
        </w:rPr>
        <w:t>Scher</w:t>
      </w:r>
      <w:proofErr w:type="spellEnd"/>
      <w:r>
        <w:rPr>
          <w:color w:val="000000"/>
        </w:rPr>
        <w:t xml:space="preserve">, Harwood and Jones, 2024). Research shows criminalisation increases reoffending, while diversion improves employment and reduces stigma (Lloyd, 2013; Neale, </w:t>
      </w:r>
      <w:proofErr w:type="gramStart"/>
      <w:r>
        <w:rPr>
          <w:color w:val="000000"/>
        </w:rPr>
        <w:t>Nettleton</w:t>
      </w:r>
      <w:proofErr w:type="gramEnd"/>
      <w:r>
        <w:rPr>
          <w:color w:val="000000"/>
        </w:rPr>
        <w:t xml:space="preserve"> and Pickering, 2011). </w:t>
      </w:r>
      <w:bookmarkStart w:id="2" w:name="_Hlk216428469"/>
      <w:r>
        <w:rPr>
          <w:color w:val="000000"/>
        </w:rPr>
        <w:t>Evidence from Texas found diversion halved recidivism rates and improved future employment prospects (</w:t>
      </w:r>
      <w:bookmarkStart w:id="3" w:name="_Hlk216428452"/>
      <w:r>
        <w:rPr>
          <w:color w:val="000000"/>
        </w:rPr>
        <w:t>Bradford et al., 2014</w:t>
      </w:r>
      <w:bookmarkEnd w:id="3"/>
      <w:r>
        <w:rPr>
          <w:color w:val="000000"/>
        </w:rPr>
        <w:t xml:space="preserve">). </w:t>
      </w:r>
    </w:p>
    <w:bookmarkEnd w:id="2"/>
    <w:p w14:paraId="06CF1C76" w14:textId="77777777" w:rsidR="00AE3051" w:rsidRDefault="00AE3051" w:rsidP="00AE3051">
      <w:pPr>
        <w:rPr>
          <w:color w:val="000000"/>
        </w:rPr>
      </w:pPr>
    </w:p>
    <w:p w14:paraId="528398D5" w14:textId="77777777" w:rsidR="00AE3051" w:rsidRDefault="00AE3051" w:rsidP="00AE3051">
      <w:r>
        <w:rPr>
          <w:color w:val="000000"/>
        </w:rPr>
        <w:t>Countries that prioritise public health over punishment show improved outcomes and reduced prison populations. Harm reduction services - including DCRs, drug checking, and needle exchange - are proven to prevent infections, reduce deaths, and help people access wider healthcare (</w:t>
      </w:r>
      <w:proofErr w:type="spellStart"/>
      <w:r>
        <w:rPr>
          <w:color w:val="000000"/>
        </w:rPr>
        <w:t>Scher</w:t>
      </w:r>
      <w:proofErr w:type="spellEnd"/>
      <w:r>
        <w:rPr>
          <w:color w:val="000000"/>
        </w:rPr>
        <w:t>, Harwood and Jones, 2024). Investing in drug services also delivers economic benefits. Public Health England (2021) found that every £1 invested in drug treatment returns £4 in savings through reduced criminal justice costs, healthcare pressures, and societal harm. Current UK laws restrict clinicians from prescribing medicines for fear of diversion, meaning legitimate patients may be denied essential treatment (</w:t>
      </w:r>
      <w:proofErr w:type="spellStart"/>
      <w:r>
        <w:rPr>
          <w:color w:val="000000"/>
        </w:rPr>
        <w:t>Scher</w:t>
      </w:r>
      <w:proofErr w:type="spellEnd"/>
      <w:r>
        <w:rPr>
          <w:color w:val="000000"/>
        </w:rPr>
        <w:t>, Harwood and Jones, 2024). Expanding drug services and taking a public health approach would ensure that medical decisions prioritise wellbeing rather than punitive fears.</w:t>
      </w:r>
    </w:p>
    <w:p w14:paraId="1D8B058A" w14:textId="77777777" w:rsidR="00AE3051" w:rsidRDefault="00AE3051" w:rsidP="00AE3051">
      <w:pPr>
        <w:rPr>
          <w:b/>
          <w:bCs/>
          <w:color w:val="000000"/>
          <w:u w:val="single"/>
        </w:rPr>
      </w:pPr>
    </w:p>
    <w:p w14:paraId="796030A8" w14:textId="73EF595A" w:rsidR="00AE3051" w:rsidRDefault="00AE3051" w:rsidP="00AE3051">
      <w:r>
        <w:rPr>
          <w:color w:val="000000"/>
        </w:rPr>
        <w:t xml:space="preserve">It is fair to say that four years after the film </w:t>
      </w:r>
      <w:r>
        <w:rPr>
          <w:i/>
          <w:iCs/>
          <w:color w:val="000000"/>
        </w:rPr>
        <w:t xml:space="preserve">Putting UK Drug Policy into Focus </w:t>
      </w:r>
      <w:r>
        <w:rPr>
          <w:color w:val="000000"/>
        </w:rPr>
        <w:t xml:space="preserve">(Drug Science, 2020), the challenges identified in the film </w:t>
      </w:r>
      <w:r w:rsidR="00D428D0">
        <w:rPr>
          <w:color w:val="000000"/>
        </w:rPr>
        <w:t>remain</w:t>
      </w:r>
      <w:r>
        <w:rPr>
          <w:color w:val="000000"/>
        </w:rPr>
        <w:t>. UK drug policy continues to be shaped by ideology rather than evidence, prioritising punitive responses that exacerbate harm and failing to prevent unprecedented levels of drug-related deaths. Although small scale reforms, such as Glasgow’s DCR and Middlesbrough’s HAT programme, offer promising evidence of what is possible, national implementation remains limited. A Labour government could transform UK drug policy through a public health and social justice approach. Prioritising cannabis legalisation, national diversion programmes, and expansion of harm reduction services would not only reduce deaths and illness but also deliver social and economic benefits. Evidence, compassion, and human rights must form the foundation of a new and effective UK drug policy.</w:t>
      </w:r>
    </w:p>
    <w:p w14:paraId="7A379FB4" w14:textId="77777777" w:rsidR="00AE3051" w:rsidRDefault="00AE3051" w:rsidP="00AE3051">
      <w:pPr>
        <w:rPr>
          <w:color w:val="EE0000"/>
        </w:rPr>
      </w:pPr>
    </w:p>
    <w:p w14:paraId="42F6B433" w14:textId="02EF8C4A" w:rsidR="00AE3051" w:rsidRDefault="00AE3051" w:rsidP="00AE3051">
      <w:r>
        <w:lastRenderedPageBreak/>
        <w:t>Word count - 147</w:t>
      </w:r>
      <w:r w:rsidR="00D428D0">
        <w:t>5</w:t>
      </w:r>
    </w:p>
    <w:p w14:paraId="741FAF70" w14:textId="77777777" w:rsidR="00B84E41" w:rsidRDefault="00B84E41" w:rsidP="00B84E41"/>
    <w:p w14:paraId="1AF559CE" w14:textId="77777777" w:rsidR="00922F7B" w:rsidRDefault="00922F7B" w:rsidP="00B84E41"/>
    <w:p w14:paraId="2A0FAA46" w14:textId="77777777" w:rsidR="00922F7B" w:rsidRDefault="00922F7B" w:rsidP="00B84E41"/>
    <w:p w14:paraId="53C93A94" w14:textId="77777777" w:rsidR="00922F7B" w:rsidRDefault="00922F7B" w:rsidP="00B84E41"/>
    <w:p w14:paraId="4864C4BB" w14:textId="77777777" w:rsidR="00922F7B" w:rsidRDefault="00922F7B" w:rsidP="00B84E41"/>
    <w:p w14:paraId="0287BDC0" w14:textId="77777777" w:rsidR="00922F7B" w:rsidRDefault="00922F7B" w:rsidP="00B84E41"/>
    <w:p w14:paraId="58EAE937" w14:textId="77777777" w:rsidR="00922F7B" w:rsidRDefault="00922F7B" w:rsidP="00B84E41"/>
    <w:p w14:paraId="2AD1FDA6" w14:textId="77777777" w:rsidR="00922F7B" w:rsidRDefault="00922F7B" w:rsidP="00B84E41"/>
    <w:p w14:paraId="79DAE1D2" w14:textId="77777777" w:rsidR="00922F7B" w:rsidRDefault="00922F7B" w:rsidP="00B84E41"/>
    <w:p w14:paraId="34771DE8" w14:textId="77777777" w:rsidR="00922F7B" w:rsidRDefault="00922F7B" w:rsidP="00B84E41"/>
    <w:p w14:paraId="4F22E011" w14:textId="77777777" w:rsidR="00922F7B" w:rsidRDefault="00922F7B" w:rsidP="00B84E41"/>
    <w:p w14:paraId="3AA537F6" w14:textId="77777777" w:rsidR="00922F7B" w:rsidRDefault="00922F7B" w:rsidP="00B84E41"/>
    <w:p w14:paraId="6BC10B80" w14:textId="77777777" w:rsidR="00922F7B" w:rsidRDefault="00922F7B" w:rsidP="00B84E41"/>
    <w:p w14:paraId="104370D1" w14:textId="77777777" w:rsidR="00922F7B" w:rsidRDefault="00922F7B" w:rsidP="00B84E41"/>
    <w:p w14:paraId="1FBD7623" w14:textId="77777777" w:rsidR="00922F7B" w:rsidRDefault="00922F7B" w:rsidP="00B84E41"/>
    <w:p w14:paraId="7410AF2E" w14:textId="77777777" w:rsidR="00922F7B" w:rsidRDefault="00922F7B" w:rsidP="00B84E41"/>
    <w:p w14:paraId="67C206DC" w14:textId="77777777" w:rsidR="00922F7B" w:rsidRDefault="00922F7B" w:rsidP="00B84E41"/>
    <w:p w14:paraId="7B2324C5" w14:textId="77777777" w:rsidR="00922F7B" w:rsidRDefault="00922F7B" w:rsidP="00B84E41"/>
    <w:p w14:paraId="46634248" w14:textId="77777777" w:rsidR="00922F7B" w:rsidRDefault="00922F7B" w:rsidP="00B84E41"/>
    <w:p w14:paraId="3D034410" w14:textId="77777777" w:rsidR="00922F7B" w:rsidRDefault="00922F7B" w:rsidP="00B84E41"/>
    <w:p w14:paraId="3D4D1C2E" w14:textId="77777777" w:rsidR="00922F7B" w:rsidRDefault="00922F7B" w:rsidP="00B84E41"/>
    <w:p w14:paraId="526598A5" w14:textId="77777777" w:rsidR="00922F7B" w:rsidRDefault="00922F7B" w:rsidP="00B84E41"/>
    <w:p w14:paraId="2737E27A" w14:textId="77777777" w:rsidR="00922F7B" w:rsidRDefault="00922F7B" w:rsidP="00B84E41"/>
    <w:p w14:paraId="3B1B1141" w14:textId="77777777" w:rsidR="00922F7B" w:rsidRDefault="00922F7B" w:rsidP="00B84E41"/>
    <w:p w14:paraId="5E345733" w14:textId="77777777" w:rsidR="00922F7B" w:rsidRDefault="00922F7B" w:rsidP="00B84E41"/>
    <w:p w14:paraId="050369BE" w14:textId="77777777" w:rsidR="00922F7B" w:rsidRDefault="00922F7B" w:rsidP="00B84E41"/>
    <w:p w14:paraId="5E42EA87" w14:textId="77777777" w:rsidR="00922F7B" w:rsidRDefault="00922F7B" w:rsidP="00B84E41"/>
    <w:p w14:paraId="609E94F1" w14:textId="77777777" w:rsidR="00922F7B" w:rsidRDefault="00922F7B" w:rsidP="00B84E41"/>
    <w:p w14:paraId="1E6C64F3" w14:textId="77777777" w:rsidR="00922F7B" w:rsidRDefault="00922F7B" w:rsidP="00B84E41"/>
    <w:p w14:paraId="4B494A44" w14:textId="77777777" w:rsidR="00922F7B" w:rsidRDefault="00922F7B" w:rsidP="00B84E41"/>
    <w:p w14:paraId="4F5F7D2E" w14:textId="77777777" w:rsidR="00922F7B" w:rsidRDefault="00922F7B" w:rsidP="00B84E41"/>
    <w:p w14:paraId="754B0C4E" w14:textId="77777777" w:rsidR="00922F7B" w:rsidRDefault="00922F7B" w:rsidP="00B84E41"/>
    <w:p w14:paraId="0D6FC502" w14:textId="77777777" w:rsidR="00922F7B" w:rsidRDefault="00922F7B" w:rsidP="00B84E41"/>
    <w:p w14:paraId="6AE613B4" w14:textId="77777777" w:rsidR="00922F7B" w:rsidRDefault="00922F7B" w:rsidP="00B84E41"/>
    <w:p w14:paraId="5E56A3E2" w14:textId="77777777" w:rsidR="00922F7B" w:rsidRDefault="00922F7B" w:rsidP="00B84E41"/>
    <w:p w14:paraId="105FBD56" w14:textId="77777777" w:rsidR="00922F7B" w:rsidRDefault="00922F7B" w:rsidP="00B84E41"/>
    <w:p w14:paraId="4EED4AAD" w14:textId="77777777" w:rsidR="00922F7B" w:rsidRDefault="00922F7B" w:rsidP="00B84E41"/>
    <w:p w14:paraId="17C3176A" w14:textId="77777777" w:rsidR="00922F7B" w:rsidRDefault="00922F7B" w:rsidP="00B84E41"/>
    <w:p w14:paraId="0CC968DB" w14:textId="77777777" w:rsidR="00922F7B" w:rsidRDefault="00922F7B" w:rsidP="00B84E41"/>
    <w:p w14:paraId="112059DB" w14:textId="77777777" w:rsidR="00922F7B" w:rsidRDefault="00922F7B" w:rsidP="00B84E41"/>
    <w:p w14:paraId="7AF13497" w14:textId="77777777" w:rsidR="00922F7B" w:rsidRDefault="00922F7B" w:rsidP="00B84E41"/>
    <w:p w14:paraId="24A4451E" w14:textId="77777777" w:rsidR="00922F7B" w:rsidRDefault="00922F7B" w:rsidP="00B84E41"/>
    <w:p w14:paraId="05B1600A" w14:textId="77777777" w:rsidR="00922F7B" w:rsidRDefault="00922F7B" w:rsidP="00B84E41"/>
    <w:p w14:paraId="19656E86" w14:textId="77777777" w:rsidR="00922F7B" w:rsidRDefault="00922F7B" w:rsidP="00B84E41"/>
    <w:p w14:paraId="3B2E230E" w14:textId="77777777" w:rsidR="00922F7B" w:rsidRDefault="00922F7B" w:rsidP="00B84E41"/>
    <w:p w14:paraId="4B196097" w14:textId="77777777" w:rsidR="00922F7B" w:rsidRDefault="00922F7B" w:rsidP="00B84E41"/>
    <w:p w14:paraId="0CF07BFB" w14:textId="77777777" w:rsidR="00922F7B" w:rsidRDefault="00922F7B" w:rsidP="00B84E41"/>
    <w:p w14:paraId="6AF2DED3" w14:textId="7695C1F1" w:rsidR="00922F7B" w:rsidRDefault="00922F7B" w:rsidP="00B84E41"/>
    <w:p w14:paraId="01D229AF" w14:textId="61D2F0C0" w:rsidR="00922F7B" w:rsidRDefault="00922F7B" w:rsidP="00922F7B">
      <w:pPr>
        <w:jc w:val="center"/>
        <w:rPr>
          <w:b/>
          <w:bCs/>
          <w:sz w:val="48"/>
          <w:szCs w:val="48"/>
          <w:u w:val="single"/>
        </w:rPr>
      </w:pPr>
      <w:r w:rsidRPr="00922F7B">
        <w:rPr>
          <w:b/>
          <w:bCs/>
          <w:sz w:val="48"/>
          <w:szCs w:val="48"/>
          <w:u w:val="single"/>
        </w:rPr>
        <w:t>Reference List</w:t>
      </w:r>
    </w:p>
    <w:p w14:paraId="5E72AB6E" w14:textId="77777777" w:rsidR="00472DBE" w:rsidRDefault="00472DBE" w:rsidP="00922F7B">
      <w:pPr>
        <w:jc w:val="center"/>
        <w:rPr>
          <w:b/>
          <w:bCs/>
          <w:sz w:val="48"/>
          <w:szCs w:val="48"/>
          <w:u w:val="single"/>
        </w:rPr>
      </w:pPr>
    </w:p>
    <w:p w14:paraId="6AC7DCB7" w14:textId="77777777" w:rsidR="00472DBE" w:rsidRDefault="00472DBE" w:rsidP="00472DBE">
      <w:r>
        <w:t xml:space="preserve">Bales, W.D. and Piquero, A.R. (2012) ‘Assessing the impact of imprisonment on recidivism’, </w:t>
      </w:r>
      <w:r>
        <w:rPr>
          <w:i/>
          <w:iCs/>
        </w:rPr>
        <w:t>Journal of Experimental Criminology</w:t>
      </w:r>
      <w:r>
        <w:t xml:space="preserve">, 8, pp. 71–101. Available at: </w:t>
      </w:r>
      <w:hyperlink r:id="rId4" w:history="1">
        <w:r>
          <w:rPr>
            <w:rStyle w:val="Hyperlink"/>
          </w:rPr>
          <w:t>https://doi.org/10.1007/s11292-011-9139-3</w:t>
        </w:r>
      </w:hyperlink>
      <w:r>
        <w:t xml:space="preserve"> </w:t>
      </w:r>
    </w:p>
    <w:p w14:paraId="106B529E" w14:textId="77777777" w:rsidR="00472DBE" w:rsidRDefault="00472DBE" w:rsidP="00472DBE"/>
    <w:p w14:paraId="004D2DBA" w14:textId="77777777" w:rsidR="00472DBE" w:rsidRDefault="00472DBE" w:rsidP="00472DBE">
      <w:proofErr w:type="spellStart"/>
      <w:r>
        <w:t>Betzler</w:t>
      </w:r>
      <w:proofErr w:type="spellEnd"/>
      <w:r>
        <w:t xml:space="preserve">, F., </w:t>
      </w:r>
      <w:proofErr w:type="spellStart"/>
      <w:r>
        <w:t>Helbig</w:t>
      </w:r>
      <w:proofErr w:type="spellEnd"/>
      <w:r>
        <w:t xml:space="preserve">, J., </w:t>
      </w:r>
      <w:proofErr w:type="spellStart"/>
      <w:r>
        <w:t>Viohl</w:t>
      </w:r>
      <w:proofErr w:type="spellEnd"/>
      <w:r>
        <w:t xml:space="preserve">, L., Ernst, F., Roediger, L., </w:t>
      </w:r>
      <w:proofErr w:type="spellStart"/>
      <w:r>
        <w:t>Gutwinski</w:t>
      </w:r>
      <w:proofErr w:type="spellEnd"/>
      <w:r>
        <w:t xml:space="preserve">, S., </w:t>
      </w:r>
      <w:proofErr w:type="spellStart"/>
      <w:r>
        <w:t>Ströhle</w:t>
      </w:r>
      <w:proofErr w:type="spellEnd"/>
      <w:r>
        <w:t xml:space="preserve">, A. and Köhler, S. (2020) ‘Drug Checking and Its Potential Impact on Substance Use’, </w:t>
      </w:r>
      <w:r>
        <w:rPr>
          <w:i/>
          <w:iCs/>
        </w:rPr>
        <w:t>European Addiction Research</w:t>
      </w:r>
      <w:r>
        <w:t xml:space="preserve">, 27(1), pp.1–8. Available at: </w:t>
      </w:r>
      <w:hyperlink r:id="rId5" w:history="1">
        <w:r>
          <w:rPr>
            <w:rStyle w:val="Hyperlink"/>
          </w:rPr>
          <w:t>https://doi.org/10.1159/000507049</w:t>
        </w:r>
      </w:hyperlink>
    </w:p>
    <w:p w14:paraId="2BDFE022" w14:textId="77777777" w:rsidR="00472DBE" w:rsidRDefault="00472DBE" w:rsidP="00472DBE"/>
    <w:p w14:paraId="46A64E98" w14:textId="77777777" w:rsidR="00472DBE" w:rsidRDefault="00472DBE" w:rsidP="00472DBE">
      <w:r>
        <w:t xml:space="preserve">Black, C. (2020) </w:t>
      </w:r>
      <w:r>
        <w:rPr>
          <w:i/>
          <w:iCs/>
        </w:rPr>
        <w:t>Independent review of drugs</w:t>
      </w:r>
      <w:r>
        <w:t xml:space="preserve">. Available at: </w:t>
      </w:r>
      <w:hyperlink r:id="rId6" w:history="1">
        <w:r>
          <w:rPr>
            <w:rStyle w:val="Hyperlink"/>
          </w:rPr>
          <w:t>https://www.gov.uk/government/publications/review-of-drugs-phase-one-report</w:t>
        </w:r>
      </w:hyperlink>
      <w:r>
        <w:t xml:space="preserve"> (Accessed: 20 November 2025).</w:t>
      </w:r>
    </w:p>
    <w:p w14:paraId="75220810" w14:textId="77777777" w:rsidR="00472DBE" w:rsidRDefault="00472DBE" w:rsidP="00472DBE"/>
    <w:p w14:paraId="359C4EC4" w14:textId="77777777" w:rsidR="00472DBE" w:rsidRDefault="00472DBE" w:rsidP="00472DBE">
      <w:r>
        <w:t xml:space="preserve">Black, C. (2021) </w:t>
      </w:r>
      <w:r>
        <w:rPr>
          <w:i/>
          <w:iCs/>
        </w:rPr>
        <w:t>Government response to the independent review of drugs</w:t>
      </w:r>
      <w:r>
        <w:t xml:space="preserve">. Available at: </w:t>
      </w:r>
      <w:hyperlink r:id="rId7" w:history="1">
        <w:r>
          <w:rPr>
            <w:rStyle w:val="Hyperlink"/>
          </w:rPr>
          <w:t>https://www.gov.uk/government/publications/independent-review-of-drugs-by-dame-carol-black-government-response</w:t>
        </w:r>
      </w:hyperlink>
      <w:r>
        <w:t xml:space="preserve"> (Accessed: 20 November 2025).</w:t>
      </w:r>
    </w:p>
    <w:p w14:paraId="48867FE8" w14:textId="77777777" w:rsidR="00472DBE" w:rsidRDefault="00472DBE" w:rsidP="00472DBE"/>
    <w:p w14:paraId="6AE5C4CA" w14:textId="77777777" w:rsidR="00472DBE" w:rsidRDefault="00472DBE" w:rsidP="00472DBE">
      <w:r>
        <w:t xml:space="preserve">Bradford, B., Jackson, J., Hough, M. and Reiner, R. (2014) </w:t>
      </w:r>
      <w:r>
        <w:rPr>
          <w:i/>
          <w:iCs/>
        </w:rPr>
        <w:t>The effect of police diversion schemes on drug-related offending</w:t>
      </w:r>
      <w:r>
        <w:t>. London: Routledge.</w:t>
      </w:r>
    </w:p>
    <w:p w14:paraId="0BBB6D9A" w14:textId="77777777" w:rsidR="00472DBE" w:rsidRDefault="00472DBE" w:rsidP="00472DBE"/>
    <w:p w14:paraId="306855EF" w14:textId="77777777" w:rsidR="00472DBE" w:rsidRDefault="00472DBE" w:rsidP="00472DBE">
      <w:r>
        <w:t xml:space="preserve">CBS (2024) </w:t>
      </w:r>
      <w:r>
        <w:rPr>
          <w:i/>
          <w:iCs/>
        </w:rPr>
        <w:t>How many people use cannabis?</w:t>
      </w:r>
      <w:r>
        <w:t xml:space="preserve"> Statistics Netherlands. Available at: </w:t>
      </w:r>
      <w:hyperlink r:id="rId8" w:history="1">
        <w:r>
          <w:rPr>
            <w:rStyle w:val="Hyperlink"/>
            <w:color w:val="auto"/>
          </w:rPr>
          <w:t>https:/</w:t>
        </w:r>
        <w:bookmarkStart w:id="4" w:name="_Hlt216468920"/>
        <w:bookmarkStart w:id="5" w:name="_Hlt216468921"/>
        <w:r>
          <w:rPr>
            <w:rStyle w:val="Hyperlink"/>
            <w:color w:val="auto"/>
          </w:rPr>
          <w:t>/</w:t>
        </w:r>
        <w:bookmarkEnd w:id="4"/>
        <w:bookmarkEnd w:id="5"/>
        <w:r>
          <w:rPr>
            <w:rStyle w:val="Hyperlink"/>
            <w:color w:val="auto"/>
          </w:rPr>
          <w:t>l</w:t>
        </w:r>
        <w:bookmarkStart w:id="6" w:name="_Hlt216471634"/>
        <w:bookmarkStart w:id="7" w:name="_Hlt216471635"/>
        <w:r>
          <w:rPr>
            <w:rStyle w:val="Hyperlink"/>
            <w:color w:val="auto"/>
          </w:rPr>
          <w:t>o</w:t>
        </w:r>
        <w:bookmarkEnd w:id="6"/>
        <w:bookmarkEnd w:id="7"/>
        <w:r>
          <w:rPr>
            <w:rStyle w:val="Hyperlink"/>
            <w:color w:val="auto"/>
          </w:rPr>
          <w:t>ngreads.cbs.nl/the-netherlands-in-numbers-2024/how-many-people-use-cannabis/</w:t>
        </w:r>
      </w:hyperlink>
      <w:r>
        <w:t xml:space="preserve"> (Accessed: 06 December 2025).</w:t>
      </w:r>
    </w:p>
    <w:p w14:paraId="2DB57303" w14:textId="77777777" w:rsidR="00472DBE" w:rsidRDefault="00472DBE" w:rsidP="00472DBE"/>
    <w:p w14:paraId="250A14FB" w14:textId="77777777" w:rsidR="00472DBE" w:rsidRDefault="00472DBE" w:rsidP="00472DBE">
      <w:r>
        <w:t xml:space="preserve">Drug Science (2020) </w:t>
      </w:r>
      <w:r>
        <w:rPr>
          <w:i/>
          <w:iCs/>
        </w:rPr>
        <w:t>Putting UK drug policy into focus</w:t>
      </w:r>
      <w:r>
        <w:t xml:space="preserve"> [online video]. Available at: </w:t>
      </w:r>
      <w:hyperlink r:id="rId9" w:history="1">
        <w:r>
          <w:rPr>
            <w:rStyle w:val="Hyperlink"/>
          </w:rPr>
          <w:t>https://www.youtube.com/watch?v=dj_5JkgxmRU</w:t>
        </w:r>
      </w:hyperlink>
      <w:r>
        <w:t xml:space="preserve"> (Accessed: 18 November 2025).</w:t>
      </w:r>
    </w:p>
    <w:p w14:paraId="0ED3A153" w14:textId="77777777" w:rsidR="00472DBE" w:rsidRDefault="00472DBE" w:rsidP="00472DBE"/>
    <w:p w14:paraId="67E0B335" w14:textId="77777777" w:rsidR="00472DBE" w:rsidRDefault="00472DBE" w:rsidP="00472DBE">
      <w:r>
        <w:t xml:space="preserve">Hansard (2025) </w:t>
      </w:r>
      <w:r>
        <w:rPr>
          <w:i/>
          <w:iCs/>
        </w:rPr>
        <w:t>Drug-related deaths debate, House of Commons, 5 November</w:t>
      </w:r>
      <w:r>
        <w:t xml:space="preserve">. Available at: </w:t>
      </w:r>
      <w:hyperlink r:id="rId10" w:history="1">
        <w:r>
          <w:rPr>
            <w:rStyle w:val="Hyperlink"/>
          </w:rPr>
          <w:t>https://hansard.parliament.uk</w:t>
        </w:r>
      </w:hyperlink>
      <w:r>
        <w:t xml:space="preserve"> (Accessed: 20 November 2025).</w:t>
      </w:r>
    </w:p>
    <w:p w14:paraId="3247F217" w14:textId="77777777" w:rsidR="00472DBE" w:rsidRDefault="00472DBE" w:rsidP="00472DBE"/>
    <w:p w14:paraId="0D1F1D2C" w14:textId="77777777" w:rsidR="00472DBE" w:rsidRDefault="00472DBE" w:rsidP="00472DBE">
      <w:r>
        <w:t xml:space="preserve">Home Office (2021) </w:t>
      </w:r>
      <w:r>
        <w:rPr>
          <w:i/>
          <w:iCs/>
        </w:rPr>
        <w:t>From harm to hope: a 10-year drugs plan to cut crime and save lives</w:t>
      </w:r>
      <w:r>
        <w:t xml:space="preserve">. Available at: </w:t>
      </w:r>
      <w:hyperlink r:id="rId11" w:history="1">
        <w:r>
          <w:rPr>
            <w:rStyle w:val="Hyperlink"/>
          </w:rPr>
          <w:t>https://www.gov.uk/government/publications/from-harm-to-hope-a-10-year-drugs-plan-to-cut-crime-and-save-lives</w:t>
        </w:r>
      </w:hyperlink>
      <w:r>
        <w:t xml:space="preserve"> (Accessed: 2 December 2025).</w:t>
      </w:r>
    </w:p>
    <w:p w14:paraId="7DAED907" w14:textId="77777777" w:rsidR="00472DBE" w:rsidRDefault="00472DBE" w:rsidP="00472DBE"/>
    <w:p w14:paraId="763A68C8" w14:textId="77777777" w:rsidR="006A2117" w:rsidRDefault="006A2117" w:rsidP="00472DBE"/>
    <w:p w14:paraId="2FC5B6EE" w14:textId="77777777" w:rsidR="00472DBE" w:rsidRDefault="00472DBE" w:rsidP="00472DBE">
      <w:r>
        <w:t xml:space="preserve">Lloyd, C. (2013) ‘The stigmatization of problem drug users: A narrative literature review’, </w:t>
      </w:r>
      <w:r>
        <w:rPr>
          <w:i/>
          <w:iCs/>
        </w:rPr>
        <w:t>Drugs: Education, Prevention and Policy</w:t>
      </w:r>
      <w:r>
        <w:t xml:space="preserve">, 20(2), pp. 85–95. Available at: </w:t>
      </w:r>
      <w:hyperlink r:id="rId12" w:history="1">
        <w:r>
          <w:rPr>
            <w:rStyle w:val="Hyperlink"/>
          </w:rPr>
          <w:t>https://doi.org/10.3109/09687637.2012.743506</w:t>
        </w:r>
      </w:hyperlink>
      <w:r>
        <w:t xml:space="preserve"> </w:t>
      </w:r>
    </w:p>
    <w:p w14:paraId="20342788" w14:textId="77777777" w:rsidR="00AA7952" w:rsidRDefault="00AA7952" w:rsidP="00472DBE"/>
    <w:p w14:paraId="4F078E25" w14:textId="77777777" w:rsidR="00472DBE" w:rsidRDefault="00472DBE" w:rsidP="00472DBE"/>
    <w:p w14:paraId="6FE4F86E" w14:textId="77777777" w:rsidR="00472DBE" w:rsidRDefault="00472DBE" w:rsidP="00472DBE">
      <w:r>
        <w:lastRenderedPageBreak/>
        <w:t xml:space="preserve">Meacher, M., Nutt, D., Liebling, J., Murray, R.M. and Gridley, A. (2019) ‘Should the supply of cannabis be legalised now?’, </w:t>
      </w:r>
      <w:r>
        <w:rPr>
          <w:i/>
          <w:iCs/>
        </w:rPr>
        <w:t>British Medical Journal</w:t>
      </w:r>
      <w:r>
        <w:t xml:space="preserve">, 366. Available at: </w:t>
      </w:r>
      <w:hyperlink r:id="rId13" w:history="1">
        <w:r>
          <w:rPr>
            <w:rStyle w:val="Hyperlink"/>
          </w:rPr>
          <w:t>https://www.jstor.org/stable/27177178</w:t>
        </w:r>
      </w:hyperlink>
      <w:r>
        <w:t xml:space="preserve"> (Accessed: 1 December 2025).</w:t>
      </w:r>
    </w:p>
    <w:p w14:paraId="6B555DA2" w14:textId="77777777" w:rsidR="00C75B1F" w:rsidRDefault="00C75B1F" w:rsidP="00472DBE"/>
    <w:p w14:paraId="0ED8AD9A" w14:textId="77777777" w:rsidR="00C75B1F" w:rsidRPr="00FD21A9" w:rsidRDefault="00C75B1F" w:rsidP="00C75B1F">
      <w:r>
        <w:t xml:space="preserve">Ministry of Justice (2025) </w:t>
      </w:r>
      <w:r w:rsidRPr="00FD21A9">
        <w:rPr>
          <w:i/>
          <w:iCs/>
        </w:rPr>
        <w:t>New sentencing approach to cut drug fuelled crime</w:t>
      </w:r>
      <w:r>
        <w:rPr>
          <w:i/>
          <w:iCs/>
        </w:rPr>
        <w:t xml:space="preserve">. </w:t>
      </w:r>
      <w:r>
        <w:t xml:space="preserve">Available at: </w:t>
      </w:r>
      <w:hyperlink r:id="rId14" w:history="1">
        <w:r w:rsidRPr="00060474">
          <w:rPr>
            <w:rStyle w:val="Hyperlink"/>
          </w:rPr>
          <w:t>https://www.gov.uk/government/news/new-sentencing-approach-to-cut-drug-fuelled-crime</w:t>
        </w:r>
      </w:hyperlink>
      <w:r>
        <w:t xml:space="preserve"> (Accessed: 30 November 2025)</w:t>
      </w:r>
    </w:p>
    <w:p w14:paraId="2DD2E645" w14:textId="77777777" w:rsidR="00C75B1F" w:rsidRDefault="00C75B1F" w:rsidP="00472DBE"/>
    <w:p w14:paraId="3E1B8FBE" w14:textId="77777777" w:rsidR="00472DBE" w:rsidRDefault="00472DBE" w:rsidP="00472DBE"/>
    <w:p w14:paraId="4266488F" w14:textId="77777777" w:rsidR="00472DBE" w:rsidRDefault="00472DBE" w:rsidP="00472DBE">
      <w:r>
        <w:t xml:space="preserve">Neale, J., Nettleton, S. and Pickering, L. (2011) ‘Recovery from problem drug use: What can we learn from the sociologist Erving Goffman?’, </w:t>
      </w:r>
      <w:r>
        <w:rPr>
          <w:i/>
          <w:iCs/>
        </w:rPr>
        <w:t>Drugs: Education, Prevention and Policy</w:t>
      </w:r>
      <w:r>
        <w:t xml:space="preserve">, 18(1), pp. 3–9. Available at: </w:t>
      </w:r>
      <w:hyperlink r:id="rId15" w:history="1">
        <w:r>
          <w:rPr>
            <w:rStyle w:val="Hyperlink"/>
          </w:rPr>
          <w:t>https://doi.org/10.3109/09687631003705546</w:t>
        </w:r>
      </w:hyperlink>
      <w:r>
        <w:t xml:space="preserve"> </w:t>
      </w:r>
    </w:p>
    <w:p w14:paraId="68FA7C4D" w14:textId="77777777" w:rsidR="00472DBE" w:rsidRDefault="00472DBE" w:rsidP="00472DBE"/>
    <w:p w14:paraId="6C7F7474" w14:textId="77777777" w:rsidR="00472DBE" w:rsidRDefault="00472DBE" w:rsidP="00472DBE">
      <w:r>
        <w:t xml:space="preserve">Nicholls, J., Livingston, W., Perkins, A., Cairns, B., Foster, R., </w:t>
      </w:r>
      <w:proofErr w:type="spellStart"/>
      <w:r>
        <w:t>Trayner</w:t>
      </w:r>
      <w:proofErr w:type="spellEnd"/>
      <w:r>
        <w:t xml:space="preserve">, K.M.A., </w:t>
      </w:r>
      <w:proofErr w:type="spellStart"/>
      <w:r>
        <w:t>Sumnall</w:t>
      </w:r>
      <w:proofErr w:type="spellEnd"/>
      <w:r>
        <w:t xml:space="preserve">, H.R., Price, T., Cairney, P., </w:t>
      </w:r>
      <w:proofErr w:type="spellStart"/>
      <w:r>
        <w:t>Dumbrell</w:t>
      </w:r>
      <w:proofErr w:type="spellEnd"/>
      <w:r>
        <w:t xml:space="preserve">, J. and Parkes, T. (2022) ‘Drug consumption rooms and public health policy: Perspectives of Scottish strategic decision-makers’, </w:t>
      </w:r>
      <w:r>
        <w:rPr>
          <w:i/>
          <w:iCs/>
        </w:rPr>
        <w:t>International Journal of Environmental Research and Public Health</w:t>
      </w:r>
      <w:r>
        <w:t xml:space="preserve">, 19(11), p. 6575. Available at: </w:t>
      </w:r>
      <w:hyperlink r:id="rId16" w:history="1">
        <w:r>
          <w:rPr>
            <w:rStyle w:val="Hyperlink"/>
          </w:rPr>
          <w:t>https://doi.org/10.3390/ijerph19116575</w:t>
        </w:r>
      </w:hyperlink>
      <w:r>
        <w:t xml:space="preserve"> </w:t>
      </w:r>
    </w:p>
    <w:p w14:paraId="70A38837" w14:textId="77777777" w:rsidR="00472DBE" w:rsidRDefault="00472DBE" w:rsidP="00472DBE"/>
    <w:p w14:paraId="4CAD8C68" w14:textId="77777777" w:rsidR="00472DBE" w:rsidRDefault="00472DBE" w:rsidP="00472DBE">
      <w:r>
        <w:t xml:space="preserve">Office for National Statistics (2023) </w:t>
      </w:r>
      <w:r>
        <w:rPr>
          <w:i/>
          <w:iCs/>
        </w:rPr>
        <w:t>Drug misuse in England and Wales: Year ending March 2023</w:t>
      </w:r>
      <w:r>
        <w:t xml:space="preserve">. London: Office for National Statistics. Available at: </w:t>
      </w:r>
      <w:hyperlink r:id="rId17" w:history="1">
        <w:r>
          <w:rPr>
            <w:rStyle w:val="Hyperlink"/>
          </w:rPr>
          <w:t>https://www.ons.gov.uk/peoplepopulationandcommunity/crimeandjustice/articles/drugmisuseinenglandandwales/yearendingmarch2023</w:t>
        </w:r>
      </w:hyperlink>
      <w:r>
        <w:t xml:space="preserve"> (Accessed: 3 December 2025).</w:t>
      </w:r>
    </w:p>
    <w:p w14:paraId="38F0574F" w14:textId="77777777" w:rsidR="00472DBE" w:rsidRDefault="00472DBE" w:rsidP="00472DBE"/>
    <w:p w14:paraId="77525041" w14:textId="77777777" w:rsidR="00472DBE" w:rsidRDefault="00472DBE" w:rsidP="00472DBE">
      <w:r>
        <w:t xml:space="preserve">Office for National Statistics (2024a) </w:t>
      </w:r>
      <w:r>
        <w:rPr>
          <w:i/>
          <w:iCs/>
        </w:rPr>
        <w:t>Drug misuse in England and Wales: Year ending March 2024</w:t>
      </w:r>
      <w:r>
        <w:t xml:space="preserve">. London: Office for National Statistics. Available at: </w:t>
      </w:r>
      <w:hyperlink r:id="rId18" w:history="1">
        <w:r>
          <w:rPr>
            <w:rStyle w:val="Hyperlink"/>
          </w:rPr>
          <w:t>https://www.ons.gov.uk</w:t>
        </w:r>
      </w:hyperlink>
      <w:r>
        <w:t xml:space="preserve"> (Accessed: 1 December 2025).</w:t>
      </w:r>
    </w:p>
    <w:p w14:paraId="2BDDD6A9" w14:textId="77777777" w:rsidR="00472DBE" w:rsidRDefault="00472DBE" w:rsidP="00472DBE"/>
    <w:p w14:paraId="7880CD69" w14:textId="77777777" w:rsidR="00472DBE" w:rsidRDefault="00472DBE" w:rsidP="00472DBE">
      <w:r>
        <w:t xml:space="preserve">Office for National Statistics (2024b) ‘Deaths related to drug poisoning in England and Wales: 2023 registrations’, 23 October. Available at: </w:t>
      </w:r>
      <w:hyperlink r:id="rId19" w:history="1">
        <w:r>
          <w:rPr>
            <w:rStyle w:val="Hyperlink"/>
          </w:rPr>
          <w:t>https://www.ons.gov.uk</w:t>
        </w:r>
      </w:hyperlink>
      <w:r>
        <w:t xml:space="preserve"> (Accessed: 2 December 2025).</w:t>
      </w:r>
    </w:p>
    <w:p w14:paraId="005521F2" w14:textId="77777777" w:rsidR="00472DBE" w:rsidRDefault="00472DBE" w:rsidP="00472DBE"/>
    <w:p w14:paraId="5D03EA7F" w14:textId="77777777" w:rsidR="00472DBE" w:rsidRDefault="00472DBE" w:rsidP="00472DBE">
      <w:proofErr w:type="spellStart"/>
      <w:r>
        <w:t>Peatfield</w:t>
      </w:r>
      <w:proofErr w:type="spellEnd"/>
      <w:r>
        <w:t xml:space="preserve">, E. (2025) ‘A condensed history of British drug policy and legislation (1860–Present)’, in </w:t>
      </w:r>
      <w:r>
        <w:rPr>
          <w:i/>
          <w:iCs/>
        </w:rPr>
        <w:t>Drugs Disorder by Design</w:t>
      </w:r>
      <w:r>
        <w:t xml:space="preserve">. Cham: Palgrave Macmillan, pp. 1–22. Available at: </w:t>
      </w:r>
      <w:hyperlink r:id="rId20" w:history="1">
        <w:r>
          <w:rPr>
            <w:rStyle w:val="Hyperlink"/>
          </w:rPr>
          <w:t>https://doi.org/10.1007/978-3-032-07814-8_1</w:t>
        </w:r>
      </w:hyperlink>
      <w:r>
        <w:t xml:space="preserve"> </w:t>
      </w:r>
    </w:p>
    <w:p w14:paraId="7A480312" w14:textId="77777777" w:rsidR="00472DBE" w:rsidRDefault="00472DBE" w:rsidP="00472DBE"/>
    <w:p w14:paraId="37AAB836" w14:textId="77777777" w:rsidR="00472DBE" w:rsidRDefault="00472DBE" w:rsidP="00472DBE">
      <w:r>
        <w:t xml:space="preserve">Pharmaceutical Journal (2025) ‘UK’s first safer drug consumption facility accessed more than 2,600 times in first four months, data show’, 9 May. Available at: </w:t>
      </w:r>
      <w:hyperlink r:id="rId21" w:history="1">
        <w:r>
          <w:rPr>
            <w:rStyle w:val="Hyperlink"/>
          </w:rPr>
          <w:t>https://pharmaceutical-journal.com/article/news/uks-first-safer-drug-consumption-facility-accessed-more-than-2500-times-in-first-four-months-data-show</w:t>
        </w:r>
      </w:hyperlink>
      <w:r>
        <w:t xml:space="preserve"> (Accessed: 19 November 2025).</w:t>
      </w:r>
    </w:p>
    <w:p w14:paraId="2B69AE09" w14:textId="77777777" w:rsidR="00472DBE" w:rsidRDefault="00472DBE" w:rsidP="00472DBE"/>
    <w:p w14:paraId="10464E83" w14:textId="77777777" w:rsidR="00472DBE" w:rsidRDefault="00472DBE" w:rsidP="00472DBE">
      <w:r>
        <w:t xml:space="preserve">Poulter, H.L., Moore, H.J., Ahmed, D., Riley, F., Walker, T. and Harris, M. (2024) ‘Co-located heroin assisted treatment within primary care: A preliminary analysis of the implications for healthcare access, cost, and treatment delivery in the UK’, </w:t>
      </w:r>
      <w:r>
        <w:rPr>
          <w:i/>
          <w:iCs/>
        </w:rPr>
        <w:t>International Journal of Drug Policy</w:t>
      </w:r>
      <w:r>
        <w:t xml:space="preserve">, 126, Article 104367. Available at: </w:t>
      </w:r>
      <w:hyperlink r:id="rId22" w:history="1">
        <w:r>
          <w:rPr>
            <w:rStyle w:val="Hyperlink"/>
          </w:rPr>
          <w:t>https://doi.org/10.1016/j.drugpo.2024.104367</w:t>
        </w:r>
      </w:hyperlink>
      <w:r>
        <w:t xml:space="preserve"> </w:t>
      </w:r>
    </w:p>
    <w:p w14:paraId="743EB6C0" w14:textId="77777777" w:rsidR="00472DBE" w:rsidRDefault="00472DBE" w:rsidP="00472DBE"/>
    <w:p w14:paraId="24F5E8AD" w14:textId="77777777" w:rsidR="00472DBE" w:rsidRDefault="00472DBE" w:rsidP="00472DBE">
      <w:r>
        <w:t xml:space="preserve">Public Health Wales (2024) </w:t>
      </w:r>
      <w:r>
        <w:rPr>
          <w:i/>
          <w:iCs/>
        </w:rPr>
        <w:t>WEDINOS annual report 2024–25</w:t>
      </w:r>
      <w:r>
        <w:t xml:space="preserve">. Available at: </w:t>
      </w:r>
      <w:hyperlink r:id="rId23" w:history="1">
        <w:r>
          <w:rPr>
            <w:rStyle w:val="Hyperlink"/>
          </w:rPr>
          <w:t>https://www.wedinos.org/resources/downloads/WEDINOS_Annual_Report_2023_2024_English.pdf</w:t>
        </w:r>
      </w:hyperlink>
      <w:r>
        <w:t xml:space="preserve"> (Accessed: 3 December 2025).</w:t>
      </w:r>
    </w:p>
    <w:p w14:paraId="08EBF12B" w14:textId="77777777" w:rsidR="00472DBE" w:rsidRDefault="00472DBE" w:rsidP="00472DBE"/>
    <w:p w14:paraId="5E8FBA90" w14:textId="77777777" w:rsidR="00472DBE" w:rsidRDefault="00472DBE" w:rsidP="00472DBE">
      <w:r>
        <w:t xml:space="preserve">Public Health England (2021) </w:t>
      </w:r>
      <w:r>
        <w:rPr>
          <w:i/>
          <w:iCs/>
        </w:rPr>
        <w:t>Adult substance misuse treatment statistics 2020–21</w:t>
      </w:r>
      <w:r>
        <w:t xml:space="preserve">. Available at: </w:t>
      </w:r>
      <w:hyperlink r:id="rId24" w:history="1">
        <w:r>
          <w:rPr>
            <w:rStyle w:val="Hyperlink"/>
          </w:rPr>
          <w:t>https://www.gov.uk/government/statistics</w:t>
        </w:r>
      </w:hyperlink>
      <w:r>
        <w:t xml:space="preserve"> (Accessed: 3 December 2025).</w:t>
      </w:r>
    </w:p>
    <w:p w14:paraId="4AF50C24" w14:textId="77777777" w:rsidR="00472DBE" w:rsidRDefault="00472DBE" w:rsidP="00472DBE"/>
    <w:p w14:paraId="35DF9526" w14:textId="77777777" w:rsidR="00472DBE" w:rsidRDefault="00472DBE" w:rsidP="00472DBE">
      <w:r>
        <w:t xml:space="preserve">Royal College of Physicians (2024) </w:t>
      </w:r>
      <w:r>
        <w:rPr>
          <w:i/>
          <w:iCs/>
        </w:rPr>
        <w:t>Position statement on drug policy reform</w:t>
      </w:r>
      <w:r>
        <w:t xml:space="preserve">. Available at: </w:t>
      </w:r>
      <w:hyperlink r:id="rId25" w:history="1">
        <w:r>
          <w:rPr>
            <w:rStyle w:val="Hyperlink"/>
          </w:rPr>
          <w:t>https://www.rcp.ac.uk</w:t>
        </w:r>
      </w:hyperlink>
      <w:r>
        <w:t xml:space="preserve"> (Accessed: 19 November 2025).</w:t>
      </w:r>
    </w:p>
    <w:p w14:paraId="5D69A500" w14:textId="77777777" w:rsidR="00472DBE" w:rsidRDefault="00472DBE" w:rsidP="00472DBE"/>
    <w:p w14:paraId="38EBD4CE" w14:textId="77777777" w:rsidR="00472DBE" w:rsidRDefault="00472DBE" w:rsidP="00472DBE">
      <w:proofErr w:type="spellStart"/>
      <w:r>
        <w:t>Scher</w:t>
      </w:r>
      <w:proofErr w:type="spellEnd"/>
      <w:r>
        <w:t xml:space="preserve">, C., Harwood, E. and Jones, A. (2024) </w:t>
      </w:r>
      <w:r>
        <w:rPr>
          <w:i/>
          <w:iCs/>
        </w:rPr>
        <w:t>Public health responses to drug use: A UK perspective</w:t>
      </w:r>
      <w:r>
        <w:t>. London: Policy Press.</w:t>
      </w:r>
    </w:p>
    <w:p w14:paraId="4A4FBA94" w14:textId="77777777" w:rsidR="00472DBE" w:rsidRDefault="00472DBE" w:rsidP="00472DBE"/>
    <w:p w14:paraId="6FB58E23" w14:textId="77777777" w:rsidR="00472DBE" w:rsidRDefault="00472DBE" w:rsidP="00472DBE">
      <w:r>
        <w:t xml:space="preserve">The Health Foundation (2025) ‘Dramatic rise in drug-related deaths fuels worsening UK health compared to other </w:t>
      </w:r>
      <w:proofErr w:type="gramStart"/>
      <w:r>
        <w:t>nations’</w:t>
      </w:r>
      <w:proofErr w:type="gramEnd"/>
      <w:r>
        <w:t xml:space="preserve">. Available at: </w:t>
      </w:r>
      <w:hyperlink r:id="rId26" w:history="1">
        <w:r>
          <w:rPr>
            <w:rStyle w:val="Hyperlink"/>
          </w:rPr>
          <w:t>https://www.health.org.uk/press-office/press-releases/dramatic-rise-in-drug-related-deaths-fuels-worsening-uk-health-compared-to-other-nations</w:t>
        </w:r>
      </w:hyperlink>
      <w:r>
        <w:t xml:space="preserve"> (Accessed: 20 November 2025).</w:t>
      </w:r>
    </w:p>
    <w:p w14:paraId="231AD4C5" w14:textId="77777777" w:rsidR="00472DBE" w:rsidRDefault="00472DBE" w:rsidP="00472DBE"/>
    <w:p w14:paraId="57614D60" w14:textId="77777777" w:rsidR="00472DBE" w:rsidRDefault="00472DBE" w:rsidP="00472DBE">
      <w:r>
        <w:t xml:space="preserve">The Loop (2024) </w:t>
      </w:r>
      <w:r>
        <w:rPr>
          <w:i/>
          <w:iCs/>
        </w:rPr>
        <w:t>About the Loop: drug checking at festivals and services</w:t>
      </w:r>
      <w:r>
        <w:t xml:space="preserve">. Available at: </w:t>
      </w:r>
      <w:hyperlink r:id="rId27" w:history="1">
        <w:r>
          <w:rPr>
            <w:rStyle w:val="Hyperlink"/>
          </w:rPr>
          <w:t>https://wearetheloop.org/our-history</w:t>
        </w:r>
      </w:hyperlink>
      <w:r>
        <w:t xml:space="preserve"> (Accessed: 4 December 2025).</w:t>
      </w:r>
    </w:p>
    <w:p w14:paraId="4AE24479" w14:textId="77777777" w:rsidR="00472DBE" w:rsidRDefault="00472DBE" w:rsidP="00472DBE"/>
    <w:p w14:paraId="6569C5AC" w14:textId="77777777" w:rsidR="00472DBE" w:rsidRDefault="00472DBE" w:rsidP="00472DBE">
      <w:r>
        <w:t xml:space="preserve">Transform Drug Policy Foundation (2025) </w:t>
      </w:r>
      <w:r>
        <w:rPr>
          <w:i/>
          <w:iCs/>
        </w:rPr>
        <w:t>High returns: The economic benefits of UK cannabis legalisation</w:t>
      </w:r>
      <w:r>
        <w:t xml:space="preserve">. Available at: </w:t>
      </w:r>
      <w:hyperlink r:id="rId28" w:history="1">
        <w:r>
          <w:rPr>
            <w:rStyle w:val="Hyperlink"/>
          </w:rPr>
          <w:t>https://transformdrugs.org/publications/high-returns-the-economic-benefits-of-uk-cannabis-legalisation</w:t>
        </w:r>
      </w:hyperlink>
      <w:r>
        <w:t xml:space="preserve"> (Accessed: 12 December 2025).</w:t>
      </w:r>
    </w:p>
    <w:p w14:paraId="25D15105" w14:textId="77777777" w:rsidR="00472DBE" w:rsidRDefault="00472DBE" w:rsidP="00472DBE"/>
    <w:p w14:paraId="6A1DF81E" w14:textId="77777777" w:rsidR="00472DBE" w:rsidRDefault="00472DBE" w:rsidP="00472DBE">
      <w:r>
        <w:t xml:space="preserve">Travis, A. (2014) ‘Punitive drug law enforcement failing, says Home Office study’, </w:t>
      </w:r>
      <w:r>
        <w:rPr>
          <w:i/>
          <w:iCs/>
        </w:rPr>
        <w:t>The Guardian</w:t>
      </w:r>
      <w:r>
        <w:t xml:space="preserve">, 30 October. Available at: </w:t>
      </w:r>
      <w:hyperlink r:id="rId29" w:history="1">
        <w:r>
          <w:rPr>
            <w:rStyle w:val="Hyperlink"/>
          </w:rPr>
          <w:t>https://www.theguardian.com/society/2014/oct/30/punitive-drug-laws-are-failing-study</w:t>
        </w:r>
      </w:hyperlink>
      <w:r>
        <w:t xml:space="preserve"> (Accessed: 1 December 2025).</w:t>
      </w:r>
    </w:p>
    <w:p w14:paraId="1AC485CB" w14:textId="77777777" w:rsidR="00472DBE" w:rsidRDefault="00472DBE" w:rsidP="00472DBE"/>
    <w:p w14:paraId="004D8FFF" w14:textId="77777777" w:rsidR="00472DBE" w:rsidRDefault="00472DBE" w:rsidP="00472DBE">
      <w:r>
        <w:t xml:space="preserve">United Nations Human Rights Office (2023) ‘End overreliance on punitive measures to address drugs problem – UN report’. Available at: </w:t>
      </w:r>
      <w:hyperlink r:id="rId30" w:history="1">
        <w:r>
          <w:rPr>
            <w:rStyle w:val="Hyperlink"/>
          </w:rPr>
          <w:t>https://www.ohchr.org/en/press-releases/2023/09/end-overreliance-punitive-measures-address-drugs-problem-un-report</w:t>
        </w:r>
      </w:hyperlink>
      <w:r>
        <w:t xml:space="preserve"> (Accessed: 2 December 2025).</w:t>
      </w:r>
    </w:p>
    <w:p w14:paraId="3A99D58C" w14:textId="77777777" w:rsidR="00472DBE" w:rsidRDefault="00472DBE" w:rsidP="00472DBE"/>
    <w:p w14:paraId="3AA22045" w14:textId="77777777" w:rsidR="00472DBE" w:rsidRDefault="00472DBE" w:rsidP="00472DBE">
      <w:r>
        <w:t xml:space="preserve">World Health Organization (2019) </w:t>
      </w:r>
      <w:r>
        <w:rPr>
          <w:i/>
          <w:iCs/>
        </w:rPr>
        <w:t>International standards for the treatment of drug use disorders</w:t>
      </w:r>
      <w:r>
        <w:t xml:space="preserve">. Available at: </w:t>
      </w:r>
      <w:hyperlink r:id="rId31" w:history="1">
        <w:r>
          <w:rPr>
            <w:rStyle w:val="Hyperlink"/>
          </w:rPr>
          <w:t>https://www.who.int/publications/i/item/9789241514931</w:t>
        </w:r>
      </w:hyperlink>
      <w:r>
        <w:t xml:space="preserve"> (Accessed: 2 December 2025).</w:t>
      </w:r>
    </w:p>
    <w:p w14:paraId="78BCD912" w14:textId="77777777" w:rsidR="00472DBE" w:rsidRDefault="00472DBE" w:rsidP="00472DBE"/>
    <w:p w14:paraId="7FE077DA" w14:textId="77777777" w:rsidR="00472DBE" w:rsidRDefault="00472DBE" w:rsidP="00472DBE">
      <w:r>
        <w:t xml:space="preserve">YouTube (2020) </w:t>
      </w:r>
      <w:r>
        <w:rPr>
          <w:i/>
          <w:iCs/>
        </w:rPr>
        <w:t>Scottish Drug Policy: Harm Reduction Approaches</w:t>
      </w:r>
      <w:r>
        <w:t>. Edinburgh: Scottish Drugs Forum.</w:t>
      </w:r>
    </w:p>
    <w:p w14:paraId="6162F130" w14:textId="77777777" w:rsidR="00472DBE" w:rsidRDefault="00472DBE" w:rsidP="00472DBE"/>
    <w:p w14:paraId="30633C59" w14:textId="77777777" w:rsidR="008D5698" w:rsidRDefault="008D5698" w:rsidP="008D5698">
      <w:pPr>
        <w:jc w:val="both"/>
        <w:rPr>
          <w:b/>
          <w:bCs/>
          <w:sz w:val="48"/>
          <w:szCs w:val="48"/>
          <w:u w:val="single"/>
        </w:rPr>
      </w:pPr>
    </w:p>
    <w:p w14:paraId="312DA5F5" w14:textId="2A31335B" w:rsidR="008D5698" w:rsidRPr="00BE1FA6" w:rsidRDefault="008D5698" w:rsidP="008D5698">
      <w:pPr>
        <w:jc w:val="both"/>
        <w:rPr>
          <w:rFonts w:ascii="Arial" w:hAnsi="Arial" w:cs="Arial"/>
        </w:rPr>
      </w:pPr>
      <w:r w:rsidRPr="00BE1FA6">
        <w:rPr>
          <w:rFonts w:ascii="Arial" w:hAnsi="Arial" w:cs="Arial"/>
        </w:rPr>
        <w:lastRenderedPageBreak/>
        <w:t>I</w:t>
      </w:r>
      <w:r>
        <w:rPr>
          <w:rFonts w:ascii="Arial" w:hAnsi="Arial" w:cs="Arial"/>
        </w:rPr>
        <w:t xml:space="preserve"> </w:t>
      </w:r>
      <w:r w:rsidRPr="00BE1FA6">
        <w:rPr>
          <w:rFonts w:ascii="Arial" w:hAnsi="Arial" w:cs="Arial"/>
        </w:rPr>
        <w:t>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F44710F" w14:textId="77777777" w:rsidR="008D5698" w:rsidRPr="00A406E5" w:rsidRDefault="008D5698" w:rsidP="008D5698">
      <w:pPr>
        <w:ind w:left="720"/>
        <w:rPr>
          <w:rFonts w:ascii="Arial" w:hAnsi="Arial" w:cs="Arial"/>
        </w:rPr>
      </w:pPr>
    </w:p>
    <w:p w14:paraId="5220035B" w14:textId="77777777" w:rsidR="008D5698" w:rsidRPr="00922F7B" w:rsidRDefault="008D5698" w:rsidP="00472DBE">
      <w:pPr>
        <w:rPr>
          <w:b/>
          <w:bCs/>
          <w:sz w:val="48"/>
          <w:szCs w:val="48"/>
          <w:u w:val="single"/>
        </w:rPr>
      </w:pPr>
    </w:p>
    <w:sectPr w:rsidR="008D5698" w:rsidRPr="00922F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EE4"/>
    <w:rsid w:val="001F5BD0"/>
    <w:rsid w:val="00472DBE"/>
    <w:rsid w:val="0057704B"/>
    <w:rsid w:val="006A2117"/>
    <w:rsid w:val="007E2395"/>
    <w:rsid w:val="00824E40"/>
    <w:rsid w:val="008D5698"/>
    <w:rsid w:val="00922F7B"/>
    <w:rsid w:val="00AA7952"/>
    <w:rsid w:val="00AE3051"/>
    <w:rsid w:val="00B84E41"/>
    <w:rsid w:val="00BE5191"/>
    <w:rsid w:val="00C35154"/>
    <w:rsid w:val="00C75B1F"/>
    <w:rsid w:val="00C826E3"/>
    <w:rsid w:val="00D428D0"/>
    <w:rsid w:val="00F24849"/>
    <w:rsid w:val="00FA176A"/>
    <w:rsid w:val="00FD0F7F"/>
    <w:rsid w:val="00FD21A9"/>
    <w:rsid w:val="00FE6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E428B0"/>
  <w15:chartTrackingRefBased/>
  <w15:docId w15:val="{31EEEE2A-E57B-5A43-951F-4B85925AA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E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6E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6E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6E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6E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6EE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EE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EE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EE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E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6E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6E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6E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6E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6E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6E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6E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6EE4"/>
    <w:rPr>
      <w:rFonts w:eastAsiaTheme="majorEastAsia" w:cstheme="majorBidi"/>
      <w:color w:val="272727" w:themeColor="text1" w:themeTint="D8"/>
    </w:rPr>
  </w:style>
  <w:style w:type="paragraph" w:styleId="Title">
    <w:name w:val="Title"/>
    <w:basedOn w:val="Normal"/>
    <w:next w:val="Normal"/>
    <w:link w:val="TitleChar"/>
    <w:uiPriority w:val="10"/>
    <w:qFormat/>
    <w:rsid w:val="00FE6EE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E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EE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E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E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E6EE4"/>
    <w:rPr>
      <w:i/>
      <w:iCs/>
      <w:color w:val="404040" w:themeColor="text1" w:themeTint="BF"/>
    </w:rPr>
  </w:style>
  <w:style w:type="paragraph" w:styleId="ListParagraph">
    <w:name w:val="List Paragraph"/>
    <w:basedOn w:val="Normal"/>
    <w:uiPriority w:val="34"/>
    <w:qFormat/>
    <w:rsid w:val="00FE6EE4"/>
    <w:pPr>
      <w:ind w:left="720"/>
      <w:contextualSpacing/>
    </w:pPr>
  </w:style>
  <w:style w:type="character" w:styleId="IntenseEmphasis">
    <w:name w:val="Intense Emphasis"/>
    <w:basedOn w:val="DefaultParagraphFont"/>
    <w:uiPriority w:val="21"/>
    <w:qFormat/>
    <w:rsid w:val="00FE6EE4"/>
    <w:rPr>
      <w:i/>
      <w:iCs/>
      <w:color w:val="0F4761" w:themeColor="accent1" w:themeShade="BF"/>
    </w:rPr>
  </w:style>
  <w:style w:type="paragraph" w:styleId="IntenseQuote">
    <w:name w:val="Intense Quote"/>
    <w:basedOn w:val="Normal"/>
    <w:next w:val="Normal"/>
    <w:link w:val="IntenseQuoteChar"/>
    <w:uiPriority w:val="30"/>
    <w:qFormat/>
    <w:rsid w:val="00FE6E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6EE4"/>
    <w:rPr>
      <w:i/>
      <w:iCs/>
      <w:color w:val="0F4761" w:themeColor="accent1" w:themeShade="BF"/>
    </w:rPr>
  </w:style>
  <w:style w:type="character" w:styleId="IntenseReference">
    <w:name w:val="Intense Reference"/>
    <w:basedOn w:val="DefaultParagraphFont"/>
    <w:uiPriority w:val="32"/>
    <w:qFormat/>
    <w:rsid w:val="00FE6EE4"/>
    <w:rPr>
      <w:b/>
      <w:bCs/>
      <w:smallCaps/>
      <w:color w:val="0F4761" w:themeColor="accent1" w:themeShade="BF"/>
      <w:spacing w:val="5"/>
    </w:rPr>
  </w:style>
  <w:style w:type="character" w:styleId="Hyperlink">
    <w:name w:val="Hyperlink"/>
    <w:basedOn w:val="DefaultParagraphFont"/>
    <w:rsid w:val="00472DBE"/>
    <w:rPr>
      <w:color w:val="467886"/>
      <w:u w:val="single"/>
    </w:rPr>
  </w:style>
  <w:style w:type="character" w:styleId="UnresolvedMention">
    <w:name w:val="Unresolved Mention"/>
    <w:basedOn w:val="DefaultParagraphFont"/>
    <w:uiPriority w:val="99"/>
    <w:semiHidden/>
    <w:unhideWhenUsed/>
    <w:rsid w:val="00824E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27177178" TargetMode="External"/><Relationship Id="rId18" Type="http://schemas.openxmlformats.org/officeDocument/2006/relationships/hyperlink" Target="https://www.ons.gov.uk" TargetMode="External"/><Relationship Id="rId26" Type="http://schemas.openxmlformats.org/officeDocument/2006/relationships/hyperlink" Target="https://www.health.org.uk/press-office/press-releases/dramatic-rise-in-drug-related-deaths-fuels-worsening-uk-health-compared-to-other-nations" TargetMode="External"/><Relationship Id="rId3" Type="http://schemas.openxmlformats.org/officeDocument/2006/relationships/webSettings" Target="webSettings.xml"/><Relationship Id="rId21" Type="http://schemas.openxmlformats.org/officeDocument/2006/relationships/hyperlink" Target="https://pharmaceutical-journal.com/article/news/uks-first-safer-drug-consumption-facility-accessed-more-than-2500-times-in-first-four-months-data-show" TargetMode="External"/><Relationship Id="rId7" Type="http://schemas.openxmlformats.org/officeDocument/2006/relationships/hyperlink" Target="https://www.gov.uk/government/publications/independent-review-of-drugs-by-dame-carol-black-government-response" TargetMode="External"/><Relationship Id="rId12" Type="http://schemas.openxmlformats.org/officeDocument/2006/relationships/hyperlink" Target="https://doi.org/10.3109/09687637.2012.743506" TargetMode="External"/><Relationship Id="rId17" Type="http://schemas.openxmlformats.org/officeDocument/2006/relationships/hyperlink" Target="https://www.ons.gov.uk/peoplepopulationandcommunity/crimeandjustice/articles/drugmisuseinenglandandwales/yearendingmarch2023" TargetMode="External"/><Relationship Id="rId25" Type="http://schemas.openxmlformats.org/officeDocument/2006/relationships/hyperlink" Target="https://www.rcp.ac.uk"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3390/ijerph19116575" TargetMode="External"/><Relationship Id="rId20" Type="http://schemas.openxmlformats.org/officeDocument/2006/relationships/hyperlink" Target="https://doi.org/10.1007/978-3-032-07814-8_1" TargetMode="External"/><Relationship Id="rId29" Type="http://schemas.openxmlformats.org/officeDocument/2006/relationships/hyperlink" Target="https://www.theguardian.com/society/2014/oct/30/punitive-drug-laws-are-failing-study?utm_source=chatgpt.com" TargetMode="External"/><Relationship Id="rId1" Type="http://schemas.openxmlformats.org/officeDocument/2006/relationships/styles" Target="styles.xml"/><Relationship Id="rId6" Type="http://schemas.openxmlformats.org/officeDocument/2006/relationships/hyperlink" Target="https://www.gov.uk/government/publications/review-of-drugs-phase-one-report" TargetMode="External"/><Relationship Id="rId11" Type="http://schemas.openxmlformats.org/officeDocument/2006/relationships/hyperlink" Target="https://www.gov.uk/government/publications/from-harm-to-hope-a-10-year-drugs-plan-to-cut-crime-and-save-lives" TargetMode="External"/><Relationship Id="rId24" Type="http://schemas.openxmlformats.org/officeDocument/2006/relationships/hyperlink" Target="https://www.gov.uk/government/statistics" TargetMode="External"/><Relationship Id="rId32" Type="http://schemas.openxmlformats.org/officeDocument/2006/relationships/fontTable" Target="fontTable.xml"/><Relationship Id="rId5" Type="http://schemas.openxmlformats.org/officeDocument/2006/relationships/hyperlink" Target="https://doi.org/10.1159/000507049" TargetMode="External"/><Relationship Id="rId15" Type="http://schemas.openxmlformats.org/officeDocument/2006/relationships/hyperlink" Target="https://doi.org/10.3109/09687631003705546" TargetMode="External"/><Relationship Id="rId23" Type="http://schemas.openxmlformats.org/officeDocument/2006/relationships/hyperlink" Target="https://www.wedinos.org/resources/downloads/WEDINOS_Annual_Report_2023_2024_English.pdf" TargetMode="External"/><Relationship Id="rId28" Type="http://schemas.openxmlformats.org/officeDocument/2006/relationships/hyperlink" Target="https://transformdrugs.org/publications/high-returns-the-economic-benefits-of-uk-cannabis-legalisation" TargetMode="External"/><Relationship Id="rId10" Type="http://schemas.openxmlformats.org/officeDocument/2006/relationships/hyperlink" Target="https://hansard.parliament.uk" TargetMode="External"/><Relationship Id="rId19" Type="http://schemas.openxmlformats.org/officeDocument/2006/relationships/hyperlink" Target="https://www.ons.gov.uk" TargetMode="External"/><Relationship Id="rId31" Type="http://schemas.openxmlformats.org/officeDocument/2006/relationships/hyperlink" Target="https://www.who.int/publications/i/item/9789241514931" TargetMode="External"/><Relationship Id="rId4" Type="http://schemas.openxmlformats.org/officeDocument/2006/relationships/hyperlink" Target="https://doi.org/10.1007/s11292-011-9139-3" TargetMode="External"/><Relationship Id="rId9" Type="http://schemas.openxmlformats.org/officeDocument/2006/relationships/hyperlink" Target="https://www.youtube.com/watch?v=dj_5JkgxmRU" TargetMode="External"/><Relationship Id="rId14" Type="http://schemas.openxmlformats.org/officeDocument/2006/relationships/hyperlink" Target="https://www.gov.uk/government/news/new-sentencing-approach-to-cut-drug-fuelled-crime" TargetMode="External"/><Relationship Id="rId22" Type="http://schemas.openxmlformats.org/officeDocument/2006/relationships/hyperlink" Target="https://doi.org/10.1016/j.drugpo.2024.104367" TargetMode="External"/><Relationship Id="rId27" Type="http://schemas.openxmlformats.org/officeDocument/2006/relationships/hyperlink" Target="https://wearetheloop.org/our-history" TargetMode="External"/><Relationship Id="rId30" Type="http://schemas.openxmlformats.org/officeDocument/2006/relationships/hyperlink" Target="https://www.ohchr.org/en/press-releases/2023/09/end-overreliance-punitive-measures-address-drugs-problem-un-report" TargetMode="External"/><Relationship Id="rId8" Type="http://schemas.openxmlformats.org/officeDocument/2006/relationships/hyperlink" Target="https://longreads.cbs.nl/the-netherlands-in-numbers-2024/how-many-people-use-cannabi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10</Pages>
  <Words>3005</Words>
  <Characters>17134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Or Maddie McCarthy (2500781)</dc:creator>
  <cp:keywords/>
  <dc:description/>
  <cp:lastModifiedBy>Maddison Or Maddie McCarthy (2500781)</cp:lastModifiedBy>
  <cp:revision>15</cp:revision>
  <dcterms:created xsi:type="dcterms:W3CDTF">2025-12-12T19:39:00Z</dcterms:created>
  <dcterms:modified xsi:type="dcterms:W3CDTF">2025-12-12T22:53:00Z</dcterms:modified>
</cp:coreProperties>
</file>