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013CA" w14:textId="77777777" w:rsidR="00FC2D64" w:rsidRPr="00C06DB4" w:rsidRDefault="00FC2D64" w:rsidP="00C06DB4">
      <w:pPr>
        <w:keepNext/>
        <w:keepLines/>
        <w:widowControl w:val="0"/>
        <w:spacing w:line="240" w:lineRule="auto"/>
        <w:ind w:firstLine="0"/>
        <w:jc w:val="center"/>
        <w:rPr>
          <w:rFonts w:ascii="Arial" w:eastAsia="Calibri" w:hAnsi="Arial" w:cs="Arial"/>
          <w:b/>
          <w:bCs/>
          <w:sz w:val="44"/>
          <w:szCs w:val="44"/>
        </w:rPr>
      </w:pPr>
      <w:r w:rsidRPr="00C06DB4">
        <w:rPr>
          <w:rFonts w:ascii="Arial" w:eastAsia="Calibri" w:hAnsi="Arial" w:cs="Arial"/>
          <w:b/>
          <w:bCs/>
          <w:sz w:val="44"/>
          <w:szCs w:val="44"/>
        </w:rPr>
        <w:t>UNIVERSITY OF WALES</w:t>
      </w:r>
    </w:p>
    <w:p w14:paraId="3DA4101D" w14:textId="77777777" w:rsidR="00FC2D64" w:rsidRPr="00C06DB4" w:rsidRDefault="00FC2D64" w:rsidP="00C06DB4">
      <w:pPr>
        <w:keepNext/>
        <w:keepLines/>
        <w:widowControl w:val="0"/>
        <w:spacing w:line="240" w:lineRule="auto"/>
        <w:ind w:firstLine="0"/>
        <w:jc w:val="center"/>
        <w:rPr>
          <w:rFonts w:ascii="Calibri Light" w:eastAsia="Calibri" w:hAnsi="Calibri Light" w:cs="Arial"/>
          <w:color w:val="2F5496"/>
        </w:rPr>
      </w:pPr>
      <w:r w:rsidRPr="00C06DB4">
        <w:rPr>
          <w:rFonts w:ascii="Arial" w:eastAsia="Calibri" w:hAnsi="Arial" w:cs="Arial"/>
          <w:b/>
          <w:bCs/>
          <w:sz w:val="44"/>
          <w:szCs w:val="44"/>
        </w:rPr>
        <w:t>TRINITY SAINT DAVID</w:t>
      </w:r>
    </w:p>
    <w:p w14:paraId="5A0AF94E" w14:textId="447F95E1" w:rsidR="00FC2D64" w:rsidRDefault="00FC2D64" w:rsidP="006E6401">
      <w:pPr>
        <w:keepNext/>
        <w:keepLines/>
        <w:widowControl w:val="0"/>
        <w:ind w:firstLine="0"/>
        <w:jc w:val="center"/>
        <w:rPr>
          <w:rFonts w:ascii="Calibri Light" w:eastAsia="Calibri" w:hAnsi="Calibri Light" w:cs="Arial"/>
          <w:color w:val="2F5496"/>
          <w:sz w:val="24"/>
          <w:szCs w:val="24"/>
        </w:rPr>
      </w:pPr>
    </w:p>
    <w:p w14:paraId="41F5C748" w14:textId="77777777" w:rsidR="00AE0571" w:rsidRDefault="00AE0571" w:rsidP="006E6401">
      <w:pPr>
        <w:keepNext/>
        <w:keepLines/>
        <w:widowControl w:val="0"/>
        <w:ind w:firstLine="0"/>
        <w:jc w:val="center"/>
        <w:rPr>
          <w:rFonts w:ascii="Calibri Light" w:eastAsia="Calibri" w:hAnsi="Calibri Light" w:cs="Arial"/>
          <w:color w:val="2F5496"/>
          <w:sz w:val="24"/>
          <w:szCs w:val="24"/>
        </w:rPr>
      </w:pPr>
    </w:p>
    <w:p w14:paraId="0410C20A" w14:textId="77777777" w:rsidR="00D845AD" w:rsidRDefault="00FC2D64" w:rsidP="00FF59B4">
      <w:pPr>
        <w:widowControl w:val="0"/>
        <w:spacing w:line="276" w:lineRule="auto"/>
        <w:ind w:firstLine="0"/>
        <w:jc w:val="center"/>
        <w:rPr>
          <w:rFonts w:ascii="Arial" w:eastAsia="Calibri" w:hAnsi="Arial" w:cs="Arial"/>
          <w:b/>
          <w:bCs/>
          <w:sz w:val="32"/>
          <w:szCs w:val="32"/>
        </w:rPr>
      </w:pPr>
      <w:r w:rsidRPr="00C06DB4">
        <w:rPr>
          <w:rFonts w:ascii="Arial" w:eastAsia="Calibri" w:hAnsi="Arial" w:cs="Arial"/>
          <w:b/>
          <w:bCs/>
          <w:sz w:val="32"/>
          <w:szCs w:val="32"/>
        </w:rPr>
        <w:t xml:space="preserve">Topic:  </w:t>
      </w:r>
      <w:r w:rsidR="00FF59B4">
        <w:rPr>
          <w:rFonts w:ascii="Arial" w:eastAsia="Calibri" w:hAnsi="Arial" w:cs="Arial"/>
          <w:b/>
          <w:bCs/>
          <w:sz w:val="32"/>
          <w:szCs w:val="32"/>
        </w:rPr>
        <w:t>P</w:t>
      </w:r>
      <w:r w:rsidR="00FF59B4" w:rsidRPr="00FF59B4">
        <w:rPr>
          <w:rFonts w:ascii="Arial" w:eastAsia="Calibri" w:hAnsi="Arial" w:cs="Arial"/>
          <w:b/>
          <w:bCs/>
          <w:sz w:val="32"/>
          <w:szCs w:val="32"/>
        </w:rPr>
        <w:t>atients have been diagnosed with diabetes</w:t>
      </w:r>
    </w:p>
    <w:p w14:paraId="2C04DCA1" w14:textId="11F0992E" w:rsidR="00AE0571" w:rsidRDefault="00D845AD" w:rsidP="00FF59B4">
      <w:pPr>
        <w:widowControl w:val="0"/>
        <w:spacing w:line="276" w:lineRule="auto"/>
        <w:ind w:firstLine="0"/>
        <w:jc w:val="center"/>
        <w:rPr>
          <w:rFonts w:cs="Calibri"/>
        </w:rPr>
      </w:pPr>
      <w:r>
        <w:rPr>
          <w:rFonts w:ascii="Arial" w:eastAsia="Calibri" w:hAnsi="Arial" w:cs="Arial"/>
          <w:b/>
          <w:bCs/>
          <w:sz w:val="32"/>
          <w:szCs w:val="32"/>
        </w:rPr>
        <w:t xml:space="preserve"> </w:t>
      </w:r>
      <w:r w:rsidRPr="00D845AD">
        <w:rPr>
          <w:rFonts w:ascii="Arial" w:eastAsia="Calibri" w:hAnsi="Arial" w:cs="Arial"/>
          <w:b/>
          <w:bCs/>
          <w:sz w:val="32"/>
          <w:szCs w:val="32"/>
        </w:rPr>
        <w:t>(Case Study</w:t>
      </w:r>
      <w:r>
        <w:rPr>
          <w:rFonts w:ascii="Arial" w:eastAsia="Calibri" w:hAnsi="Arial" w:cs="Arial"/>
          <w:b/>
          <w:bCs/>
          <w:sz w:val="32"/>
          <w:szCs w:val="32"/>
        </w:rPr>
        <w:t xml:space="preserve"> 1)</w:t>
      </w:r>
    </w:p>
    <w:p w14:paraId="37E1E0DD" w14:textId="77777777" w:rsidR="00AE0571" w:rsidRDefault="00AE0571" w:rsidP="006E6401">
      <w:pPr>
        <w:ind w:firstLine="0"/>
        <w:jc w:val="center"/>
        <w:rPr>
          <w:rFonts w:ascii="Arial" w:eastAsia="Calibri" w:hAnsi="Arial" w:cs="Arial"/>
          <w:b/>
          <w:bCs/>
          <w:sz w:val="36"/>
          <w:szCs w:val="36"/>
        </w:rPr>
      </w:pPr>
    </w:p>
    <w:p w14:paraId="3E84240F" w14:textId="119649F5" w:rsidR="00C06DB4" w:rsidRDefault="00B118F2" w:rsidP="00C06DB4">
      <w:pPr>
        <w:spacing w:line="240" w:lineRule="auto"/>
        <w:ind w:firstLine="0"/>
        <w:jc w:val="center"/>
        <w:rPr>
          <w:rFonts w:ascii="Arial" w:eastAsia="Calibri" w:hAnsi="Arial" w:cs="Arial"/>
          <w:b/>
          <w:bCs/>
          <w:sz w:val="36"/>
          <w:szCs w:val="36"/>
        </w:rPr>
      </w:pPr>
      <w:r>
        <w:rPr>
          <w:rFonts w:ascii="Arial" w:eastAsia="Calibri" w:hAnsi="Arial" w:cs="Arial"/>
          <w:b/>
          <w:bCs/>
          <w:sz w:val="36"/>
          <w:szCs w:val="36"/>
        </w:rPr>
        <w:t xml:space="preserve">Student: </w:t>
      </w:r>
      <w:r w:rsidR="00DE63DF">
        <w:rPr>
          <w:rFonts w:ascii="Arial" w:eastAsia="Calibri" w:hAnsi="Arial" w:cs="Arial"/>
          <w:b/>
          <w:bCs/>
          <w:sz w:val="36"/>
          <w:szCs w:val="36"/>
        </w:rPr>
        <w:t>Ha</w:t>
      </w:r>
      <w:r w:rsidR="00F11CBC">
        <w:rPr>
          <w:rFonts w:ascii="Arial" w:eastAsia="Calibri" w:hAnsi="Arial" w:cs="Arial"/>
          <w:b/>
          <w:bCs/>
          <w:sz w:val="36"/>
          <w:szCs w:val="36"/>
        </w:rPr>
        <w:t>z</w:t>
      </w:r>
      <w:r w:rsidR="00DE63DF">
        <w:rPr>
          <w:rFonts w:ascii="Arial" w:eastAsia="Calibri" w:hAnsi="Arial" w:cs="Arial"/>
          <w:b/>
          <w:bCs/>
          <w:sz w:val="36"/>
          <w:szCs w:val="36"/>
        </w:rPr>
        <w:t>ra Bibi</w:t>
      </w:r>
      <w:r w:rsidR="00C06DB4">
        <w:rPr>
          <w:rFonts w:ascii="Arial" w:eastAsia="Calibri" w:hAnsi="Arial" w:cs="Arial"/>
          <w:b/>
          <w:bCs/>
          <w:sz w:val="36"/>
          <w:szCs w:val="36"/>
        </w:rPr>
        <w:t>:</w:t>
      </w:r>
    </w:p>
    <w:p w14:paraId="0F424154" w14:textId="2F8B565A" w:rsidR="00AE0571" w:rsidRDefault="00C06DB4" w:rsidP="00C06DB4">
      <w:pPr>
        <w:spacing w:line="240" w:lineRule="auto"/>
        <w:ind w:firstLine="0"/>
        <w:jc w:val="center"/>
        <w:rPr>
          <w:rFonts w:cs="Calibri"/>
        </w:rPr>
      </w:pPr>
      <w:r>
        <w:rPr>
          <w:rFonts w:ascii="Arial" w:eastAsia="Calibri" w:hAnsi="Arial" w:cs="Arial"/>
          <w:b/>
          <w:bCs/>
          <w:sz w:val="36"/>
          <w:szCs w:val="36"/>
        </w:rPr>
        <w:t xml:space="preserve">Student number: </w:t>
      </w:r>
      <w:r w:rsidR="00F11CBC">
        <w:rPr>
          <w:rFonts w:ascii="Arial" w:eastAsia="Calibri" w:hAnsi="Arial" w:cs="Arial"/>
          <w:b/>
          <w:bCs/>
          <w:sz w:val="36"/>
          <w:szCs w:val="36"/>
        </w:rPr>
        <w:t>2420438</w:t>
      </w:r>
    </w:p>
    <w:p w14:paraId="14360834" w14:textId="7D8C2E9C" w:rsidR="00FC2D64" w:rsidRDefault="00FC2D64" w:rsidP="006E6401">
      <w:pPr>
        <w:ind w:firstLine="0"/>
        <w:jc w:val="center"/>
        <w:rPr>
          <w:rFonts w:cs="Calibri"/>
        </w:rPr>
      </w:pPr>
    </w:p>
    <w:p w14:paraId="4E972AD6" w14:textId="77777777" w:rsidR="001E7D9D" w:rsidRDefault="001E7D9D" w:rsidP="006E6401">
      <w:pPr>
        <w:ind w:firstLine="0"/>
        <w:jc w:val="center"/>
        <w:rPr>
          <w:rFonts w:cs="Calibri"/>
        </w:rPr>
      </w:pPr>
    </w:p>
    <w:p w14:paraId="12E753FD" w14:textId="77777777" w:rsidR="001E7D9D" w:rsidRDefault="001E7D9D" w:rsidP="006E6401">
      <w:pPr>
        <w:ind w:firstLine="0"/>
        <w:jc w:val="center"/>
        <w:rPr>
          <w:rFonts w:cs="Calibri"/>
        </w:rPr>
      </w:pPr>
    </w:p>
    <w:p w14:paraId="4C749DDE" w14:textId="3E2CC569" w:rsidR="00B118F2" w:rsidRPr="00C06DB4" w:rsidRDefault="00B118F2" w:rsidP="00C06DB4">
      <w:pPr>
        <w:keepNext/>
        <w:keepLines/>
        <w:widowControl w:val="0"/>
        <w:spacing w:line="240" w:lineRule="auto"/>
        <w:ind w:firstLine="0"/>
        <w:jc w:val="center"/>
        <w:rPr>
          <w:rFonts w:ascii="Arial" w:eastAsia="Calibri" w:hAnsi="Arial" w:cs="Arial"/>
          <w:b/>
          <w:bCs/>
          <w:sz w:val="32"/>
          <w:szCs w:val="32"/>
        </w:rPr>
      </w:pPr>
      <w:r w:rsidRPr="00C06DB4">
        <w:rPr>
          <w:rFonts w:ascii="Arial" w:eastAsia="Calibri" w:hAnsi="Arial" w:cs="Arial"/>
          <w:b/>
          <w:bCs/>
          <w:sz w:val="32"/>
          <w:szCs w:val="32"/>
        </w:rPr>
        <w:t>Programme</w:t>
      </w:r>
      <w:r w:rsidR="00FC2D64" w:rsidRPr="00C06DB4">
        <w:rPr>
          <w:rFonts w:ascii="Arial" w:eastAsia="Calibri" w:hAnsi="Arial" w:cs="Arial"/>
          <w:b/>
          <w:bCs/>
          <w:sz w:val="32"/>
          <w:szCs w:val="32"/>
        </w:rPr>
        <w:t>: Skills for the Workplace Health and Social Care</w:t>
      </w:r>
    </w:p>
    <w:p w14:paraId="3C883138" w14:textId="77777777" w:rsidR="00AE0571" w:rsidRDefault="00AE0571" w:rsidP="006E6401">
      <w:pPr>
        <w:keepNext/>
        <w:keepLines/>
        <w:widowControl w:val="0"/>
        <w:ind w:firstLine="0"/>
        <w:jc w:val="center"/>
        <w:rPr>
          <w:rFonts w:ascii="Arial" w:eastAsia="Calibri" w:hAnsi="Arial" w:cs="Arial"/>
          <w:b/>
          <w:bCs/>
          <w:sz w:val="36"/>
          <w:szCs w:val="36"/>
        </w:rPr>
      </w:pPr>
    </w:p>
    <w:p w14:paraId="6199071A" w14:textId="77777777" w:rsidR="00C06DB4" w:rsidRDefault="00C06DB4" w:rsidP="006E6401">
      <w:pPr>
        <w:keepNext/>
        <w:keepLines/>
        <w:widowControl w:val="0"/>
        <w:ind w:firstLine="0"/>
        <w:jc w:val="center"/>
        <w:rPr>
          <w:rFonts w:ascii="Arial" w:eastAsia="Calibri" w:hAnsi="Arial" w:cs="Arial"/>
          <w:b/>
          <w:bCs/>
          <w:sz w:val="36"/>
          <w:szCs w:val="36"/>
        </w:rPr>
      </w:pPr>
    </w:p>
    <w:p w14:paraId="33410116" w14:textId="77777777" w:rsidR="001E7D9D" w:rsidRDefault="001E7D9D" w:rsidP="006E6401">
      <w:pPr>
        <w:keepNext/>
        <w:keepLines/>
        <w:widowControl w:val="0"/>
        <w:ind w:firstLine="0"/>
        <w:jc w:val="center"/>
        <w:rPr>
          <w:rFonts w:ascii="Arial" w:eastAsia="Calibri" w:hAnsi="Arial" w:cs="Arial"/>
          <w:b/>
          <w:bCs/>
          <w:sz w:val="36"/>
          <w:szCs w:val="36"/>
        </w:rPr>
      </w:pPr>
    </w:p>
    <w:p w14:paraId="7A9F919E" w14:textId="0557205E" w:rsidR="00B118F2" w:rsidRPr="00C06DB4" w:rsidRDefault="00B118F2" w:rsidP="003B3337">
      <w:pPr>
        <w:keepNext/>
        <w:keepLines/>
        <w:widowControl w:val="0"/>
        <w:spacing w:line="240" w:lineRule="auto"/>
        <w:ind w:firstLine="0"/>
        <w:jc w:val="center"/>
        <w:rPr>
          <w:rFonts w:ascii="Arial" w:eastAsia="Calibri" w:hAnsi="Arial" w:cs="Arial"/>
          <w:b/>
          <w:bCs/>
          <w:sz w:val="32"/>
          <w:szCs w:val="32"/>
        </w:rPr>
      </w:pPr>
      <w:r w:rsidRPr="00C06DB4">
        <w:rPr>
          <w:rFonts w:ascii="Arial" w:eastAsia="Calibri" w:hAnsi="Arial" w:cs="Arial"/>
          <w:b/>
          <w:bCs/>
          <w:sz w:val="32"/>
          <w:szCs w:val="32"/>
        </w:rPr>
        <w:t xml:space="preserve">Module: </w:t>
      </w:r>
      <w:r w:rsidR="00BB36CD" w:rsidRPr="00BB36CD">
        <w:rPr>
          <w:rFonts w:ascii="Arial" w:eastAsia="Calibri" w:hAnsi="Arial" w:cs="Arial"/>
          <w:b/>
          <w:bCs/>
          <w:sz w:val="32"/>
          <w:szCs w:val="32"/>
        </w:rPr>
        <w:t xml:space="preserve">Introduction to </w:t>
      </w:r>
      <w:r w:rsidR="00D845AD" w:rsidRPr="00BB36CD">
        <w:rPr>
          <w:rFonts w:ascii="Arial" w:eastAsia="Calibri" w:hAnsi="Arial" w:cs="Arial"/>
          <w:b/>
          <w:bCs/>
          <w:sz w:val="32"/>
          <w:szCs w:val="32"/>
        </w:rPr>
        <w:t xml:space="preserve">Physiology </w:t>
      </w:r>
      <w:r w:rsidR="00D845AD">
        <w:rPr>
          <w:rFonts w:ascii="Arial" w:eastAsia="Calibri" w:hAnsi="Arial" w:cs="Arial"/>
          <w:b/>
          <w:bCs/>
          <w:sz w:val="32"/>
          <w:szCs w:val="32"/>
        </w:rPr>
        <w:t>BMHP</w:t>
      </w:r>
      <w:r w:rsidR="00BB36CD" w:rsidRPr="00BB36CD">
        <w:rPr>
          <w:rFonts w:ascii="Arial" w:eastAsia="Calibri" w:hAnsi="Arial" w:cs="Arial"/>
          <w:b/>
          <w:bCs/>
          <w:sz w:val="32"/>
          <w:szCs w:val="32"/>
        </w:rPr>
        <w:t>5023</w:t>
      </w:r>
    </w:p>
    <w:p w14:paraId="181DB13E" w14:textId="77777777" w:rsidR="00AE0571" w:rsidRDefault="00AE0571" w:rsidP="006E6401">
      <w:pPr>
        <w:ind w:firstLine="0"/>
        <w:jc w:val="center"/>
        <w:rPr>
          <w:rFonts w:ascii="Arial" w:eastAsia="Calibri" w:hAnsi="Arial" w:cs="Arial"/>
          <w:b/>
          <w:bCs/>
          <w:sz w:val="32"/>
          <w:szCs w:val="32"/>
        </w:rPr>
      </w:pPr>
    </w:p>
    <w:p w14:paraId="1BA7D073" w14:textId="77777777" w:rsidR="001E7D9D" w:rsidRDefault="001E7D9D" w:rsidP="006E6401">
      <w:pPr>
        <w:ind w:firstLine="0"/>
        <w:jc w:val="center"/>
        <w:rPr>
          <w:rFonts w:ascii="Arial" w:eastAsia="Calibri" w:hAnsi="Arial" w:cs="Arial"/>
          <w:b/>
          <w:bCs/>
          <w:sz w:val="32"/>
          <w:szCs w:val="32"/>
        </w:rPr>
      </w:pPr>
    </w:p>
    <w:p w14:paraId="46C429D6" w14:textId="3F948DBE" w:rsidR="00FC2D64" w:rsidRDefault="00FC2D64" w:rsidP="006E6401">
      <w:pPr>
        <w:ind w:firstLine="0"/>
        <w:jc w:val="center"/>
        <w:rPr>
          <w:rFonts w:ascii="Arial" w:eastAsia="Calibri" w:hAnsi="Arial" w:cs="Arial"/>
          <w:b/>
          <w:bCs/>
          <w:sz w:val="32"/>
          <w:szCs w:val="32"/>
        </w:rPr>
      </w:pPr>
    </w:p>
    <w:p w14:paraId="433EF988" w14:textId="1EC6F59A" w:rsidR="00B118F2" w:rsidRPr="00B118F2" w:rsidRDefault="00B118F2" w:rsidP="006E6401">
      <w:pPr>
        <w:ind w:firstLine="0"/>
        <w:jc w:val="center"/>
        <w:rPr>
          <w:rFonts w:ascii="Arial" w:eastAsia="Calibri" w:hAnsi="Arial" w:cs="Arial"/>
          <w:b/>
          <w:bCs/>
          <w:sz w:val="36"/>
          <w:szCs w:val="36"/>
        </w:rPr>
      </w:pPr>
      <w:r>
        <w:rPr>
          <w:rFonts w:ascii="Arial" w:eastAsia="Calibri" w:hAnsi="Arial" w:cs="Arial"/>
          <w:b/>
          <w:bCs/>
          <w:sz w:val="36"/>
          <w:szCs w:val="36"/>
        </w:rPr>
        <w:t xml:space="preserve">Lecture: </w:t>
      </w:r>
      <w:r w:rsidRPr="00B118F2">
        <w:rPr>
          <w:rFonts w:ascii="Arial" w:eastAsia="Calibri" w:hAnsi="Arial" w:cs="Arial"/>
          <w:b/>
          <w:bCs/>
          <w:sz w:val="36"/>
          <w:szCs w:val="36"/>
        </w:rPr>
        <w:t xml:space="preserve">Dr </w:t>
      </w:r>
      <w:r w:rsidR="00156EEC" w:rsidRPr="00156EEC">
        <w:rPr>
          <w:rFonts w:ascii="Arial" w:eastAsia="Calibri" w:hAnsi="Arial" w:cs="Arial"/>
          <w:b/>
          <w:bCs/>
          <w:sz w:val="36"/>
          <w:szCs w:val="36"/>
        </w:rPr>
        <w:t>Gillian Weaver</w:t>
      </w:r>
    </w:p>
    <w:p w14:paraId="20BF08D3" w14:textId="410E8319" w:rsidR="00FC2D64" w:rsidRDefault="00FC2D64" w:rsidP="006E6401">
      <w:pPr>
        <w:ind w:firstLine="0"/>
        <w:jc w:val="center"/>
        <w:rPr>
          <w:rFonts w:ascii="Arial" w:eastAsia="Calibri" w:hAnsi="Arial" w:cs="Arial"/>
          <w:b/>
          <w:bCs/>
          <w:sz w:val="32"/>
          <w:szCs w:val="32"/>
        </w:rPr>
      </w:pPr>
    </w:p>
    <w:p w14:paraId="5BC24C69" w14:textId="64C81E16" w:rsidR="00FC2D64" w:rsidRDefault="00FC2D64" w:rsidP="006E6401">
      <w:pPr>
        <w:ind w:firstLine="0"/>
        <w:jc w:val="center"/>
        <w:rPr>
          <w:rFonts w:ascii="Arial" w:eastAsia="Calibri" w:hAnsi="Arial" w:cs="Arial"/>
          <w:b/>
          <w:bCs/>
          <w:sz w:val="32"/>
          <w:szCs w:val="32"/>
        </w:rPr>
      </w:pPr>
    </w:p>
    <w:p w14:paraId="0DF8AD07" w14:textId="77777777" w:rsidR="001E7D9D" w:rsidRDefault="001E7D9D" w:rsidP="006E6401">
      <w:pPr>
        <w:ind w:firstLine="0"/>
        <w:jc w:val="center"/>
        <w:rPr>
          <w:rFonts w:ascii="Arial" w:eastAsia="Calibri" w:hAnsi="Arial" w:cs="Arial"/>
          <w:b/>
          <w:bCs/>
          <w:sz w:val="32"/>
          <w:szCs w:val="32"/>
        </w:rPr>
      </w:pPr>
    </w:p>
    <w:p w14:paraId="20170C89" w14:textId="77777777" w:rsidR="00AE0571" w:rsidRPr="00AE0571" w:rsidRDefault="00AE0571" w:rsidP="006E6401">
      <w:pPr>
        <w:ind w:firstLine="0"/>
        <w:jc w:val="center"/>
        <w:rPr>
          <w:rFonts w:ascii="Arial" w:eastAsia="Calibri" w:hAnsi="Arial" w:cs="Arial"/>
          <w:b/>
          <w:bCs/>
          <w:sz w:val="12"/>
          <w:szCs w:val="12"/>
        </w:rPr>
      </w:pPr>
    </w:p>
    <w:p w14:paraId="0D5E4A36" w14:textId="543EF3F5" w:rsidR="00BE2BFF" w:rsidRDefault="00156EEC" w:rsidP="00BE2BFF">
      <w:pPr>
        <w:keepNext/>
        <w:keepLines/>
        <w:widowControl w:val="0"/>
        <w:ind w:firstLine="0"/>
        <w:jc w:val="center"/>
        <w:rPr>
          <w:rFonts w:ascii="Arial" w:eastAsia="Calibri" w:hAnsi="Arial" w:cs="Arial"/>
          <w:b/>
          <w:bCs/>
          <w:sz w:val="36"/>
          <w:szCs w:val="36"/>
        </w:rPr>
      </w:pPr>
      <w:r>
        <w:rPr>
          <w:rFonts w:ascii="Arial" w:eastAsia="Calibri" w:hAnsi="Arial" w:cs="Arial"/>
          <w:b/>
          <w:bCs/>
          <w:sz w:val="36"/>
          <w:szCs w:val="36"/>
        </w:rPr>
        <w:t>2</w:t>
      </w:r>
      <w:r w:rsidR="00D845AD">
        <w:rPr>
          <w:rFonts w:ascii="Arial" w:eastAsia="Calibri" w:hAnsi="Arial" w:cs="Arial"/>
          <w:b/>
          <w:bCs/>
          <w:sz w:val="36"/>
          <w:szCs w:val="36"/>
        </w:rPr>
        <w:t>8</w:t>
      </w:r>
      <w:r w:rsidR="00FC2D64">
        <w:rPr>
          <w:rFonts w:ascii="Arial" w:eastAsia="Calibri" w:hAnsi="Arial" w:cs="Arial"/>
          <w:b/>
          <w:bCs/>
          <w:sz w:val="36"/>
          <w:szCs w:val="36"/>
        </w:rPr>
        <w:t>/</w:t>
      </w:r>
      <w:r>
        <w:rPr>
          <w:rFonts w:ascii="Arial" w:eastAsia="Calibri" w:hAnsi="Arial" w:cs="Arial"/>
          <w:b/>
          <w:bCs/>
          <w:sz w:val="36"/>
          <w:szCs w:val="36"/>
        </w:rPr>
        <w:t>06</w:t>
      </w:r>
      <w:r w:rsidR="00FC2D64">
        <w:rPr>
          <w:rFonts w:ascii="Arial" w:eastAsia="Calibri" w:hAnsi="Arial" w:cs="Arial"/>
          <w:b/>
          <w:bCs/>
          <w:sz w:val="36"/>
          <w:szCs w:val="36"/>
        </w:rPr>
        <w:t>/2</w:t>
      </w:r>
      <w:r w:rsidR="00B118F2">
        <w:rPr>
          <w:rFonts w:ascii="Arial" w:eastAsia="Calibri" w:hAnsi="Arial" w:cs="Arial"/>
          <w:b/>
          <w:bCs/>
          <w:sz w:val="36"/>
          <w:szCs w:val="36"/>
        </w:rPr>
        <w:t>5</w:t>
      </w:r>
    </w:p>
    <w:p w14:paraId="08D5A1EC" w14:textId="77777777" w:rsidR="00BE2BFF" w:rsidRDefault="00BE2BFF" w:rsidP="001E7D9D">
      <w:pPr>
        <w:ind w:firstLine="0"/>
      </w:pPr>
    </w:p>
    <w:sdt>
      <w:sdtPr>
        <w:rPr>
          <w:rFonts w:ascii="Calibri" w:eastAsia="Times New Roman" w:hAnsi="Calibri" w:cs="Times New Roman"/>
          <w:color w:val="auto"/>
          <w:sz w:val="22"/>
          <w:szCs w:val="22"/>
          <w:lang w:eastAsia="zh-CN"/>
        </w:rPr>
        <w:id w:val="-1186438017"/>
        <w:docPartObj>
          <w:docPartGallery w:val="Table of Contents"/>
          <w:docPartUnique/>
        </w:docPartObj>
      </w:sdtPr>
      <w:sdtEndPr>
        <w:rPr>
          <w:b/>
          <w:bCs/>
        </w:rPr>
      </w:sdtEndPr>
      <w:sdtContent>
        <w:p w14:paraId="6C742946" w14:textId="6E58B856" w:rsidR="0016511C" w:rsidRDefault="0016511C">
          <w:pPr>
            <w:pStyle w:val="TOCHeading"/>
          </w:pPr>
          <w:r>
            <w:t>Contents</w:t>
          </w:r>
        </w:p>
        <w:p w14:paraId="23D743D0" w14:textId="7F693D5F" w:rsidR="00645899" w:rsidRPr="000346E3" w:rsidRDefault="0016511C">
          <w:pPr>
            <w:pStyle w:val="TOC1"/>
            <w:tabs>
              <w:tab w:val="right" w:leader="dot" w:pos="9016"/>
            </w:tabs>
            <w:rPr>
              <w:rFonts w:ascii="Arial" w:eastAsiaTheme="minorEastAsia" w:hAnsi="Arial" w:cs="Arial"/>
              <w:noProof/>
              <w:kern w:val="2"/>
              <w:lang w:eastAsia="en-GB"/>
              <w14:ligatures w14:val="standardContextual"/>
            </w:rPr>
          </w:pPr>
          <w:r>
            <w:fldChar w:fldCharType="begin"/>
          </w:r>
          <w:r>
            <w:instrText xml:space="preserve"> TOC \o "1-3" \h \z \u </w:instrText>
          </w:r>
          <w:r>
            <w:fldChar w:fldCharType="separate"/>
          </w:r>
          <w:hyperlink w:anchor="_Toc233364734" w:history="1">
            <w:r w:rsidR="00645899" w:rsidRPr="000346E3">
              <w:rPr>
                <w:rStyle w:val="Hyperlink"/>
                <w:rFonts w:ascii="Arial" w:hAnsi="Arial" w:cs="Arial"/>
                <w:noProof/>
                <w:sz w:val="20"/>
                <w:szCs w:val="20"/>
              </w:rPr>
              <w:t>1. Introduction</w:t>
            </w:r>
            <w:r w:rsidR="00645899" w:rsidRPr="000346E3">
              <w:rPr>
                <w:rFonts w:ascii="Arial" w:hAnsi="Arial" w:cs="Arial"/>
                <w:noProof/>
                <w:webHidden/>
                <w:sz w:val="20"/>
                <w:szCs w:val="20"/>
              </w:rPr>
              <w:tab/>
            </w:r>
            <w:r w:rsidR="00645899" w:rsidRPr="000346E3">
              <w:rPr>
                <w:rFonts w:ascii="Arial" w:hAnsi="Arial" w:cs="Arial"/>
                <w:noProof/>
                <w:webHidden/>
                <w:sz w:val="20"/>
                <w:szCs w:val="20"/>
              </w:rPr>
              <w:fldChar w:fldCharType="begin"/>
            </w:r>
            <w:r w:rsidR="00645899" w:rsidRPr="000346E3">
              <w:rPr>
                <w:rFonts w:ascii="Arial" w:hAnsi="Arial" w:cs="Arial"/>
                <w:noProof/>
                <w:webHidden/>
                <w:sz w:val="20"/>
                <w:szCs w:val="20"/>
              </w:rPr>
              <w:instrText xml:space="preserve"> PAGEREF _Toc233364734 \h </w:instrText>
            </w:r>
            <w:r w:rsidR="00645899" w:rsidRPr="000346E3">
              <w:rPr>
                <w:rFonts w:ascii="Arial" w:hAnsi="Arial" w:cs="Arial"/>
                <w:noProof/>
                <w:webHidden/>
                <w:sz w:val="20"/>
                <w:szCs w:val="20"/>
              </w:rPr>
            </w:r>
            <w:r w:rsidR="00645899" w:rsidRPr="000346E3">
              <w:rPr>
                <w:rFonts w:ascii="Arial" w:hAnsi="Arial" w:cs="Arial"/>
                <w:noProof/>
                <w:webHidden/>
                <w:sz w:val="20"/>
                <w:szCs w:val="20"/>
              </w:rPr>
              <w:fldChar w:fldCharType="separate"/>
            </w:r>
            <w:r w:rsidR="00645899" w:rsidRPr="000346E3">
              <w:rPr>
                <w:rFonts w:ascii="Arial" w:hAnsi="Arial" w:cs="Arial"/>
                <w:noProof/>
                <w:webHidden/>
                <w:sz w:val="20"/>
                <w:szCs w:val="20"/>
              </w:rPr>
              <w:t>3</w:t>
            </w:r>
            <w:r w:rsidR="00645899" w:rsidRPr="000346E3">
              <w:rPr>
                <w:rFonts w:ascii="Arial" w:hAnsi="Arial" w:cs="Arial"/>
                <w:noProof/>
                <w:webHidden/>
                <w:sz w:val="20"/>
                <w:szCs w:val="20"/>
              </w:rPr>
              <w:fldChar w:fldCharType="end"/>
            </w:r>
          </w:hyperlink>
        </w:p>
        <w:p w14:paraId="1451396A" w14:textId="3C152105" w:rsidR="00645899" w:rsidRPr="000346E3" w:rsidRDefault="00645899">
          <w:pPr>
            <w:pStyle w:val="TOC1"/>
            <w:tabs>
              <w:tab w:val="right" w:leader="dot" w:pos="9016"/>
            </w:tabs>
            <w:rPr>
              <w:rFonts w:ascii="Arial" w:eastAsiaTheme="minorEastAsia" w:hAnsi="Arial" w:cs="Arial"/>
              <w:noProof/>
              <w:kern w:val="2"/>
              <w:lang w:eastAsia="en-GB"/>
              <w14:ligatures w14:val="standardContextual"/>
            </w:rPr>
          </w:pPr>
          <w:hyperlink w:anchor="_Toc233364735" w:history="1">
            <w:r w:rsidRPr="000346E3">
              <w:rPr>
                <w:rStyle w:val="Hyperlink"/>
                <w:rFonts w:ascii="Arial" w:hAnsi="Arial" w:cs="Arial"/>
                <w:noProof/>
                <w:sz w:val="20"/>
                <w:szCs w:val="20"/>
              </w:rPr>
              <w:t>2. How Blood sugar levels are maintained at a safe and effective level for the body's needs</w:t>
            </w:r>
            <w:r w:rsidRPr="000346E3">
              <w:rPr>
                <w:rFonts w:ascii="Arial" w:hAnsi="Arial" w:cs="Arial"/>
                <w:noProof/>
                <w:webHidden/>
                <w:sz w:val="20"/>
                <w:szCs w:val="20"/>
              </w:rPr>
              <w:tab/>
            </w:r>
            <w:r w:rsidRPr="000346E3">
              <w:rPr>
                <w:rFonts w:ascii="Arial" w:hAnsi="Arial" w:cs="Arial"/>
                <w:noProof/>
                <w:webHidden/>
                <w:sz w:val="20"/>
                <w:szCs w:val="20"/>
              </w:rPr>
              <w:fldChar w:fldCharType="begin"/>
            </w:r>
            <w:r w:rsidRPr="000346E3">
              <w:rPr>
                <w:rFonts w:ascii="Arial" w:hAnsi="Arial" w:cs="Arial"/>
                <w:noProof/>
                <w:webHidden/>
                <w:sz w:val="20"/>
                <w:szCs w:val="20"/>
              </w:rPr>
              <w:instrText xml:space="preserve"> PAGEREF _Toc233364735 \h </w:instrText>
            </w:r>
            <w:r w:rsidRPr="000346E3">
              <w:rPr>
                <w:rFonts w:ascii="Arial" w:hAnsi="Arial" w:cs="Arial"/>
                <w:noProof/>
                <w:webHidden/>
                <w:sz w:val="20"/>
                <w:szCs w:val="20"/>
              </w:rPr>
            </w:r>
            <w:r w:rsidRPr="000346E3">
              <w:rPr>
                <w:rFonts w:ascii="Arial" w:hAnsi="Arial" w:cs="Arial"/>
                <w:noProof/>
                <w:webHidden/>
                <w:sz w:val="20"/>
                <w:szCs w:val="20"/>
              </w:rPr>
              <w:fldChar w:fldCharType="separate"/>
            </w:r>
            <w:r w:rsidRPr="000346E3">
              <w:rPr>
                <w:rFonts w:ascii="Arial" w:hAnsi="Arial" w:cs="Arial"/>
                <w:noProof/>
                <w:webHidden/>
                <w:sz w:val="20"/>
                <w:szCs w:val="20"/>
              </w:rPr>
              <w:t>4</w:t>
            </w:r>
            <w:r w:rsidRPr="000346E3">
              <w:rPr>
                <w:rFonts w:ascii="Arial" w:hAnsi="Arial" w:cs="Arial"/>
                <w:noProof/>
                <w:webHidden/>
                <w:sz w:val="20"/>
                <w:szCs w:val="20"/>
              </w:rPr>
              <w:fldChar w:fldCharType="end"/>
            </w:r>
          </w:hyperlink>
        </w:p>
        <w:p w14:paraId="0B14497D" w14:textId="5925182D" w:rsidR="00645899" w:rsidRPr="000346E3" w:rsidRDefault="00645899">
          <w:pPr>
            <w:pStyle w:val="TOC1"/>
            <w:tabs>
              <w:tab w:val="right" w:leader="dot" w:pos="9016"/>
            </w:tabs>
            <w:rPr>
              <w:rFonts w:ascii="Arial" w:eastAsiaTheme="minorEastAsia" w:hAnsi="Arial" w:cs="Arial"/>
              <w:noProof/>
              <w:kern w:val="2"/>
              <w:lang w:eastAsia="en-GB"/>
              <w14:ligatures w14:val="standardContextual"/>
            </w:rPr>
          </w:pPr>
          <w:hyperlink w:anchor="_Toc233364736" w:history="1">
            <w:r w:rsidRPr="000346E3">
              <w:rPr>
                <w:rStyle w:val="Hyperlink"/>
                <w:rFonts w:ascii="Arial" w:hAnsi="Arial" w:cs="Arial"/>
                <w:noProof/>
                <w:sz w:val="20"/>
                <w:szCs w:val="20"/>
              </w:rPr>
              <w:t>3. How Oxygen and Glucose produce energy through cell metabolism</w:t>
            </w:r>
            <w:r w:rsidRPr="000346E3">
              <w:rPr>
                <w:rFonts w:ascii="Arial" w:hAnsi="Arial" w:cs="Arial"/>
                <w:noProof/>
                <w:webHidden/>
                <w:sz w:val="20"/>
                <w:szCs w:val="20"/>
              </w:rPr>
              <w:tab/>
            </w:r>
            <w:r w:rsidRPr="000346E3">
              <w:rPr>
                <w:rFonts w:ascii="Arial" w:hAnsi="Arial" w:cs="Arial"/>
                <w:noProof/>
                <w:webHidden/>
                <w:sz w:val="20"/>
                <w:szCs w:val="20"/>
              </w:rPr>
              <w:fldChar w:fldCharType="begin"/>
            </w:r>
            <w:r w:rsidRPr="000346E3">
              <w:rPr>
                <w:rFonts w:ascii="Arial" w:hAnsi="Arial" w:cs="Arial"/>
                <w:noProof/>
                <w:webHidden/>
                <w:sz w:val="20"/>
                <w:szCs w:val="20"/>
              </w:rPr>
              <w:instrText xml:space="preserve"> PAGEREF _Toc233364736 \h </w:instrText>
            </w:r>
            <w:r w:rsidRPr="000346E3">
              <w:rPr>
                <w:rFonts w:ascii="Arial" w:hAnsi="Arial" w:cs="Arial"/>
                <w:noProof/>
                <w:webHidden/>
                <w:sz w:val="20"/>
                <w:szCs w:val="20"/>
              </w:rPr>
            </w:r>
            <w:r w:rsidRPr="000346E3">
              <w:rPr>
                <w:rFonts w:ascii="Arial" w:hAnsi="Arial" w:cs="Arial"/>
                <w:noProof/>
                <w:webHidden/>
                <w:sz w:val="20"/>
                <w:szCs w:val="20"/>
              </w:rPr>
              <w:fldChar w:fldCharType="separate"/>
            </w:r>
            <w:r w:rsidRPr="000346E3">
              <w:rPr>
                <w:rFonts w:ascii="Arial" w:hAnsi="Arial" w:cs="Arial"/>
                <w:noProof/>
                <w:webHidden/>
                <w:sz w:val="20"/>
                <w:szCs w:val="20"/>
              </w:rPr>
              <w:t>5</w:t>
            </w:r>
            <w:r w:rsidRPr="000346E3">
              <w:rPr>
                <w:rFonts w:ascii="Arial" w:hAnsi="Arial" w:cs="Arial"/>
                <w:noProof/>
                <w:webHidden/>
                <w:sz w:val="20"/>
                <w:szCs w:val="20"/>
              </w:rPr>
              <w:fldChar w:fldCharType="end"/>
            </w:r>
          </w:hyperlink>
        </w:p>
        <w:p w14:paraId="2453F9CF" w14:textId="23EA63FB" w:rsidR="00645899" w:rsidRPr="000346E3" w:rsidRDefault="00645899">
          <w:pPr>
            <w:pStyle w:val="TOC1"/>
            <w:tabs>
              <w:tab w:val="right" w:leader="dot" w:pos="9016"/>
            </w:tabs>
            <w:rPr>
              <w:rFonts w:ascii="Arial" w:eastAsiaTheme="minorEastAsia" w:hAnsi="Arial" w:cs="Arial"/>
              <w:noProof/>
              <w:kern w:val="2"/>
              <w:lang w:eastAsia="en-GB"/>
              <w14:ligatures w14:val="standardContextual"/>
            </w:rPr>
          </w:pPr>
          <w:hyperlink w:anchor="_Toc233364737" w:history="1">
            <w:r w:rsidRPr="000346E3">
              <w:rPr>
                <w:rStyle w:val="Hyperlink"/>
                <w:rFonts w:ascii="Arial" w:hAnsi="Arial" w:cs="Arial"/>
                <w:noProof/>
                <w:sz w:val="20"/>
                <w:szCs w:val="20"/>
              </w:rPr>
              <w:t>4.  Recording and tracking blood sugar levels how Type 2 diabetes can be safely managing their condition</w:t>
            </w:r>
            <w:r w:rsidRPr="000346E3">
              <w:rPr>
                <w:rFonts w:ascii="Arial" w:hAnsi="Arial" w:cs="Arial"/>
                <w:noProof/>
                <w:webHidden/>
                <w:sz w:val="20"/>
                <w:szCs w:val="20"/>
              </w:rPr>
              <w:tab/>
            </w:r>
            <w:r w:rsidRPr="000346E3">
              <w:rPr>
                <w:rFonts w:ascii="Arial" w:hAnsi="Arial" w:cs="Arial"/>
                <w:noProof/>
                <w:webHidden/>
                <w:sz w:val="20"/>
                <w:szCs w:val="20"/>
              </w:rPr>
              <w:fldChar w:fldCharType="begin"/>
            </w:r>
            <w:r w:rsidRPr="000346E3">
              <w:rPr>
                <w:rFonts w:ascii="Arial" w:hAnsi="Arial" w:cs="Arial"/>
                <w:noProof/>
                <w:webHidden/>
                <w:sz w:val="20"/>
                <w:szCs w:val="20"/>
              </w:rPr>
              <w:instrText xml:space="preserve"> PAGEREF _Toc233364737 \h </w:instrText>
            </w:r>
            <w:r w:rsidRPr="000346E3">
              <w:rPr>
                <w:rFonts w:ascii="Arial" w:hAnsi="Arial" w:cs="Arial"/>
                <w:noProof/>
                <w:webHidden/>
                <w:sz w:val="20"/>
                <w:szCs w:val="20"/>
              </w:rPr>
            </w:r>
            <w:r w:rsidRPr="000346E3">
              <w:rPr>
                <w:rFonts w:ascii="Arial" w:hAnsi="Arial" w:cs="Arial"/>
                <w:noProof/>
                <w:webHidden/>
                <w:sz w:val="20"/>
                <w:szCs w:val="20"/>
              </w:rPr>
              <w:fldChar w:fldCharType="separate"/>
            </w:r>
            <w:r w:rsidRPr="000346E3">
              <w:rPr>
                <w:rFonts w:ascii="Arial" w:hAnsi="Arial" w:cs="Arial"/>
                <w:noProof/>
                <w:webHidden/>
                <w:sz w:val="20"/>
                <w:szCs w:val="20"/>
              </w:rPr>
              <w:t>7</w:t>
            </w:r>
            <w:r w:rsidRPr="000346E3">
              <w:rPr>
                <w:rFonts w:ascii="Arial" w:hAnsi="Arial" w:cs="Arial"/>
                <w:noProof/>
                <w:webHidden/>
                <w:sz w:val="20"/>
                <w:szCs w:val="20"/>
              </w:rPr>
              <w:fldChar w:fldCharType="end"/>
            </w:r>
          </w:hyperlink>
        </w:p>
        <w:p w14:paraId="44A332EC" w14:textId="11D8D423" w:rsidR="00645899" w:rsidRPr="000346E3" w:rsidRDefault="00645899">
          <w:pPr>
            <w:pStyle w:val="TOC1"/>
            <w:tabs>
              <w:tab w:val="right" w:leader="dot" w:pos="9016"/>
            </w:tabs>
            <w:rPr>
              <w:rFonts w:ascii="Arial" w:eastAsiaTheme="minorEastAsia" w:hAnsi="Arial" w:cs="Arial"/>
              <w:noProof/>
              <w:kern w:val="2"/>
              <w:lang w:eastAsia="en-GB"/>
              <w14:ligatures w14:val="standardContextual"/>
            </w:rPr>
          </w:pPr>
          <w:hyperlink w:anchor="_Toc233364738" w:history="1">
            <w:r w:rsidRPr="000346E3">
              <w:rPr>
                <w:rStyle w:val="Hyperlink"/>
                <w:rFonts w:ascii="Arial" w:hAnsi="Arial" w:cs="Arial"/>
                <w:noProof/>
                <w:sz w:val="20"/>
                <w:szCs w:val="20"/>
              </w:rPr>
              <w:t>5. Evidence-based recommendations</w:t>
            </w:r>
            <w:r w:rsidRPr="000346E3">
              <w:rPr>
                <w:rFonts w:ascii="Arial" w:hAnsi="Arial" w:cs="Arial"/>
                <w:noProof/>
                <w:webHidden/>
                <w:sz w:val="20"/>
                <w:szCs w:val="20"/>
              </w:rPr>
              <w:tab/>
            </w:r>
            <w:r w:rsidRPr="000346E3">
              <w:rPr>
                <w:rFonts w:ascii="Arial" w:hAnsi="Arial" w:cs="Arial"/>
                <w:noProof/>
                <w:webHidden/>
                <w:sz w:val="20"/>
                <w:szCs w:val="20"/>
              </w:rPr>
              <w:fldChar w:fldCharType="begin"/>
            </w:r>
            <w:r w:rsidRPr="000346E3">
              <w:rPr>
                <w:rFonts w:ascii="Arial" w:hAnsi="Arial" w:cs="Arial"/>
                <w:noProof/>
                <w:webHidden/>
                <w:sz w:val="20"/>
                <w:szCs w:val="20"/>
              </w:rPr>
              <w:instrText xml:space="preserve"> PAGEREF _Toc233364738 \h </w:instrText>
            </w:r>
            <w:r w:rsidRPr="000346E3">
              <w:rPr>
                <w:rFonts w:ascii="Arial" w:hAnsi="Arial" w:cs="Arial"/>
                <w:noProof/>
                <w:webHidden/>
                <w:sz w:val="20"/>
                <w:szCs w:val="20"/>
              </w:rPr>
            </w:r>
            <w:r w:rsidRPr="000346E3">
              <w:rPr>
                <w:rFonts w:ascii="Arial" w:hAnsi="Arial" w:cs="Arial"/>
                <w:noProof/>
                <w:webHidden/>
                <w:sz w:val="20"/>
                <w:szCs w:val="20"/>
              </w:rPr>
              <w:fldChar w:fldCharType="separate"/>
            </w:r>
            <w:r w:rsidRPr="000346E3">
              <w:rPr>
                <w:rFonts w:ascii="Arial" w:hAnsi="Arial" w:cs="Arial"/>
                <w:noProof/>
                <w:webHidden/>
                <w:sz w:val="20"/>
                <w:szCs w:val="20"/>
              </w:rPr>
              <w:t>8</w:t>
            </w:r>
            <w:r w:rsidRPr="000346E3">
              <w:rPr>
                <w:rFonts w:ascii="Arial" w:hAnsi="Arial" w:cs="Arial"/>
                <w:noProof/>
                <w:webHidden/>
                <w:sz w:val="20"/>
                <w:szCs w:val="20"/>
              </w:rPr>
              <w:fldChar w:fldCharType="end"/>
            </w:r>
          </w:hyperlink>
        </w:p>
        <w:p w14:paraId="43E54E77" w14:textId="5D111570" w:rsidR="00645899" w:rsidRPr="000346E3" w:rsidRDefault="00645899">
          <w:pPr>
            <w:pStyle w:val="TOC1"/>
            <w:tabs>
              <w:tab w:val="right" w:leader="dot" w:pos="9016"/>
            </w:tabs>
            <w:rPr>
              <w:rFonts w:ascii="Arial" w:eastAsiaTheme="minorEastAsia" w:hAnsi="Arial" w:cs="Arial"/>
              <w:noProof/>
              <w:kern w:val="2"/>
              <w:lang w:eastAsia="en-GB"/>
              <w14:ligatures w14:val="standardContextual"/>
            </w:rPr>
          </w:pPr>
          <w:hyperlink w:anchor="_Toc233364739" w:history="1">
            <w:r w:rsidRPr="000346E3">
              <w:rPr>
                <w:rStyle w:val="Hyperlink"/>
                <w:rFonts w:ascii="Arial" w:hAnsi="Arial" w:cs="Arial"/>
                <w:noProof/>
                <w:sz w:val="20"/>
                <w:szCs w:val="20"/>
              </w:rPr>
              <w:t>6. Conclusion</w:t>
            </w:r>
            <w:r w:rsidRPr="000346E3">
              <w:rPr>
                <w:rFonts w:ascii="Arial" w:hAnsi="Arial" w:cs="Arial"/>
                <w:noProof/>
                <w:webHidden/>
                <w:sz w:val="20"/>
                <w:szCs w:val="20"/>
              </w:rPr>
              <w:tab/>
            </w:r>
            <w:r w:rsidRPr="000346E3">
              <w:rPr>
                <w:rFonts w:ascii="Arial" w:hAnsi="Arial" w:cs="Arial"/>
                <w:noProof/>
                <w:webHidden/>
                <w:sz w:val="20"/>
                <w:szCs w:val="20"/>
              </w:rPr>
              <w:fldChar w:fldCharType="begin"/>
            </w:r>
            <w:r w:rsidRPr="000346E3">
              <w:rPr>
                <w:rFonts w:ascii="Arial" w:hAnsi="Arial" w:cs="Arial"/>
                <w:noProof/>
                <w:webHidden/>
                <w:sz w:val="20"/>
                <w:szCs w:val="20"/>
              </w:rPr>
              <w:instrText xml:space="preserve"> PAGEREF _Toc233364739 \h </w:instrText>
            </w:r>
            <w:r w:rsidRPr="000346E3">
              <w:rPr>
                <w:rFonts w:ascii="Arial" w:hAnsi="Arial" w:cs="Arial"/>
                <w:noProof/>
                <w:webHidden/>
                <w:sz w:val="20"/>
                <w:szCs w:val="20"/>
              </w:rPr>
            </w:r>
            <w:r w:rsidRPr="000346E3">
              <w:rPr>
                <w:rFonts w:ascii="Arial" w:hAnsi="Arial" w:cs="Arial"/>
                <w:noProof/>
                <w:webHidden/>
                <w:sz w:val="20"/>
                <w:szCs w:val="20"/>
              </w:rPr>
              <w:fldChar w:fldCharType="separate"/>
            </w:r>
            <w:r w:rsidRPr="000346E3">
              <w:rPr>
                <w:rFonts w:ascii="Arial" w:hAnsi="Arial" w:cs="Arial"/>
                <w:noProof/>
                <w:webHidden/>
                <w:sz w:val="20"/>
                <w:szCs w:val="20"/>
              </w:rPr>
              <w:t>10</w:t>
            </w:r>
            <w:r w:rsidRPr="000346E3">
              <w:rPr>
                <w:rFonts w:ascii="Arial" w:hAnsi="Arial" w:cs="Arial"/>
                <w:noProof/>
                <w:webHidden/>
                <w:sz w:val="20"/>
                <w:szCs w:val="20"/>
              </w:rPr>
              <w:fldChar w:fldCharType="end"/>
            </w:r>
          </w:hyperlink>
        </w:p>
        <w:p w14:paraId="4F00170D" w14:textId="383F7CA9" w:rsidR="00645899" w:rsidRPr="000346E3" w:rsidRDefault="00645899">
          <w:pPr>
            <w:pStyle w:val="TOC1"/>
            <w:tabs>
              <w:tab w:val="right" w:leader="dot" w:pos="9016"/>
            </w:tabs>
            <w:rPr>
              <w:rFonts w:ascii="Arial" w:eastAsiaTheme="minorEastAsia" w:hAnsi="Arial" w:cs="Arial"/>
              <w:noProof/>
              <w:kern w:val="2"/>
              <w:lang w:eastAsia="en-GB"/>
              <w14:ligatures w14:val="standardContextual"/>
            </w:rPr>
          </w:pPr>
          <w:hyperlink w:anchor="_Toc233364740" w:history="1">
            <w:r w:rsidRPr="000346E3">
              <w:rPr>
                <w:rStyle w:val="Hyperlink"/>
                <w:rFonts w:ascii="Arial" w:hAnsi="Arial" w:cs="Arial"/>
                <w:noProof/>
                <w:sz w:val="20"/>
                <w:szCs w:val="20"/>
              </w:rPr>
              <w:t>References:</w:t>
            </w:r>
            <w:r w:rsidRPr="000346E3">
              <w:rPr>
                <w:rFonts w:ascii="Arial" w:hAnsi="Arial" w:cs="Arial"/>
                <w:noProof/>
                <w:webHidden/>
                <w:sz w:val="20"/>
                <w:szCs w:val="20"/>
              </w:rPr>
              <w:tab/>
            </w:r>
            <w:r w:rsidRPr="000346E3">
              <w:rPr>
                <w:rFonts w:ascii="Arial" w:hAnsi="Arial" w:cs="Arial"/>
                <w:noProof/>
                <w:webHidden/>
                <w:sz w:val="20"/>
                <w:szCs w:val="20"/>
              </w:rPr>
              <w:fldChar w:fldCharType="begin"/>
            </w:r>
            <w:r w:rsidRPr="000346E3">
              <w:rPr>
                <w:rFonts w:ascii="Arial" w:hAnsi="Arial" w:cs="Arial"/>
                <w:noProof/>
                <w:webHidden/>
                <w:sz w:val="20"/>
                <w:szCs w:val="20"/>
              </w:rPr>
              <w:instrText xml:space="preserve"> PAGEREF _Toc233364740 \h </w:instrText>
            </w:r>
            <w:r w:rsidRPr="000346E3">
              <w:rPr>
                <w:rFonts w:ascii="Arial" w:hAnsi="Arial" w:cs="Arial"/>
                <w:noProof/>
                <w:webHidden/>
                <w:sz w:val="20"/>
                <w:szCs w:val="20"/>
              </w:rPr>
            </w:r>
            <w:r w:rsidRPr="000346E3">
              <w:rPr>
                <w:rFonts w:ascii="Arial" w:hAnsi="Arial" w:cs="Arial"/>
                <w:noProof/>
                <w:webHidden/>
                <w:sz w:val="20"/>
                <w:szCs w:val="20"/>
              </w:rPr>
              <w:fldChar w:fldCharType="separate"/>
            </w:r>
            <w:r w:rsidRPr="000346E3">
              <w:rPr>
                <w:rFonts w:ascii="Arial" w:hAnsi="Arial" w:cs="Arial"/>
                <w:noProof/>
                <w:webHidden/>
                <w:sz w:val="20"/>
                <w:szCs w:val="20"/>
              </w:rPr>
              <w:t>11</w:t>
            </w:r>
            <w:r w:rsidRPr="000346E3">
              <w:rPr>
                <w:rFonts w:ascii="Arial" w:hAnsi="Arial" w:cs="Arial"/>
                <w:noProof/>
                <w:webHidden/>
                <w:sz w:val="20"/>
                <w:szCs w:val="20"/>
              </w:rPr>
              <w:fldChar w:fldCharType="end"/>
            </w:r>
          </w:hyperlink>
        </w:p>
        <w:p w14:paraId="3F6042CA" w14:textId="5181362C" w:rsidR="0016511C" w:rsidRDefault="0016511C">
          <w:r>
            <w:rPr>
              <w:b/>
              <w:bCs/>
            </w:rPr>
            <w:fldChar w:fldCharType="end"/>
          </w:r>
        </w:p>
      </w:sdtContent>
    </w:sdt>
    <w:p w14:paraId="3FD02F5F" w14:textId="77777777" w:rsidR="00F0302D" w:rsidRPr="009D4F84" w:rsidRDefault="00F0302D" w:rsidP="0093295C">
      <w:pPr>
        <w:ind w:firstLine="0"/>
        <w:jc w:val="left"/>
        <w:rPr>
          <w:rFonts w:ascii="Arial" w:hAnsi="Arial" w:cs="Arial"/>
        </w:rPr>
      </w:pPr>
    </w:p>
    <w:p w14:paraId="54917392" w14:textId="77777777" w:rsidR="00F0302D" w:rsidRPr="0065539E" w:rsidRDefault="00F0302D" w:rsidP="0065539E">
      <w:pPr>
        <w:ind w:firstLine="0"/>
        <w:jc w:val="center"/>
        <w:rPr>
          <w:rFonts w:ascii="Arial" w:hAnsi="Arial" w:cs="Arial"/>
          <w:sz w:val="20"/>
          <w:szCs w:val="20"/>
        </w:rPr>
      </w:pPr>
    </w:p>
    <w:p w14:paraId="31FE57DF" w14:textId="77777777" w:rsidR="00F0302D" w:rsidRDefault="00F0302D" w:rsidP="00BE2BFF">
      <w:pPr>
        <w:ind w:firstLine="0"/>
        <w:jc w:val="left"/>
        <w:rPr>
          <w:rFonts w:ascii="Arial" w:hAnsi="Arial" w:cs="Arial"/>
          <w:b/>
          <w:bCs/>
        </w:rPr>
      </w:pPr>
    </w:p>
    <w:p w14:paraId="4616217E" w14:textId="77777777" w:rsidR="00F0302D" w:rsidRDefault="00F0302D" w:rsidP="00BE2BFF">
      <w:pPr>
        <w:ind w:firstLine="0"/>
        <w:jc w:val="left"/>
        <w:rPr>
          <w:rFonts w:ascii="Arial" w:hAnsi="Arial" w:cs="Arial"/>
          <w:b/>
          <w:bCs/>
        </w:rPr>
      </w:pPr>
    </w:p>
    <w:p w14:paraId="27B17624" w14:textId="77777777" w:rsidR="00F0302D" w:rsidRDefault="00F0302D" w:rsidP="00BE2BFF">
      <w:pPr>
        <w:ind w:firstLine="0"/>
        <w:jc w:val="left"/>
        <w:rPr>
          <w:rFonts w:ascii="Arial" w:hAnsi="Arial" w:cs="Arial"/>
          <w:b/>
          <w:bCs/>
        </w:rPr>
      </w:pPr>
    </w:p>
    <w:p w14:paraId="23DD22F0" w14:textId="77777777" w:rsidR="00602D61" w:rsidRDefault="00602D61" w:rsidP="00BE2BFF">
      <w:pPr>
        <w:ind w:firstLine="0"/>
        <w:jc w:val="left"/>
        <w:rPr>
          <w:rFonts w:ascii="Arial" w:hAnsi="Arial" w:cs="Arial"/>
          <w:b/>
          <w:bCs/>
        </w:rPr>
      </w:pPr>
    </w:p>
    <w:p w14:paraId="0119B948" w14:textId="77777777" w:rsidR="00602D61" w:rsidRDefault="00602D61" w:rsidP="00BE2BFF">
      <w:pPr>
        <w:ind w:firstLine="0"/>
        <w:jc w:val="left"/>
        <w:rPr>
          <w:rFonts w:ascii="Arial" w:hAnsi="Arial" w:cs="Arial"/>
          <w:b/>
          <w:bCs/>
        </w:rPr>
      </w:pPr>
    </w:p>
    <w:p w14:paraId="52BD6E9C" w14:textId="77777777" w:rsidR="00602D61" w:rsidRDefault="00602D61" w:rsidP="00BE2BFF">
      <w:pPr>
        <w:ind w:firstLine="0"/>
        <w:jc w:val="left"/>
        <w:rPr>
          <w:rFonts w:ascii="Arial" w:hAnsi="Arial" w:cs="Arial"/>
          <w:b/>
          <w:bCs/>
        </w:rPr>
      </w:pPr>
    </w:p>
    <w:p w14:paraId="395E5434" w14:textId="77777777" w:rsidR="00602D61" w:rsidRDefault="00602D61" w:rsidP="00BE2BFF">
      <w:pPr>
        <w:ind w:firstLine="0"/>
        <w:jc w:val="left"/>
        <w:rPr>
          <w:rFonts w:ascii="Arial" w:hAnsi="Arial" w:cs="Arial"/>
          <w:b/>
          <w:bCs/>
        </w:rPr>
      </w:pPr>
    </w:p>
    <w:p w14:paraId="5D6D7B98" w14:textId="77777777" w:rsidR="00602D61" w:rsidRDefault="00602D61" w:rsidP="00BE2BFF">
      <w:pPr>
        <w:ind w:firstLine="0"/>
        <w:jc w:val="left"/>
        <w:rPr>
          <w:rFonts w:ascii="Arial" w:hAnsi="Arial" w:cs="Arial"/>
          <w:b/>
          <w:bCs/>
        </w:rPr>
      </w:pPr>
    </w:p>
    <w:p w14:paraId="3876B569" w14:textId="77777777" w:rsidR="00602D61" w:rsidRDefault="00602D61" w:rsidP="00BE2BFF">
      <w:pPr>
        <w:ind w:firstLine="0"/>
        <w:jc w:val="left"/>
        <w:rPr>
          <w:rFonts w:ascii="Arial" w:hAnsi="Arial" w:cs="Arial"/>
          <w:b/>
          <w:bCs/>
        </w:rPr>
      </w:pPr>
    </w:p>
    <w:p w14:paraId="34B0686E" w14:textId="77777777" w:rsidR="00602D61" w:rsidRDefault="00602D61" w:rsidP="00BE2BFF">
      <w:pPr>
        <w:ind w:firstLine="0"/>
        <w:jc w:val="left"/>
        <w:rPr>
          <w:rFonts w:ascii="Arial" w:hAnsi="Arial" w:cs="Arial"/>
          <w:b/>
          <w:bCs/>
        </w:rPr>
      </w:pPr>
    </w:p>
    <w:p w14:paraId="00766D46" w14:textId="77777777" w:rsidR="00602D61" w:rsidRDefault="00602D61" w:rsidP="00BE2BFF">
      <w:pPr>
        <w:ind w:firstLine="0"/>
        <w:jc w:val="left"/>
        <w:rPr>
          <w:rFonts w:ascii="Arial" w:hAnsi="Arial" w:cs="Arial"/>
          <w:b/>
          <w:bCs/>
        </w:rPr>
      </w:pPr>
    </w:p>
    <w:p w14:paraId="0064AFA7" w14:textId="77777777" w:rsidR="00602D61" w:rsidRDefault="00602D61" w:rsidP="00BE2BFF">
      <w:pPr>
        <w:ind w:firstLine="0"/>
        <w:jc w:val="left"/>
        <w:rPr>
          <w:rFonts w:ascii="Arial" w:hAnsi="Arial" w:cs="Arial"/>
          <w:b/>
          <w:bCs/>
        </w:rPr>
      </w:pPr>
    </w:p>
    <w:p w14:paraId="439E18E7" w14:textId="77777777" w:rsidR="00602D61" w:rsidRDefault="00602D61" w:rsidP="00BE2BFF">
      <w:pPr>
        <w:ind w:firstLine="0"/>
        <w:jc w:val="left"/>
        <w:rPr>
          <w:rFonts w:ascii="Arial" w:hAnsi="Arial" w:cs="Arial"/>
          <w:b/>
          <w:bCs/>
        </w:rPr>
      </w:pPr>
    </w:p>
    <w:p w14:paraId="3F6945F3" w14:textId="77777777" w:rsidR="00602D61" w:rsidRDefault="00602D61" w:rsidP="00BE2BFF">
      <w:pPr>
        <w:ind w:firstLine="0"/>
        <w:jc w:val="left"/>
        <w:rPr>
          <w:rFonts w:ascii="Arial" w:hAnsi="Arial" w:cs="Arial"/>
          <w:b/>
          <w:bCs/>
        </w:rPr>
      </w:pPr>
    </w:p>
    <w:p w14:paraId="7A8A2BB1" w14:textId="77777777" w:rsidR="003F54DB" w:rsidRDefault="003F54DB" w:rsidP="00BE2BFF">
      <w:pPr>
        <w:ind w:firstLine="0"/>
        <w:jc w:val="left"/>
        <w:rPr>
          <w:rFonts w:ascii="Arial" w:hAnsi="Arial" w:cs="Arial"/>
          <w:b/>
          <w:bCs/>
        </w:rPr>
      </w:pPr>
    </w:p>
    <w:p w14:paraId="0582A671" w14:textId="77777777" w:rsidR="00F34197" w:rsidRDefault="00F34197" w:rsidP="00BE2BFF">
      <w:pPr>
        <w:ind w:firstLine="0"/>
        <w:jc w:val="left"/>
        <w:rPr>
          <w:rFonts w:ascii="Arial" w:hAnsi="Arial" w:cs="Arial"/>
          <w:b/>
          <w:bCs/>
        </w:rPr>
      </w:pPr>
    </w:p>
    <w:p w14:paraId="7A6CDB3C" w14:textId="77777777" w:rsidR="00F34197" w:rsidRDefault="00F34197" w:rsidP="00BE2BFF">
      <w:pPr>
        <w:ind w:firstLine="0"/>
        <w:jc w:val="left"/>
        <w:rPr>
          <w:rFonts w:ascii="Arial" w:hAnsi="Arial" w:cs="Arial"/>
          <w:b/>
          <w:bCs/>
        </w:rPr>
      </w:pPr>
    </w:p>
    <w:p w14:paraId="141984D9" w14:textId="77777777" w:rsidR="00F34197" w:rsidRDefault="00F34197" w:rsidP="00BE2BFF">
      <w:pPr>
        <w:ind w:firstLine="0"/>
        <w:jc w:val="left"/>
        <w:rPr>
          <w:rFonts w:ascii="Arial" w:hAnsi="Arial" w:cs="Arial"/>
          <w:b/>
          <w:bCs/>
        </w:rPr>
      </w:pPr>
    </w:p>
    <w:p w14:paraId="4D5AECF6" w14:textId="77777777" w:rsidR="00F34197" w:rsidRDefault="00F34197" w:rsidP="00BE2BFF">
      <w:pPr>
        <w:ind w:firstLine="0"/>
        <w:jc w:val="left"/>
        <w:rPr>
          <w:rFonts w:ascii="Arial" w:hAnsi="Arial" w:cs="Arial"/>
          <w:b/>
          <w:bCs/>
        </w:rPr>
      </w:pPr>
    </w:p>
    <w:p w14:paraId="510F85D8" w14:textId="77777777" w:rsidR="00F34197" w:rsidRDefault="00F34197" w:rsidP="00BE2BFF">
      <w:pPr>
        <w:ind w:firstLine="0"/>
        <w:jc w:val="left"/>
        <w:rPr>
          <w:rFonts w:ascii="Arial" w:hAnsi="Arial" w:cs="Arial"/>
          <w:b/>
          <w:bCs/>
        </w:rPr>
      </w:pPr>
    </w:p>
    <w:p w14:paraId="4A45387F" w14:textId="77777777" w:rsidR="004F312B" w:rsidRDefault="004F312B" w:rsidP="00BE2BFF">
      <w:pPr>
        <w:ind w:firstLine="0"/>
        <w:jc w:val="left"/>
        <w:rPr>
          <w:rFonts w:ascii="Arial" w:hAnsi="Arial" w:cs="Arial"/>
          <w:b/>
          <w:bCs/>
        </w:rPr>
      </w:pPr>
    </w:p>
    <w:p w14:paraId="63DB1D9F" w14:textId="77777777" w:rsidR="004F312B" w:rsidRDefault="004F312B" w:rsidP="00BE2BFF">
      <w:pPr>
        <w:ind w:firstLine="0"/>
        <w:jc w:val="left"/>
        <w:rPr>
          <w:rFonts w:ascii="Arial" w:hAnsi="Arial" w:cs="Arial"/>
          <w:b/>
          <w:bCs/>
        </w:rPr>
      </w:pPr>
    </w:p>
    <w:p w14:paraId="38245D48" w14:textId="281564CC" w:rsidR="004F312B" w:rsidRDefault="00C66DAE" w:rsidP="00E5008C">
      <w:pPr>
        <w:pStyle w:val="Heading1"/>
        <w:rPr>
          <w:b/>
          <w:bCs/>
          <w:sz w:val="22"/>
          <w:szCs w:val="22"/>
        </w:rPr>
      </w:pPr>
      <w:bookmarkStart w:id="0" w:name="_Toc233364734"/>
      <w:r>
        <w:rPr>
          <w:b/>
          <w:bCs/>
          <w:sz w:val="22"/>
          <w:szCs w:val="22"/>
        </w:rPr>
        <w:lastRenderedPageBreak/>
        <w:t xml:space="preserve">1. </w:t>
      </w:r>
      <w:r w:rsidR="00DD5625" w:rsidRPr="00E5008C">
        <w:rPr>
          <w:b/>
          <w:bCs/>
          <w:sz w:val="22"/>
          <w:szCs w:val="22"/>
        </w:rPr>
        <w:t>Introduction</w:t>
      </w:r>
      <w:bookmarkEnd w:id="0"/>
    </w:p>
    <w:p w14:paraId="68D39A42" w14:textId="0C8FFC3D" w:rsidR="00F878A5" w:rsidRPr="00F878A5" w:rsidRDefault="00F878A5" w:rsidP="00F878A5">
      <w:pPr>
        <w:rPr>
          <w:rFonts w:ascii="Arial" w:hAnsi="Arial" w:cs="Arial"/>
        </w:rPr>
      </w:pPr>
      <w:r w:rsidRPr="00F878A5">
        <w:rPr>
          <w:rFonts w:ascii="Arial" w:hAnsi="Arial" w:cs="Arial"/>
        </w:rPr>
        <w:t>Due to its rising incidence and consequences, type 2 diabetes mellitus (T2DM) is a serious public health issue. The body becomes insulin-resistant or unable to generate enough insulin to sustain normal blood glucose levels. Long-term hyperglycaemia damages blood arteries, neurones, and key organs, increasing the risk of cardiovascular disease, renal disease, vision impairment, and lower limb issues. To manage diabetes effectively, one must understand the physiological processes that control blood glucose and sustain cellular function as well as the proper medical therapy.</w:t>
      </w:r>
    </w:p>
    <w:p w14:paraId="14E156A9" w14:textId="18D1C4B9" w:rsidR="00F878A5" w:rsidRPr="00F878A5" w:rsidRDefault="00F878A5" w:rsidP="00F878A5">
      <w:pPr>
        <w:rPr>
          <w:rFonts w:ascii="Arial" w:hAnsi="Arial" w:cs="Arial"/>
        </w:rPr>
      </w:pPr>
      <w:r w:rsidRPr="00F878A5">
        <w:rPr>
          <w:rFonts w:ascii="Arial" w:hAnsi="Arial" w:cs="Arial"/>
        </w:rPr>
        <w:t>Maintaining blood glucose homeostasis is crucial to the body's energy needs, as this essay explains. Insulin and glucagon use homeostatic feedback mechanisms to keep blood glucose levels safe. The subject then turns to how glucose and oxygen make ATP during cellular metabolism, which powers the body. Type 2 diabetics should record and monitor blood glucose levels to assist self-management and evidence-based clinical decision-making. The last section offers evidence-based lifestyle changes to improve glycaemic management, prevent long-term problems, and improve quality of life. These conversations cover the physiological fundamentals of Type 2 diabetes care and emphasise the need of patient education, constant monitoring, and good lifestyle strategies for long-term health.</w:t>
      </w:r>
    </w:p>
    <w:p w14:paraId="439BF68B" w14:textId="77777777" w:rsidR="004F312B" w:rsidRDefault="004F312B" w:rsidP="00BE2BFF">
      <w:pPr>
        <w:ind w:firstLine="0"/>
        <w:jc w:val="left"/>
        <w:rPr>
          <w:rFonts w:ascii="Arial" w:hAnsi="Arial" w:cs="Arial"/>
          <w:b/>
          <w:bCs/>
        </w:rPr>
      </w:pPr>
    </w:p>
    <w:p w14:paraId="3B0267FE" w14:textId="77777777" w:rsidR="004F312B" w:rsidRDefault="004F312B" w:rsidP="00BE2BFF">
      <w:pPr>
        <w:ind w:firstLine="0"/>
        <w:jc w:val="left"/>
        <w:rPr>
          <w:rFonts w:ascii="Arial" w:hAnsi="Arial" w:cs="Arial"/>
          <w:b/>
          <w:bCs/>
        </w:rPr>
      </w:pPr>
    </w:p>
    <w:p w14:paraId="7CCA4744" w14:textId="77777777" w:rsidR="004F312B" w:rsidRDefault="004F312B" w:rsidP="00BE2BFF">
      <w:pPr>
        <w:ind w:firstLine="0"/>
        <w:jc w:val="left"/>
        <w:rPr>
          <w:rFonts w:ascii="Arial" w:hAnsi="Arial" w:cs="Arial"/>
          <w:b/>
          <w:bCs/>
        </w:rPr>
      </w:pPr>
    </w:p>
    <w:p w14:paraId="2FB0912B" w14:textId="77777777" w:rsidR="004F312B" w:rsidRDefault="004F312B" w:rsidP="00BE2BFF">
      <w:pPr>
        <w:ind w:firstLine="0"/>
        <w:jc w:val="left"/>
        <w:rPr>
          <w:rFonts w:ascii="Arial" w:hAnsi="Arial" w:cs="Arial"/>
          <w:b/>
          <w:bCs/>
        </w:rPr>
      </w:pPr>
    </w:p>
    <w:p w14:paraId="47623606" w14:textId="77777777" w:rsidR="004F312B" w:rsidRDefault="004F312B" w:rsidP="00BE2BFF">
      <w:pPr>
        <w:ind w:firstLine="0"/>
        <w:jc w:val="left"/>
        <w:rPr>
          <w:rFonts w:ascii="Arial" w:hAnsi="Arial" w:cs="Arial"/>
          <w:b/>
          <w:bCs/>
        </w:rPr>
      </w:pPr>
    </w:p>
    <w:p w14:paraId="5449D7AC" w14:textId="77777777" w:rsidR="004F312B" w:rsidRDefault="004F312B" w:rsidP="00BE2BFF">
      <w:pPr>
        <w:ind w:firstLine="0"/>
        <w:jc w:val="left"/>
        <w:rPr>
          <w:rFonts w:ascii="Arial" w:hAnsi="Arial" w:cs="Arial"/>
          <w:b/>
          <w:bCs/>
        </w:rPr>
      </w:pPr>
    </w:p>
    <w:p w14:paraId="51D20B94" w14:textId="77777777" w:rsidR="004F312B" w:rsidRDefault="004F312B" w:rsidP="00BE2BFF">
      <w:pPr>
        <w:ind w:firstLine="0"/>
        <w:jc w:val="left"/>
        <w:rPr>
          <w:rFonts w:ascii="Arial" w:hAnsi="Arial" w:cs="Arial"/>
          <w:b/>
          <w:bCs/>
        </w:rPr>
      </w:pPr>
    </w:p>
    <w:p w14:paraId="2F3BF69F" w14:textId="77777777" w:rsidR="004F312B" w:rsidRDefault="004F312B" w:rsidP="00BE2BFF">
      <w:pPr>
        <w:ind w:firstLine="0"/>
        <w:jc w:val="left"/>
        <w:rPr>
          <w:rFonts w:ascii="Arial" w:hAnsi="Arial" w:cs="Arial"/>
          <w:b/>
          <w:bCs/>
        </w:rPr>
      </w:pPr>
    </w:p>
    <w:p w14:paraId="4936B0E7" w14:textId="77777777" w:rsidR="004F312B" w:rsidRDefault="004F312B" w:rsidP="00BE2BFF">
      <w:pPr>
        <w:ind w:firstLine="0"/>
        <w:jc w:val="left"/>
        <w:rPr>
          <w:rFonts w:ascii="Arial" w:hAnsi="Arial" w:cs="Arial"/>
          <w:b/>
          <w:bCs/>
        </w:rPr>
      </w:pPr>
    </w:p>
    <w:p w14:paraId="3300AE81" w14:textId="77777777" w:rsidR="004F312B" w:rsidRDefault="004F312B" w:rsidP="00BE2BFF">
      <w:pPr>
        <w:ind w:firstLine="0"/>
        <w:jc w:val="left"/>
        <w:rPr>
          <w:rFonts w:ascii="Arial" w:hAnsi="Arial" w:cs="Arial"/>
          <w:b/>
          <w:bCs/>
        </w:rPr>
      </w:pPr>
    </w:p>
    <w:p w14:paraId="17836368" w14:textId="77777777" w:rsidR="004F312B" w:rsidRDefault="004F312B" w:rsidP="00BE2BFF">
      <w:pPr>
        <w:ind w:firstLine="0"/>
        <w:jc w:val="left"/>
        <w:rPr>
          <w:rFonts w:ascii="Arial" w:hAnsi="Arial" w:cs="Arial"/>
          <w:b/>
          <w:bCs/>
        </w:rPr>
      </w:pPr>
    </w:p>
    <w:p w14:paraId="7B72CA23" w14:textId="77777777" w:rsidR="004F312B" w:rsidRDefault="004F312B" w:rsidP="00BE2BFF">
      <w:pPr>
        <w:ind w:firstLine="0"/>
        <w:jc w:val="left"/>
        <w:rPr>
          <w:rFonts w:ascii="Arial" w:hAnsi="Arial" w:cs="Arial"/>
          <w:b/>
          <w:bCs/>
        </w:rPr>
      </w:pPr>
    </w:p>
    <w:p w14:paraId="04FCEF17" w14:textId="77777777" w:rsidR="004F312B" w:rsidRDefault="004F312B" w:rsidP="00BE2BFF">
      <w:pPr>
        <w:ind w:firstLine="0"/>
        <w:jc w:val="left"/>
        <w:rPr>
          <w:rFonts w:ascii="Arial" w:hAnsi="Arial" w:cs="Arial"/>
          <w:b/>
          <w:bCs/>
        </w:rPr>
      </w:pPr>
    </w:p>
    <w:p w14:paraId="4C95E06E" w14:textId="77777777" w:rsidR="004F312B" w:rsidRDefault="004F312B" w:rsidP="00BE2BFF">
      <w:pPr>
        <w:ind w:firstLine="0"/>
        <w:jc w:val="left"/>
        <w:rPr>
          <w:rFonts w:ascii="Arial" w:hAnsi="Arial" w:cs="Arial"/>
          <w:b/>
          <w:bCs/>
        </w:rPr>
      </w:pPr>
    </w:p>
    <w:p w14:paraId="3A0DADA9" w14:textId="77777777" w:rsidR="004F312B" w:rsidRDefault="004F312B" w:rsidP="00BE2BFF">
      <w:pPr>
        <w:ind w:firstLine="0"/>
        <w:jc w:val="left"/>
        <w:rPr>
          <w:rFonts w:ascii="Arial" w:hAnsi="Arial" w:cs="Arial"/>
          <w:b/>
          <w:bCs/>
        </w:rPr>
      </w:pPr>
    </w:p>
    <w:p w14:paraId="60325ED5" w14:textId="77777777" w:rsidR="004F312B" w:rsidRDefault="004F312B" w:rsidP="00BE2BFF">
      <w:pPr>
        <w:ind w:firstLine="0"/>
        <w:jc w:val="left"/>
        <w:rPr>
          <w:rFonts w:ascii="Arial" w:hAnsi="Arial" w:cs="Arial"/>
          <w:b/>
          <w:bCs/>
        </w:rPr>
      </w:pPr>
    </w:p>
    <w:p w14:paraId="50111963" w14:textId="77777777" w:rsidR="00C66DAE" w:rsidRDefault="00C66DAE" w:rsidP="00BE2BFF">
      <w:pPr>
        <w:ind w:firstLine="0"/>
        <w:jc w:val="left"/>
        <w:rPr>
          <w:rFonts w:ascii="Arial" w:hAnsi="Arial" w:cs="Arial"/>
          <w:b/>
          <w:bCs/>
        </w:rPr>
      </w:pPr>
    </w:p>
    <w:p w14:paraId="10372A09" w14:textId="77777777" w:rsidR="004F312B" w:rsidRDefault="004F312B" w:rsidP="00BE2BFF">
      <w:pPr>
        <w:ind w:firstLine="0"/>
        <w:jc w:val="left"/>
        <w:rPr>
          <w:rFonts w:ascii="Arial" w:hAnsi="Arial" w:cs="Arial"/>
          <w:b/>
          <w:bCs/>
        </w:rPr>
      </w:pPr>
    </w:p>
    <w:p w14:paraId="5349256F" w14:textId="0F45C6DA" w:rsidR="004F312B" w:rsidRDefault="00C66DAE" w:rsidP="003B100B">
      <w:pPr>
        <w:pStyle w:val="Heading1"/>
        <w:spacing w:before="120" w:after="120"/>
        <w:rPr>
          <w:b/>
          <w:bCs/>
          <w:sz w:val="22"/>
          <w:szCs w:val="22"/>
        </w:rPr>
      </w:pPr>
      <w:bookmarkStart w:id="1" w:name="_Toc233364735"/>
      <w:r w:rsidRPr="003B100B">
        <w:rPr>
          <w:b/>
          <w:bCs/>
          <w:sz w:val="22"/>
          <w:szCs w:val="22"/>
        </w:rPr>
        <w:lastRenderedPageBreak/>
        <w:t>2</w:t>
      </w:r>
      <w:r w:rsidR="009871B0" w:rsidRPr="003B100B">
        <w:rPr>
          <w:b/>
          <w:bCs/>
          <w:sz w:val="22"/>
          <w:szCs w:val="22"/>
        </w:rPr>
        <w:t xml:space="preserve">. </w:t>
      </w:r>
      <w:r w:rsidRPr="003B100B">
        <w:rPr>
          <w:b/>
          <w:bCs/>
          <w:sz w:val="22"/>
          <w:szCs w:val="22"/>
        </w:rPr>
        <w:t>H</w:t>
      </w:r>
      <w:r w:rsidRPr="003B100B">
        <w:rPr>
          <w:b/>
          <w:bCs/>
          <w:sz w:val="22"/>
          <w:szCs w:val="22"/>
        </w:rPr>
        <w:t xml:space="preserve">ow </w:t>
      </w:r>
      <w:r w:rsidR="000B57C3" w:rsidRPr="003B100B">
        <w:rPr>
          <w:b/>
          <w:bCs/>
          <w:sz w:val="22"/>
          <w:szCs w:val="22"/>
        </w:rPr>
        <w:t>B</w:t>
      </w:r>
      <w:r w:rsidRPr="003B100B">
        <w:rPr>
          <w:b/>
          <w:bCs/>
          <w:sz w:val="22"/>
          <w:szCs w:val="22"/>
        </w:rPr>
        <w:t>lood sugar levels are maintained at a safe and effective level for the body's needs</w:t>
      </w:r>
      <w:bookmarkEnd w:id="1"/>
    </w:p>
    <w:p w14:paraId="72179D98" w14:textId="5937F840" w:rsidR="003E3F60" w:rsidRPr="003E3F60" w:rsidRDefault="003E3F60" w:rsidP="003E3F60">
      <w:pPr>
        <w:rPr>
          <w:rFonts w:ascii="Arial" w:hAnsi="Arial" w:cs="Arial"/>
        </w:rPr>
      </w:pPr>
      <w:r w:rsidRPr="003E3F60">
        <w:rPr>
          <w:rFonts w:ascii="Arial" w:hAnsi="Arial" w:cs="Arial"/>
        </w:rPr>
        <w:t xml:space="preserve">Maintaining a suitable physiological range of blood glucose ensures a constant energy supply and prevents hypoglycaemia and hyperglycaemia. The brain, which runs almost entirely on glucose, needs glucose as its main energy source. Thus, the human body possesses an effective homeostatic system that monitors and adjusts blood glucose levels to metabolic demand. This regulation is mostly achieved by the coordinated actions of the pancreatic </w:t>
      </w:r>
      <w:r w:rsidRPr="003E3F60">
        <w:rPr>
          <w:rFonts w:ascii="Arial" w:hAnsi="Arial" w:cs="Arial"/>
        </w:rPr>
        <w:t>hormone’s</w:t>
      </w:r>
      <w:r w:rsidRPr="003E3F60">
        <w:rPr>
          <w:rFonts w:ascii="Arial" w:hAnsi="Arial" w:cs="Arial"/>
        </w:rPr>
        <w:t xml:space="preserve"> insulin and glucagon, which keep blood glucose levels within a narrow range despite changes in food intake, physical activity, and fasting.</w:t>
      </w:r>
    </w:p>
    <w:p w14:paraId="6D4A6EB5" w14:textId="49FE6CAF" w:rsidR="003E3F60" w:rsidRPr="003E3F60" w:rsidRDefault="003E3F60" w:rsidP="003E3F60">
      <w:pPr>
        <w:rPr>
          <w:rFonts w:ascii="Arial" w:hAnsi="Arial" w:cs="Arial"/>
        </w:rPr>
      </w:pPr>
      <w:r w:rsidRPr="003E3F60">
        <w:rPr>
          <w:rFonts w:ascii="Arial" w:hAnsi="Arial" w:cs="Arial"/>
        </w:rPr>
        <w:t>After eating carbs, digestive enzymes transform complex carbohydrates into glucose, which raises blood glucose levels. In reaction, pancreatic beta cells produce insulin, enabling glucose to enter muscle, adipose, and liver cells where it is either used to create ATP via cellular respiration or stored as glycogen for future energy needs. Insulin also inhibits hepatic glucose synthesis, avoiding excessive glucose release. Fasting or extended physical exercise lowers blood glucose, which causes pancreatic alpha cells to produce glucagon and accelerate liver glycogen breakdown (glycogenolysis) and glucose production (gluconeogenesis). These parallel hormonal responses provide a negative feedback system that normalises blood glucose levels and stabilises metabolism (International Diabetes Federation, 2022; NICE, 2026).</w:t>
      </w:r>
    </w:p>
    <w:p w14:paraId="3D34014F" w14:textId="03B0A9AF" w:rsidR="003E3F60" w:rsidRPr="003E3F60" w:rsidRDefault="003E3F60" w:rsidP="003E3F60">
      <w:pPr>
        <w:rPr>
          <w:rFonts w:ascii="Arial" w:hAnsi="Arial" w:cs="Arial"/>
        </w:rPr>
      </w:pPr>
      <w:r w:rsidRPr="003E3F60">
        <w:rPr>
          <w:rFonts w:ascii="Arial" w:hAnsi="Arial" w:cs="Arial"/>
          <w:b/>
          <w:bCs/>
        </w:rPr>
        <w:t>In Type 2 diabetes</w:t>
      </w:r>
      <w:r w:rsidRPr="003E3F60">
        <w:rPr>
          <w:rFonts w:ascii="Arial" w:hAnsi="Arial" w:cs="Arial"/>
        </w:rPr>
        <w:t>, this delicate mechanism is interrupted. Insulin resistance and increasing pancreatic beta-cell failure limit insulin production in the syndrome. Hyperglycaemia persists because glucose stays in the circulation instead of being delivered into cells. Hyperglycaemia damages endothelium and raises the risk of microvascular problems including retinopathy, nephropathy, and neuropathy and macrovascular consequences like cardiovascular disease and stroke if left untreated. Maintaining good glycaemic control is one of the key goals of diabetes therapy to slow disease progression and enhance health (American Diabetes Association, 2024; NICE, 2026).</w:t>
      </w:r>
    </w:p>
    <w:p w14:paraId="41EC0D69" w14:textId="0F22F7E3" w:rsidR="003B100B" w:rsidRPr="003E3F60" w:rsidRDefault="003E3F60" w:rsidP="003E3F60">
      <w:pPr>
        <w:rPr>
          <w:rFonts w:ascii="Arial" w:hAnsi="Arial" w:cs="Arial"/>
        </w:rPr>
      </w:pPr>
      <w:r w:rsidRPr="003E3F60">
        <w:rPr>
          <w:rFonts w:ascii="Arial" w:hAnsi="Arial" w:cs="Arial"/>
        </w:rPr>
        <w:t>NICE offers evidence-based blood glucose and HbA1c objectives to help clinicians make decisions and track glycaemic control. Table 1 shows UK clinical practice's suggested objectives.</w:t>
      </w:r>
    </w:p>
    <w:p w14:paraId="06780DD4" w14:textId="77777777" w:rsidR="004F312B" w:rsidRDefault="004F312B" w:rsidP="00BE2BFF">
      <w:pPr>
        <w:ind w:firstLine="0"/>
        <w:jc w:val="left"/>
        <w:rPr>
          <w:rFonts w:ascii="Arial" w:hAnsi="Arial" w:cs="Arial"/>
          <w:b/>
          <w:bCs/>
        </w:rPr>
      </w:pPr>
    </w:p>
    <w:p w14:paraId="6FF9C642" w14:textId="77777777" w:rsidR="000B57C3" w:rsidRDefault="000B57C3" w:rsidP="00BE2BFF">
      <w:pPr>
        <w:ind w:firstLine="0"/>
        <w:jc w:val="left"/>
        <w:rPr>
          <w:rFonts w:ascii="Arial" w:hAnsi="Arial" w:cs="Arial"/>
          <w:b/>
          <w:bCs/>
        </w:rPr>
      </w:pPr>
    </w:p>
    <w:p w14:paraId="64AF5593" w14:textId="77777777" w:rsidR="000B57C3" w:rsidRDefault="000B57C3" w:rsidP="00BE2BFF">
      <w:pPr>
        <w:ind w:firstLine="0"/>
        <w:jc w:val="left"/>
        <w:rPr>
          <w:rFonts w:ascii="Arial" w:hAnsi="Arial" w:cs="Arial"/>
          <w:b/>
          <w:bCs/>
        </w:rPr>
      </w:pPr>
    </w:p>
    <w:p w14:paraId="0CFCBD9C" w14:textId="77777777" w:rsidR="000B57C3" w:rsidRDefault="000B57C3" w:rsidP="00BE2BFF">
      <w:pPr>
        <w:ind w:firstLine="0"/>
        <w:jc w:val="left"/>
        <w:rPr>
          <w:rFonts w:ascii="Arial" w:hAnsi="Arial" w:cs="Arial"/>
          <w:b/>
          <w:bCs/>
        </w:rPr>
      </w:pPr>
    </w:p>
    <w:p w14:paraId="7E8E0011" w14:textId="77777777" w:rsidR="000B57C3" w:rsidRDefault="000B57C3" w:rsidP="00BE2BFF">
      <w:pPr>
        <w:ind w:firstLine="0"/>
        <w:jc w:val="left"/>
        <w:rPr>
          <w:rFonts w:ascii="Arial" w:hAnsi="Arial" w:cs="Arial"/>
          <w:b/>
          <w:bCs/>
        </w:rPr>
      </w:pPr>
    </w:p>
    <w:p w14:paraId="7FF5D37C" w14:textId="77777777" w:rsidR="000B57C3" w:rsidRDefault="000B57C3" w:rsidP="00BE2BFF">
      <w:pPr>
        <w:ind w:firstLine="0"/>
        <w:jc w:val="left"/>
        <w:rPr>
          <w:rFonts w:ascii="Arial" w:hAnsi="Arial" w:cs="Arial"/>
          <w:b/>
          <w:bCs/>
        </w:rPr>
      </w:pPr>
    </w:p>
    <w:p w14:paraId="2E6D0E91" w14:textId="77777777" w:rsidR="000B57C3" w:rsidRDefault="000B57C3" w:rsidP="00BE2BFF">
      <w:pPr>
        <w:ind w:firstLine="0"/>
        <w:jc w:val="left"/>
        <w:rPr>
          <w:rFonts w:ascii="Arial" w:hAnsi="Arial" w:cs="Arial"/>
          <w:b/>
          <w:bCs/>
        </w:rPr>
      </w:pPr>
    </w:p>
    <w:p w14:paraId="0FA9F3EB" w14:textId="1376FD85" w:rsidR="000B57C3" w:rsidRDefault="0098400C" w:rsidP="0098400C">
      <w:pPr>
        <w:ind w:firstLine="0"/>
        <w:jc w:val="center"/>
        <w:rPr>
          <w:rFonts w:ascii="Arial" w:hAnsi="Arial" w:cs="Arial"/>
          <w:sz w:val="20"/>
          <w:szCs w:val="20"/>
        </w:rPr>
      </w:pPr>
      <w:r w:rsidRPr="0098400C">
        <w:rPr>
          <w:rFonts w:ascii="Arial" w:hAnsi="Arial" w:cs="Arial"/>
          <w:sz w:val="20"/>
          <w:szCs w:val="20"/>
        </w:rPr>
        <w:lastRenderedPageBreak/>
        <w:t>Table 1. Recommended blood glucose and HbA1c targets for adults according to NICE guidance</w:t>
      </w:r>
    </w:p>
    <w:p w14:paraId="40D20A28" w14:textId="6E03CE09" w:rsidR="00220C0E" w:rsidRDefault="00220C0E" w:rsidP="008768CB">
      <w:pPr>
        <w:ind w:firstLine="0"/>
        <w:jc w:val="center"/>
        <w:rPr>
          <w:rFonts w:ascii="Arial" w:hAnsi="Arial" w:cs="Arial"/>
          <w:i/>
          <w:iCs/>
          <w:sz w:val="18"/>
          <w:szCs w:val="18"/>
        </w:rPr>
      </w:pPr>
      <w:r w:rsidRPr="00220C0E">
        <w:rPr>
          <w:rFonts w:ascii="Arial" w:hAnsi="Arial" w:cs="Arial"/>
          <w:i/>
          <w:iCs/>
          <w:sz w:val="18"/>
          <w:szCs w:val="18"/>
        </w:rPr>
        <w:drawing>
          <wp:inline distT="0" distB="0" distL="0" distR="0" wp14:anchorId="23042A74" wp14:editId="42201513">
            <wp:extent cx="5731510" cy="1689735"/>
            <wp:effectExtent l="0" t="0" r="2540" b="5715"/>
            <wp:docPr id="1854981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981513" name=""/>
                    <pic:cNvPicPr/>
                  </pic:nvPicPr>
                  <pic:blipFill>
                    <a:blip r:embed="rId8"/>
                    <a:stretch>
                      <a:fillRect/>
                    </a:stretch>
                  </pic:blipFill>
                  <pic:spPr>
                    <a:xfrm>
                      <a:off x="0" y="0"/>
                      <a:ext cx="5731510" cy="1689735"/>
                    </a:xfrm>
                    <a:prstGeom prst="rect">
                      <a:avLst/>
                    </a:prstGeom>
                  </pic:spPr>
                </pic:pic>
              </a:graphicData>
            </a:graphic>
          </wp:inline>
        </w:drawing>
      </w:r>
    </w:p>
    <w:p w14:paraId="642E07AA" w14:textId="71C229FF" w:rsidR="008768CB" w:rsidRPr="00C530B8" w:rsidRDefault="00C530B8" w:rsidP="008768CB">
      <w:pPr>
        <w:ind w:firstLine="0"/>
        <w:jc w:val="center"/>
        <w:rPr>
          <w:rFonts w:ascii="Arial" w:hAnsi="Arial" w:cs="Arial"/>
          <w:i/>
          <w:iCs/>
          <w:vanish/>
          <w:sz w:val="18"/>
          <w:szCs w:val="18"/>
        </w:rPr>
      </w:pPr>
      <w:r>
        <w:rPr>
          <w:rFonts w:ascii="Arial" w:hAnsi="Arial" w:cs="Arial"/>
          <w:i/>
          <w:iCs/>
          <w:sz w:val="18"/>
          <w:szCs w:val="18"/>
        </w:rPr>
        <w:t>(</w:t>
      </w:r>
    </w:p>
    <w:p w14:paraId="486D5CC2" w14:textId="64DFF2C8" w:rsidR="000B57C3" w:rsidRPr="00C530B8" w:rsidRDefault="003262DC" w:rsidP="00C530B8">
      <w:pPr>
        <w:spacing w:line="240" w:lineRule="auto"/>
        <w:ind w:firstLine="0"/>
        <w:jc w:val="center"/>
        <w:rPr>
          <w:rFonts w:ascii="Arial" w:hAnsi="Arial" w:cs="Arial"/>
          <w:i/>
          <w:iCs/>
          <w:sz w:val="20"/>
          <w:szCs w:val="20"/>
        </w:rPr>
      </w:pPr>
      <w:r w:rsidRPr="00C530B8">
        <w:rPr>
          <w:rFonts w:ascii="Arial" w:hAnsi="Arial" w:cs="Arial"/>
          <w:i/>
          <w:iCs/>
          <w:sz w:val="20"/>
          <w:szCs w:val="20"/>
        </w:rPr>
        <w:t>Source: NICE</w:t>
      </w:r>
      <w:r w:rsidR="00C530B8">
        <w:rPr>
          <w:rFonts w:ascii="Arial" w:hAnsi="Arial" w:cs="Arial"/>
          <w:i/>
          <w:iCs/>
          <w:sz w:val="20"/>
          <w:szCs w:val="20"/>
        </w:rPr>
        <w:t xml:space="preserve">, </w:t>
      </w:r>
      <w:r w:rsidRPr="00C530B8">
        <w:rPr>
          <w:rFonts w:ascii="Arial" w:hAnsi="Arial" w:cs="Arial"/>
          <w:i/>
          <w:iCs/>
          <w:sz w:val="20"/>
          <w:szCs w:val="20"/>
        </w:rPr>
        <w:t>2026)</w:t>
      </w:r>
    </w:p>
    <w:p w14:paraId="0030C897" w14:textId="77777777" w:rsidR="000B57C3" w:rsidRPr="005968A3" w:rsidRDefault="000B57C3" w:rsidP="00BE2BFF">
      <w:pPr>
        <w:ind w:firstLine="0"/>
        <w:jc w:val="left"/>
        <w:rPr>
          <w:rFonts w:ascii="Arial" w:hAnsi="Arial" w:cs="Arial"/>
          <w:b/>
          <w:bCs/>
          <w:sz w:val="16"/>
          <w:szCs w:val="16"/>
        </w:rPr>
      </w:pPr>
    </w:p>
    <w:p w14:paraId="757FC386" w14:textId="6B484A4F" w:rsidR="000B57C3" w:rsidRPr="005968A3" w:rsidRDefault="005968A3" w:rsidP="005968A3">
      <w:pPr>
        <w:rPr>
          <w:rFonts w:ascii="Arial" w:hAnsi="Arial" w:cs="Arial"/>
        </w:rPr>
      </w:pPr>
      <w:r w:rsidRPr="005968A3">
        <w:rPr>
          <w:rFonts w:ascii="Arial" w:hAnsi="Arial" w:cs="Arial"/>
        </w:rPr>
        <w:t xml:space="preserve">As shown in Table 1, glycaemic management goes beyond maintaining normal blood glucose levels to achieve personalised treatment objectives that decrease long-term consequences. </w:t>
      </w:r>
      <w:r w:rsidRPr="005968A3">
        <w:rPr>
          <w:rFonts w:ascii="Arial" w:hAnsi="Arial" w:cs="Arial"/>
        </w:rPr>
        <w:t>To</w:t>
      </w:r>
      <w:r w:rsidRPr="005968A3">
        <w:rPr>
          <w:rFonts w:ascii="Arial" w:hAnsi="Arial" w:cs="Arial"/>
        </w:rPr>
        <w:t xml:space="preserve"> balance glucose management with the danger of hypoglycaemia, people with T2DM are allowed a slightly broader therapeutic range for fasting blood glucose than healthy adults. In addition, HbA1c measures average blood glucose over three months, making it the gold standard for diabetes monitoring. To maintain glucose homeostasis, NICE advises frequent monitoring, lifestyle changes, and pharmaceutical therapy when HbA1c reaches 58 mmol/mol. In the next part, we describe how cells use glucose during cell metabolism by understanding these physiological systems.</w:t>
      </w:r>
    </w:p>
    <w:p w14:paraId="0A433B15" w14:textId="4B14AED6" w:rsidR="000B57C3" w:rsidRDefault="009A321B" w:rsidP="0071296F">
      <w:pPr>
        <w:pStyle w:val="Heading1"/>
        <w:spacing w:before="120"/>
        <w:jc w:val="left"/>
        <w:rPr>
          <w:b/>
          <w:bCs/>
          <w:sz w:val="22"/>
          <w:szCs w:val="22"/>
        </w:rPr>
      </w:pPr>
      <w:bookmarkStart w:id="2" w:name="_Toc233364736"/>
      <w:r w:rsidRPr="0071296F">
        <w:rPr>
          <w:b/>
          <w:bCs/>
          <w:sz w:val="22"/>
          <w:szCs w:val="22"/>
        </w:rPr>
        <w:t xml:space="preserve">3. </w:t>
      </w:r>
      <w:r w:rsidR="0071296F" w:rsidRPr="0071296F">
        <w:rPr>
          <w:b/>
          <w:bCs/>
          <w:sz w:val="22"/>
          <w:szCs w:val="22"/>
        </w:rPr>
        <w:t>H</w:t>
      </w:r>
      <w:r w:rsidRPr="0071296F">
        <w:rPr>
          <w:b/>
          <w:bCs/>
          <w:sz w:val="22"/>
          <w:szCs w:val="22"/>
        </w:rPr>
        <w:t xml:space="preserve">ow </w:t>
      </w:r>
      <w:r w:rsidR="009B59A3">
        <w:rPr>
          <w:b/>
          <w:bCs/>
          <w:sz w:val="22"/>
          <w:szCs w:val="22"/>
        </w:rPr>
        <w:t>O</w:t>
      </w:r>
      <w:r w:rsidRPr="0071296F">
        <w:rPr>
          <w:b/>
          <w:bCs/>
          <w:sz w:val="22"/>
          <w:szCs w:val="22"/>
        </w:rPr>
        <w:t xml:space="preserve">xygen and </w:t>
      </w:r>
      <w:r w:rsidR="009B59A3">
        <w:rPr>
          <w:b/>
          <w:bCs/>
          <w:sz w:val="22"/>
          <w:szCs w:val="22"/>
        </w:rPr>
        <w:t>G</w:t>
      </w:r>
      <w:r w:rsidRPr="0071296F">
        <w:rPr>
          <w:b/>
          <w:bCs/>
          <w:sz w:val="22"/>
          <w:szCs w:val="22"/>
        </w:rPr>
        <w:t>lucose produce energy through cell metabolism</w:t>
      </w:r>
      <w:bookmarkEnd w:id="2"/>
    </w:p>
    <w:p w14:paraId="40C396E5" w14:textId="77777777" w:rsidR="007B29D9" w:rsidRDefault="007B29D9" w:rsidP="007B29D9">
      <w:pPr>
        <w:rPr>
          <w:rFonts w:ascii="Arial" w:hAnsi="Arial" w:cs="Arial"/>
        </w:rPr>
      </w:pPr>
      <w:r w:rsidRPr="007B29D9">
        <w:rPr>
          <w:rFonts w:ascii="Arial" w:hAnsi="Arial" w:cs="Arial"/>
        </w:rPr>
        <w:t>After maintaining blood glucose within physiological limits, the next step is knowing how cells turn glucose into energy. Biochemical mechanisms in cell metabolism convert nutrients into ATP, the body's energy currency. Glucose is the main fuel, while oxygen is the oxidiser that releases energy effectively via aerobic respiration. This activity, mostly in mitochondria, supports physiological processes including muscular contraction, neuronal transmission, protein synthesis, and active transport across cell membranes (OpenStax, 2023; Hall and Hall, 2021).</w:t>
      </w:r>
    </w:p>
    <w:p w14:paraId="34001046" w14:textId="77777777" w:rsidR="007B29D9" w:rsidRDefault="007B29D9" w:rsidP="007B29D9">
      <w:pPr>
        <w:rPr>
          <w:rFonts w:ascii="Arial" w:hAnsi="Arial" w:cs="Arial"/>
        </w:rPr>
      </w:pPr>
      <w:r w:rsidRPr="007B29D9">
        <w:rPr>
          <w:rFonts w:ascii="Arial" w:hAnsi="Arial" w:cs="Arial"/>
        </w:rPr>
        <w:t xml:space="preserve">Through specialised glucose transporters, glucose enters the cell and undergoes glycolysis in the cytoplasm, creating two pyruvate molecules and a little quantity of ATP. Pyruvate enters mitochondria and performs the Krebs cycle and electron transport chain when oxygen is adequate. Oxygen is the last electron acceptor, allowing oxidative phosphorylation to effectively generate 30–32 ATP molecules from one glucose molecule. Natural byproducts like water and carbon dioxide are eliminated by respiration and circulation. Aerobic respiration is the most efficient energy generation method, ensuring that body tissues get enough ATP to operate normally (National </w:t>
      </w:r>
      <w:proofErr w:type="spellStart"/>
      <w:r w:rsidRPr="007B29D9">
        <w:rPr>
          <w:rFonts w:ascii="Arial" w:hAnsi="Arial" w:cs="Arial"/>
        </w:rPr>
        <w:t>Center</w:t>
      </w:r>
      <w:proofErr w:type="spellEnd"/>
      <w:r w:rsidRPr="007B29D9">
        <w:rPr>
          <w:rFonts w:ascii="Arial" w:hAnsi="Arial" w:cs="Arial"/>
        </w:rPr>
        <w:t xml:space="preserve"> for Biotechnology Information, 2023; OpenStax, 2023).</w:t>
      </w:r>
      <w:r w:rsidRPr="007B29D9">
        <w:rPr>
          <w:rFonts w:ascii="Arial" w:hAnsi="Arial" w:cs="Arial"/>
        </w:rPr>
        <w:br/>
      </w:r>
    </w:p>
    <w:p w14:paraId="729CA70A" w14:textId="5B907564" w:rsidR="00BA0A94" w:rsidRDefault="007B29D9" w:rsidP="007B29D9">
      <w:pPr>
        <w:rPr>
          <w:rFonts w:ascii="Arial" w:hAnsi="Arial" w:cs="Arial"/>
        </w:rPr>
      </w:pPr>
      <w:r w:rsidRPr="007B29D9">
        <w:rPr>
          <w:rFonts w:ascii="Arial" w:hAnsi="Arial" w:cs="Arial"/>
        </w:rPr>
        <w:lastRenderedPageBreak/>
        <w:t xml:space="preserve">Cells transition to anaerobic respiration during severe exercise or poor tissue perfusion when oxygen availability is low. This metabolises glucose without oxygen, creating just 2 ATP molecules per glucose molecule and lactic acid. This route produces short-term energy but is less effective than aerobic metabolism and cannot maintain physiological activity. </w:t>
      </w:r>
      <w:r w:rsidR="005275AA" w:rsidRPr="007B29D9">
        <w:rPr>
          <w:rFonts w:ascii="Arial" w:hAnsi="Arial" w:cs="Arial"/>
        </w:rPr>
        <w:t>Hyperglycaemia</w:t>
      </w:r>
      <w:r w:rsidRPr="007B29D9">
        <w:rPr>
          <w:rFonts w:ascii="Arial" w:hAnsi="Arial" w:cs="Arial"/>
        </w:rPr>
        <w:t xml:space="preserve"> may compromise microvascular circulation and oxygen supply to tissues in Type 2 diabetics, affecting cellular metabolism and wound healing. These physiological alterations emphasise the need of glycaemic management and oxygen delivery for energy generation and tissue function (British Heart Foundation, 2023; Hall and Hall, 2021).</w:t>
      </w:r>
    </w:p>
    <w:p w14:paraId="517F5940" w14:textId="66EECF89" w:rsidR="007B29D9" w:rsidRPr="007B29D9" w:rsidRDefault="007B29D9" w:rsidP="007B29D9">
      <w:pPr>
        <w:rPr>
          <w:rFonts w:ascii="Arial" w:hAnsi="Arial" w:cs="Arial"/>
        </w:rPr>
      </w:pPr>
      <w:r w:rsidRPr="007B29D9">
        <w:rPr>
          <w:rFonts w:ascii="Arial" w:hAnsi="Arial" w:cs="Arial"/>
        </w:rPr>
        <w:t>Table 2 contrasts the two main metabolic routes that generate ATP in human cells to show how glucose, oxygen, and energy production relate.</w:t>
      </w:r>
    </w:p>
    <w:p w14:paraId="2F471CCD" w14:textId="77777777" w:rsidR="00640BF4" w:rsidRPr="00BA0A94" w:rsidRDefault="00640BF4" w:rsidP="00640BF4">
      <w:pPr>
        <w:rPr>
          <w:rFonts w:ascii="Arial" w:hAnsi="Arial" w:cs="Arial"/>
          <w:sz w:val="16"/>
          <w:szCs w:val="16"/>
        </w:rPr>
      </w:pPr>
    </w:p>
    <w:p w14:paraId="508A2876" w14:textId="73A2526B" w:rsidR="00BA0A94" w:rsidRDefault="00BA0A94" w:rsidP="003922AB">
      <w:pPr>
        <w:ind w:firstLine="0"/>
        <w:jc w:val="center"/>
        <w:rPr>
          <w:rFonts w:ascii="Arial" w:hAnsi="Arial" w:cs="Arial"/>
          <w:sz w:val="20"/>
          <w:szCs w:val="20"/>
        </w:rPr>
      </w:pPr>
      <w:r w:rsidRPr="00BA0A94">
        <w:rPr>
          <w:rFonts w:ascii="Arial" w:hAnsi="Arial" w:cs="Arial"/>
          <w:sz w:val="20"/>
          <w:szCs w:val="20"/>
        </w:rPr>
        <w:t>Table 2. Comparison of aerobic and anaerobic respiration in cellular energy production</w:t>
      </w:r>
    </w:p>
    <w:p w14:paraId="194033D3" w14:textId="1578EE5F" w:rsidR="0035476A" w:rsidRPr="00BA0A94" w:rsidRDefault="003922AB" w:rsidP="003922AB">
      <w:pPr>
        <w:ind w:firstLine="0"/>
        <w:jc w:val="center"/>
        <w:rPr>
          <w:rFonts w:ascii="Arial" w:hAnsi="Arial" w:cs="Arial"/>
          <w:sz w:val="20"/>
          <w:szCs w:val="20"/>
        </w:rPr>
      </w:pPr>
      <w:r w:rsidRPr="003922AB">
        <w:rPr>
          <w:rFonts w:ascii="Arial" w:hAnsi="Arial" w:cs="Arial"/>
          <w:sz w:val="20"/>
          <w:szCs w:val="20"/>
        </w:rPr>
        <w:drawing>
          <wp:inline distT="0" distB="0" distL="0" distR="0" wp14:anchorId="5B5D6FE0" wp14:editId="42BC08E2">
            <wp:extent cx="5136078" cy="1984782"/>
            <wp:effectExtent l="0" t="0" r="7620" b="0"/>
            <wp:docPr id="1245092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92445" name=""/>
                    <pic:cNvPicPr/>
                  </pic:nvPicPr>
                  <pic:blipFill>
                    <a:blip r:embed="rId9"/>
                    <a:stretch>
                      <a:fillRect/>
                    </a:stretch>
                  </pic:blipFill>
                  <pic:spPr>
                    <a:xfrm>
                      <a:off x="0" y="0"/>
                      <a:ext cx="5142681" cy="1987334"/>
                    </a:xfrm>
                    <a:prstGeom prst="rect">
                      <a:avLst/>
                    </a:prstGeom>
                  </pic:spPr>
                </pic:pic>
              </a:graphicData>
            </a:graphic>
          </wp:inline>
        </w:drawing>
      </w:r>
    </w:p>
    <w:p w14:paraId="4958CC67" w14:textId="3360C27F" w:rsidR="0071296F" w:rsidRPr="00723CFD" w:rsidRDefault="00BE6FF6" w:rsidP="00D769A8">
      <w:pPr>
        <w:ind w:firstLine="0"/>
        <w:jc w:val="center"/>
        <w:rPr>
          <w:rFonts w:ascii="Arial" w:hAnsi="Arial" w:cs="Arial"/>
          <w:i/>
          <w:iCs/>
          <w:sz w:val="20"/>
          <w:szCs w:val="20"/>
        </w:rPr>
      </w:pPr>
      <w:r w:rsidRPr="00723CFD">
        <w:rPr>
          <w:rFonts w:ascii="Arial" w:hAnsi="Arial" w:cs="Arial"/>
          <w:i/>
          <w:iCs/>
          <w:sz w:val="20"/>
          <w:szCs w:val="20"/>
        </w:rPr>
        <w:t>(</w:t>
      </w:r>
      <w:r w:rsidRPr="00723CFD">
        <w:rPr>
          <w:rFonts w:ascii="Arial" w:hAnsi="Arial" w:cs="Arial"/>
          <w:i/>
          <w:iCs/>
          <w:sz w:val="20"/>
          <w:szCs w:val="20"/>
        </w:rPr>
        <w:t>Sources: Hall and Hall</w:t>
      </w:r>
      <w:r w:rsidR="00D769A8" w:rsidRPr="00723CFD">
        <w:rPr>
          <w:rFonts w:ascii="Arial" w:hAnsi="Arial" w:cs="Arial"/>
          <w:i/>
          <w:iCs/>
          <w:sz w:val="20"/>
          <w:szCs w:val="20"/>
        </w:rPr>
        <w:t xml:space="preserve">, </w:t>
      </w:r>
      <w:r w:rsidRPr="00723CFD">
        <w:rPr>
          <w:rFonts w:ascii="Arial" w:hAnsi="Arial" w:cs="Arial"/>
          <w:i/>
          <w:iCs/>
          <w:sz w:val="20"/>
          <w:szCs w:val="20"/>
        </w:rPr>
        <w:t>2021; OpenStax</w:t>
      </w:r>
      <w:r w:rsidRPr="00723CFD">
        <w:rPr>
          <w:rFonts w:ascii="Arial" w:hAnsi="Arial" w:cs="Arial"/>
          <w:i/>
          <w:iCs/>
          <w:sz w:val="20"/>
          <w:szCs w:val="20"/>
        </w:rPr>
        <w:t xml:space="preserve">, </w:t>
      </w:r>
      <w:r w:rsidRPr="00723CFD">
        <w:rPr>
          <w:rFonts w:ascii="Arial" w:hAnsi="Arial" w:cs="Arial"/>
          <w:i/>
          <w:iCs/>
          <w:sz w:val="20"/>
          <w:szCs w:val="20"/>
        </w:rPr>
        <w:t>2023)</w:t>
      </w:r>
    </w:p>
    <w:p w14:paraId="2EB62A49" w14:textId="77777777" w:rsidR="0071296F" w:rsidRPr="000A5BAE" w:rsidRDefault="0071296F" w:rsidP="005968A3">
      <w:pPr>
        <w:rPr>
          <w:rFonts w:ascii="Arial" w:hAnsi="Arial" w:cs="Arial"/>
          <w:sz w:val="16"/>
          <w:szCs w:val="16"/>
        </w:rPr>
      </w:pPr>
    </w:p>
    <w:p w14:paraId="1B605D05" w14:textId="7C3F855E" w:rsidR="000B57C3" w:rsidRDefault="00291BEA" w:rsidP="00291BEA">
      <w:pPr>
        <w:rPr>
          <w:rFonts w:ascii="Arial" w:hAnsi="Arial" w:cs="Arial"/>
        </w:rPr>
      </w:pPr>
      <w:r w:rsidRPr="00291BEA">
        <w:rPr>
          <w:rFonts w:ascii="Arial" w:hAnsi="Arial" w:cs="Arial"/>
        </w:rPr>
        <w:t>The Table 2 comparison shows that oxygen is essential for cellular energy generation. Aerobic respiration generates 15 times more ATP than anaerobic respiration from one glucose molecule, highlighting the importance of oxygen delivery through an effective cardiovascular and respiratory system for normal physiological activity. Accumulating lactic acid during anaerobic metabolism causes muscular exhaustion and lowers physical performance, whereas aerobic metabolism provides more energy with fewer metabolic effects. Thus, maintaining proper blood glucose levels and oxygen supply helps cells make ATP effectively, improving health and decreasing Type 2 diabetes metabolic consequences. This insight offers the physiological foundation for assessing the clinical effects of disruptive glucose control and diabetes treatment in the next section.</w:t>
      </w:r>
    </w:p>
    <w:p w14:paraId="03EFC945" w14:textId="77777777" w:rsidR="00B44A88" w:rsidRDefault="00B44A88" w:rsidP="00291BEA">
      <w:pPr>
        <w:rPr>
          <w:rFonts w:ascii="Arial" w:hAnsi="Arial" w:cs="Arial"/>
        </w:rPr>
      </w:pPr>
    </w:p>
    <w:p w14:paraId="71EE4CF4" w14:textId="77777777" w:rsidR="00B44A88" w:rsidRDefault="00B44A88" w:rsidP="00291BEA">
      <w:pPr>
        <w:rPr>
          <w:rFonts w:ascii="Arial" w:hAnsi="Arial" w:cs="Arial"/>
        </w:rPr>
      </w:pPr>
    </w:p>
    <w:p w14:paraId="7628CE88" w14:textId="757AD630" w:rsidR="000A5BAE" w:rsidRDefault="00E23305" w:rsidP="00B44A88">
      <w:pPr>
        <w:pStyle w:val="Heading1"/>
        <w:spacing w:before="120" w:after="120"/>
        <w:rPr>
          <w:rFonts w:ascii="Arial" w:hAnsi="Arial" w:cs="Arial"/>
          <w:b/>
          <w:bCs/>
          <w:sz w:val="22"/>
          <w:szCs w:val="22"/>
        </w:rPr>
      </w:pPr>
      <w:bookmarkStart w:id="3" w:name="_Toc233364737"/>
      <w:r w:rsidRPr="00B44A88">
        <w:rPr>
          <w:rFonts w:ascii="Arial" w:hAnsi="Arial" w:cs="Arial"/>
          <w:b/>
          <w:bCs/>
          <w:sz w:val="22"/>
          <w:szCs w:val="22"/>
        </w:rPr>
        <w:lastRenderedPageBreak/>
        <w:t xml:space="preserve">4. </w:t>
      </w:r>
      <w:r w:rsidRPr="00B44A88">
        <w:rPr>
          <w:rFonts w:ascii="Arial" w:hAnsi="Arial" w:cs="Arial"/>
          <w:b/>
          <w:bCs/>
          <w:sz w:val="22"/>
          <w:szCs w:val="22"/>
        </w:rPr>
        <w:t xml:space="preserve"> </w:t>
      </w:r>
      <w:r w:rsidRPr="00B44A88">
        <w:rPr>
          <w:rFonts w:ascii="Arial" w:hAnsi="Arial" w:cs="Arial"/>
          <w:b/>
          <w:bCs/>
          <w:sz w:val="22"/>
          <w:szCs w:val="22"/>
        </w:rPr>
        <w:t>R</w:t>
      </w:r>
      <w:r w:rsidRPr="00B44A88">
        <w:rPr>
          <w:rFonts w:ascii="Arial" w:hAnsi="Arial" w:cs="Arial"/>
          <w:b/>
          <w:bCs/>
          <w:sz w:val="22"/>
          <w:szCs w:val="22"/>
        </w:rPr>
        <w:t xml:space="preserve">ecording and tracking blood sugar levels </w:t>
      </w:r>
      <w:r w:rsidRPr="00B44A88">
        <w:rPr>
          <w:rFonts w:ascii="Arial" w:hAnsi="Arial" w:cs="Arial"/>
          <w:b/>
          <w:bCs/>
          <w:sz w:val="22"/>
          <w:szCs w:val="22"/>
        </w:rPr>
        <w:t>how</w:t>
      </w:r>
      <w:r w:rsidRPr="00B44A88">
        <w:rPr>
          <w:rFonts w:ascii="Arial" w:hAnsi="Arial" w:cs="Arial"/>
          <w:b/>
          <w:bCs/>
          <w:sz w:val="22"/>
          <w:szCs w:val="22"/>
        </w:rPr>
        <w:t xml:space="preserve"> Type 2 diabetes</w:t>
      </w:r>
      <w:r w:rsidR="00B44A88" w:rsidRPr="00B44A88">
        <w:rPr>
          <w:rFonts w:ascii="Arial" w:hAnsi="Arial" w:cs="Arial"/>
          <w:b/>
          <w:bCs/>
          <w:sz w:val="22"/>
          <w:szCs w:val="22"/>
        </w:rPr>
        <w:t xml:space="preserve"> can be</w:t>
      </w:r>
      <w:r w:rsidRPr="00B44A88">
        <w:rPr>
          <w:rFonts w:ascii="Arial" w:hAnsi="Arial" w:cs="Arial"/>
          <w:b/>
          <w:bCs/>
          <w:sz w:val="22"/>
          <w:szCs w:val="22"/>
        </w:rPr>
        <w:t xml:space="preserve"> safely </w:t>
      </w:r>
      <w:r w:rsidR="00B44A88" w:rsidRPr="00B44A88">
        <w:rPr>
          <w:rFonts w:ascii="Arial" w:hAnsi="Arial" w:cs="Arial"/>
          <w:b/>
          <w:bCs/>
          <w:sz w:val="22"/>
          <w:szCs w:val="22"/>
        </w:rPr>
        <w:t>managing</w:t>
      </w:r>
      <w:r w:rsidRPr="00B44A88">
        <w:rPr>
          <w:rFonts w:ascii="Arial" w:hAnsi="Arial" w:cs="Arial"/>
          <w:b/>
          <w:bCs/>
          <w:sz w:val="22"/>
          <w:szCs w:val="22"/>
        </w:rPr>
        <w:t xml:space="preserve"> their condition</w:t>
      </w:r>
      <w:bookmarkEnd w:id="3"/>
    </w:p>
    <w:p w14:paraId="34665D9F" w14:textId="44AA0FCE" w:rsidR="00B8220A" w:rsidRPr="00B8220A" w:rsidRDefault="00B8220A" w:rsidP="00B8220A">
      <w:pPr>
        <w:rPr>
          <w:rFonts w:ascii="Arial" w:hAnsi="Arial" w:cs="Arial"/>
        </w:rPr>
      </w:pPr>
      <w:r w:rsidRPr="00B8220A">
        <w:rPr>
          <w:rFonts w:ascii="Arial" w:hAnsi="Arial" w:cs="Arial"/>
        </w:rPr>
        <w:t>To manage Type 2 diabetes mellitus (T2DM), one must understand how blood glucose is controlled and metabolised and monitor blood glucose levels to evaluate therapy. Tracking blood sugar gives doctors and patients objective data on glycaemic management, allowing them to spot aberrant glucose variations before they become dangerous. Regular monitoring lets people see how lifestyle, nutrition, exercise, medicine, and sickness affect blood glucose throughout the day. Personalised diabetes care relies on blood glucose monitoring to assist decision-making and improve long-term clinical outcomes (NICE, 2026; American Diabetes Association, 2024).</w:t>
      </w:r>
    </w:p>
    <w:p w14:paraId="0301A590" w14:textId="713FADC2" w:rsidR="00B8220A" w:rsidRPr="00B8220A" w:rsidRDefault="00B8220A" w:rsidP="00B8220A">
      <w:pPr>
        <w:rPr>
          <w:rFonts w:ascii="Arial" w:hAnsi="Arial" w:cs="Arial"/>
        </w:rPr>
      </w:pPr>
      <w:r w:rsidRPr="00B8220A">
        <w:rPr>
          <w:rFonts w:ascii="Arial" w:hAnsi="Arial" w:cs="Arial"/>
        </w:rPr>
        <w:t>CGM devices, finger-prick capillary blood glucose testing, and laboratory HbA1c determination are all options for blood glucose monitoring. While finger-prick testing offers rapid blood glucose concentrations, HbA1c is the most accurate measure of long-term glycaemic management since it shows the average blood glucose level over the last two to three months. Recent CGM technology allows people to monitor glucose trends, diagnose hyperglycaemia and hypoglycaemia, and get warnings when glucose levels go outside the prescribed range. These technology advances enable medication modifications before symptoms become clinically relevant, improving diabetes self-management (Diabetes UK, 2024; NIDDK, 2023).</w:t>
      </w:r>
    </w:p>
    <w:p w14:paraId="38F72992" w14:textId="14C3D289" w:rsidR="00B8220A" w:rsidRPr="00B8220A" w:rsidRDefault="00B8220A" w:rsidP="00B8220A">
      <w:pPr>
        <w:rPr>
          <w:rFonts w:ascii="Arial" w:hAnsi="Arial" w:cs="Arial"/>
        </w:rPr>
      </w:pPr>
      <w:r w:rsidRPr="00B8220A">
        <w:rPr>
          <w:rFonts w:ascii="Arial" w:hAnsi="Arial" w:cs="Arial"/>
        </w:rPr>
        <w:t>Regular blood glucose recording inspires patient self-care and helps doctors create personalised treatment programs. Clinicians may modify medication doses, offer dietary changes, and assess lifestyle treatments by analysing glucose fluctuation patterns. A consistently high fasting blood glucose may indicate poor overnight glycaemic management, whereas recurrent postprandial increases may indicate excessive carbohydrate consumption or insufficient treatment. Maintenance of glucose records helps patients understand the relationship between daily behaviours and glucose responses, improving treatment adherence and reducing diabetes complications (International Diabetes Federation, 2022; Diabetes UK, 2024).</w:t>
      </w:r>
    </w:p>
    <w:p w14:paraId="2F7F64EA" w14:textId="7D0290E4" w:rsidR="00B8220A" w:rsidRPr="00B8220A" w:rsidRDefault="00B8220A" w:rsidP="00B8220A">
      <w:pPr>
        <w:rPr>
          <w:rFonts w:ascii="Arial" w:hAnsi="Arial" w:cs="Arial"/>
        </w:rPr>
      </w:pPr>
      <w:r w:rsidRPr="00B8220A">
        <w:rPr>
          <w:rFonts w:ascii="Arial" w:hAnsi="Arial" w:cs="Arial"/>
        </w:rPr>
        <w:t>Clinical recommendations propose keeping blood glucose and HbA1c within evidence-based goal limits for diabetes management. In Table 3, typical monitoring markers and clinical objectives for Type 2 diabetes adults are included.</w:t>
      </w:r>
    </w:p>
    <w:p w14:paraId="0D050141" w14:textId="77777777" w:rsidR="000B57C3" w:rsidRDefault="000B57C3" w:rsidP="00BE2BFF">
      <w:pPr>
        <w:ind w:firstLine="0"/>
        <w:jc w:val="left"/>
        <w:rPr>
          <w:rFonts w:ascii="Arial" w:hAnsi="Arial" w:cs="Arial"/>
          <w:b/>
          <w:bCs/>
        </w:rPr>
      </w:pPr>
    </w:p>
    <w:p w14:paraId="3F64138A" w14:textId="77777777" w:rsidR="000B57C3" w:rsidRDefault="000B57C3" w:rsidP="00BE2BFF">
      <w:pPr>
        <w:ind w:firstLine="0"/>
        <w:jc w:val="left"/>
        <w:rPr>
          <w:rFonts w:ascii="Arial" w:hAnsi="Arial" w:cs="Arial"/>
          <w:b/>
          <w:bCs/>
        </w:rPr>
      </w:pPr>
    </w:p>
    <w:p w14:paraId="56CBC775" w14:textId="77777777" w:rsidR="000B57C3" w:rsidRDefault="000B57C3" w:rsidP="00BE2BFF">
      <w:pPr>
        <w:ind w:firstLine="0"/>
        <w:jc w:val="left"/>
        <w:rPr>
          <w:rFonts w:ascii="Arial" w:hAnsi="Arial" w:cs="Arial"/>
          <w:b/>
          <w:bCs/>
        </w:rPr>
      </w:pPr>
    </w:p>
    <w:p w14:paraId="3160C9F7" w14:textId="77777777" w:rsidR="000B57C3" w:rsidRDefault="000B57C3" w:rsidP="00BE2BFF">
      <w:pPr>
        <w:ind w:firstLine="0"/>
        <w:jc w:val="left"/>
        <w:rPr>
          <w:rFonts w:ascii="Arial" w:hAnsi="Arial" w:cs="Arial"/>
          <w:b/>
          <w:bCs/>
        </w:rPr>
      </w:pPr>
    </w:p>
    <w:p w14:paraId="209EDB86" w14:textId="77777777" w:rsidR="000B57C3" w:rsidRDefault="000B57C3" w:rsidP="00BE2BFF">
      <w:pPr>
        <w:ind w:firstLine="0"/>
        <w:jc w:val="left"/>
        <w:rPr>
          <w:rFonts w:ascii="Arial" w:hAnsi="Arial" w:cs="Arial"/>
          <w:b/>
          <w:bCs/>
        </w:rPr>
      </w:pPr>
    </w:p>
    <w:p w14:paraId="7A82E130" w14:textId="5A07EE7E" w:rsidR="000B57C3" w:rsidRDefault="00C41DC9" w:rsidP="00C41DC9">
      <w:pPr>
        <w:ind w:firstLine="0"/>
        <w:jc w:val="center"/>
        <w:rPr>
          <w:rFonts w:ascii="Arial" w:hAnsi="Arial" w:cs="Arial"/>
          <w:sz w:val="20"/>
          <w:szCs w:val="20"/>
        </w:rPr>
      </w:pPr>
      <w:r w:rsidRPr="00C41DC9">
        <w:rPr>
          <w:rFonts w:ascii="Arial" w:hAnsi="Arial" w:cs="Arial"/>
          <w:sz w:val="20"/>
          <w:szCs w:val="20"/>
        </w:rPr>
        <w:lastRenderedPageBreak/>
        <w:t>Table 3. Recommended blood glucose monitoring indicators for adults with Type 2 diabetes</w:t>
      </w:r>
    </w:p>
    <w:p w14:paraId="482F27C7" w14:textId="0874E1CF" w:rsidR="00C41DC9" w:rsidRDefault="00DD5D68" w:rsidP="00C41DC9">
      <w:pPr>
        <w:ind w:firstLine="0"/>
        <w:jc w:val="center"/>
        <w:rPr>
          <w:rFonts w:ascii="Arial" w:hAnsi="Arial" w:cs="Arial"/>
          <w:sz w:val="20"/>
          <w:szCs w:val="20"/>
        </w:rPr>
      </w:pPr>
      <w:r w:rsidRPr="00DD5D68">
        <w:rPr>
          <w:rFonts w:ascii="Arial" w:hAnsi="Arial" w:cs="Arial"/>
          <w:sz w:val="20"/>
          <w:szCs w:val="20"/>
        </w:rPr>
        <w:drawing>
          <wp:inline distT="0" distB="0" distL="0" distR="0" wp14:anchorId="07076FAF" wp14:editId="4876AE6F">
            <wp:extent cx="5535199" cy="2176426"/>
            <wp:effectExtent l="0" t="0" r="8890" b="0"/>
            <wp:docPr id="562040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040713" name=""/>
                    <pic:cNvPicPr/>
                  </pic:nvPicPr>
                  <pic:blipFill>
                    <a:blip r:embed="rId10"/>
                    <a:stretch>
                      <a:fillRect/>
                    </a:stretch>
                  </pic:blipFill>
                  <pic:spPr>
                    <a:xfrm>
                      <a:off x="0" y="0"/>
                      <a:ext cx="5539968" cy="2178301"/>
                    </a:xfrm>
                    <a:prstGeom prst="rect">
                      <a:avLst/>
                    </a:prstGeom>
                  </pic:spPr>
                </pic:pic>
              </a:graphicData>
            </a:graphic>
          </wp:inline>
        </w:drawing>
      </w:r>
    </w:p>
    <w:p w14:paraId="2A712B75" w14:textId="35505B3D" w:rsidR="00DD5D68" w:rsidRDefault="006C3089" w:rsidP="00C41DC9">
      <w:pPr>
        <w:ind w:firstLine="0"/>
        <w:jc w:val="center"/>
        <w:rPr>
          <w:rFonts w:ascii="Arial" w:hAnsi="Arial" w:cs="Arial"/>
          <w:i/>
          <w:iCs/>
          <w:sz w:val="20"/>
          <w:szCs w:val="20"/>
        </w:rPr>
      </w:pPr>
      <w:r w:rsidRPr="009F007F">
        <w:rPr>
          <w:rFonts w:ascii="Arial" w:hAnsi="Arial" w:cs="Arial"/>
          <w:i/>
          <w:iCs/>
          <w:sz w:val="20"/>
          <w:szCs w:val="20"/>
        </w:rPr>
        <w:t>(</w:t>
      </w:r>
      <w:r w:rsidRPr="009F007F">
        <w:rPr>
          <w:rFonts w:ascii="Arial" w:hAnsi="Arial" w:cs="Arial"/>
          <w:i/>
          <w:iCs/>
          <w:sz w:val="20"/>
          <w:szCs w:val="20"/>
        </w:rPr>
        <w:t xml:space="preserve">Sources: </w:t>
      </w:r>
      <w:r w:rsidR="009F007F" w:rsidRPr="009F007F">
        <w:rPr>
          <w:rFonts w:ascii="Arial" w:hAnsi="Arial" w:cs="Arial"/>
          <w:i/>
          <w:iCs/>
          <w:sz w:val="20"/>
          <w:szCs w:val="20"/>
        </w:rPr>
        <w:t>2026</w:t>
      </w:r>
      <w:r w:rsidR="009F007F">
        <w:rPr>
          <w:rFonts w:ascii="Arial" w:hAnsi="Arial" w:cs="Arial"/>
          <w:i/>
          <w:iCs/>
          <w:sz w:val="20"/>
          <w:szCs w:val="20"/>
        </w:rPr>
        <w:t xml:space="preserve">; </w:t>
      </w:r>
      <w:r w:rsidR="009F007F" w:rsidRPr="009F007F">
        <w:rPr>
          <w:rFonts w:ascii="Arial" w:hAnsi="Arial" w:cs="Arial"/>
          <w:i/>
          <w:iCs/>
          <w:sz w:val="20"/>
          <w:szCs w:val="20"/>
        </w:rPr>
        <w:t>Diabetes</w:t>
      </w:r>
      <w:r w:rsidRPr="009F007F">
        <w:rPr>
          <w:rFonts w:ascii="Arial" w:hAnsi="Arial" w:cs="Arial"/>
          <w:i/>
          <w:iCs/>
          <w:sz w:val="20"/>
          <w:szCs w:val="20"/>
        </w:rPr>
        <w:t xml:space="preserve"> UK</w:t>
      </w:r>
      <w:r w:rsidR="009F007F" w:rsidRPr="009F007F">
        <w:rPr>
          <w:rFonts w:ascii="Arial" w:hAnsi="Arial" w:cs="Arial"/>
          <w:i/>
          <w:iCs/>
          <w:sz w:val="20"/>
          <w:szCs w:val="20"/>
        </w:rPr>
        <w:t xml:space="preserve">, </w:t>
      </w:r>
      <w:r w:rsidRPr="009F007F">
        <w:rPr>
          <w:rFonts w:ascii="Arial" w:hAnsi="Arial" w:cs="Arial"/>
          <w:i/>
          <w:iCs/>
          <w:sz w:val="20"/>
          <w:szCs w:val="20"/>
        </w:rPr>
        <w:t>2024</w:t>
      </w:r>
      <w:r w:rsidRPr="009F007F">
        <w:rPr>
          <w:rFonts w:ascii="Arial" w:hAnsi="Arial" w:cs="Arial"/>
          <w:i/>
          <w:iCs/>
          <w:sz w:val="20"/>
          <w:szCs w:val="20"/>
        </w:rPr>
        <w:t>;</w:t>
      </w:r>
      <w:r w:rsidRPr="009F007F">
        <w:rPr>
          <w:rFonts w:ascii="Arial" w:hAnsi="Arial" w:cs="Arial"/>
          <w:i/>
          <w:iCs/>
          <w:sz w:val="20"/>
          <w:szCs w:val="20"/>
        </w:rPr>
        <w:t xml:space="preserve"> American Diabetes Association</w:t>
      </w:r>
      <w:r w:rsidRPr="009F007F">
        <w:rPr>
          <w:rFonts w:ascii="Arial" w:hAnsi="Arial" w:cs="Arial"/>
          <w:i/>
          <w:iCs/>
          <w:sz w:val="20"/>
          <w:szCs w:val="20"/>
        </w:rPr>
        <w:t xml:space="preserve">, </w:t>
      </w:r>
      <w:r w:rsidRPr="009F007F">
        <w:rPr>
          <w:rFonts w:ascii="Arial" w:hAnsi="Arial" w:cs="Arial"/>
          <w:i/>
          <w:iCs/>
          <w:sz w:val="20"/>
          <w:szCs w:val="20"/>
        </w:rPr>
        <w:t>2024)</w:t>
      </w:r>
    </w:p>
    <w:p w14:paraId="7F2E3F85" w14:textId="77777777" w:rsidR="0004331D" w:rsidRPr="0004331D" w:rsidRDefault="0004331D" w:rsidP="00C41DC9">
      <w:pPr>
        <w:ind w:firstLine="0"/>
        <w:jc w:val="center"/>
        <w:rPr>
          <w:rFonts w:ascii="Arial" w:hAnsi="Arial" w:cs="Arial"/>
          <w:i/>
          <w:iCs/>
          <w:sz w:val="16"/>
          <w:szCs w:val="16"/>
        </w:rPr>
      </w:pPr>
    </w:p>
    <w:p w14:paraId="571E9104" w14:textId="13A54FC4" w:rsidR="0004331D" w:rsidRDefault="0004331D" w:rsidP="0004331D">
      <w:pPr>
        <w:rPr>
          <w:rFonts w:ascii="Arial" w:hAnsi="Arial" w:cs="Arial"/>
        </w:rPr>
      </w:pPr>
      <w:r w:rsidRPr="0004331D">
        <w:rPr>
          <w:rFonts w:ascii="Arial" w:hAnsi="Arial" w:cs="Arial"/>
        </w:rPr>
        <w:t xml:space="preserve">Target for many individuals treated with lifestyle change or metformin depending on </w:t>
      </w:r>
      <w:r w:rsidRPr="0004331D">
        <w:rPr>
          <w:rFonts w:ascii="Arial" w:hAnsi="Arial" w:cs="Arial"/>
        </w:rPr>
        <w:t>circumstances</w:t>
      </w:r>
      <w:r w:rsidRPr="0004331D">
        <w:rPr>
          <w:rFonts w:ascii="Arial" w:hAnsi="Arial" w:cs="Arial"/>
        </w:rPr>
        <w:t>.</w:t>
      </w:r>
    </w:p>
    <w:p w14:paraId="200E8356" w14:textId="5A099672" w:rsidR="0004331D" w:rsidRDefault="007677CF" w:rsidP="0004331D">
      <w:pPr>
        <w:rPr>
          <w:rFonts w:ascii="Arial" w:hAnsi="Arial" w:cs="Arial"/>
        </w:rPr>
      </w:pPr>
      <w:r w:rsidRPr="007677CF">
        <w:rPr>
          <w:rFonts w:ascii="Arial" w:hAnsi="Arial" w:cs="Arial"/>
        </w:rPr>
        <w:t>As shown in Table 3, optimal diabetes care requires regular blood glucose monitoring, long-term HbA1c evaluation, and, where necessary, continuous glucose monitoring. Daily glucose readings allow prompt treatment choices, whereas HbA1c gives a longer-term assessment of glycaemic management. These aims improve cardiovascular, renal, and neurological health and prevent hyperglycaemia, hypoglycaemia, and diabetic complications. Systematic blood glucose monitoring and interpretation allow patients and healthcare providers to make evidence-based therapeutic choices that enhance safety, treatment efficacy, and quality of life. This focus on patient-</w:t>
      </w:r>
      <w:proofErr w:type="spellStart"/>
      <w:r w:rsidRPr="007677CF">
        <w:rPr>
          <w:rFonts w:ascii="Arial" w:hAnsi="Arial" w:cs="Arial"/>
        </w:rPr>
        <w:t>centered</w:t>
      </w:r>
      <w:proofErr w:type="spellEnd"/>
      <w:r w:rsidRPr="007677CF">
        <w:rPr>
          <w:rFonts w:ascii="Arial" w:hAnsi="Arial" w:cs="Arial"/>
        </w:rPr>
        <w:t xml:space="preserve"> monitoring naturally leads to evaluating how healthcare professionals may help Type 2 diabetics via education, evaluation, and multidisciplinary treatment.</w:t>
      </w:r>
    </w:p>
    <w:p w14:paraId="231E9653" w14:textId="73C5E73D" w:rsidR="00B02D7F" w:rsidRDefault="00B02D7F" w:rsidP="00B02D7F">
      <w:pPr>
        <w:pStyle w:val="Heading1"/>
        <w:spacing w:before="120"/>
        <w:rPr>
          <w:b/>
          <w:bCs/>
          <w:sz w:val="22"/>
          <w:szCs w:val="22"/>
        </w:rPr>
      </w:pPr>
      <w:bookmarkStart w:id="4" w:name="_Toc233364738"/>
      <w:r w:rsidRPr="00B02D7F">
        <w:rPr>
          <w:b/>
          <w:bCs/>
          <w:sz w:val="22"/>
          <w:szCs w:val="22"/>
        </w:rPr>
        <w:t>5. E</w:t>
      </w:r>
      <w:r w:rsidRPr="00B02D7F">
        <w:rPr>
          <w:b/>
          <w:bCs/>
          <w:sz w:val="22"/>
          <w:szCs w:val="22"/>
        </w:rPr>
        <w:t>vidence-based recommendations</w:t>
      </w:r>
      <w:bookmarkEnd w:id="4"/>
    </w:p>
    <w:p w14:paraId="625B64B7" w14:textId="30732592" w:rsidR="00B76345" w:rsidRPr="00B76345" w:rsidRDefault="00B76345" w:rsidP="00B76345">
      <w:pPr>
        <w:rPr>
          <w:rFonts w:ascii="Arial" w:hAnsi="Arial" w:cs="Arial"/>
        </w:rPr>
      </w:pPr>
      <w:r w:rsidRPr="00B76345">
        <w:rPr>
          <w:rFonts w:ascii="Arial" w:hAnsi="Arial" w:cs="Arial"/>
        </w:rPr>
        <w:t>Along with frequent blood glucose monitoring, Type 2 diabetes mellitus (T2DM) care involves sustained lifestyle changes to address the root reasons of poor glycaemic control. Although medication is important for many people, diet, physical activity, and smoking cessation can improve insulin sensitivity, lower blood glucose, and reduce diabetes complications. Instead of short-term therapies that may not endure, healthcare providers should urge patients to make realistic and sustainable lifestyle changes (NICE, 2026).</w:t>
      </w:r>
    </w:p>
    <w:p w14:paraId="44701938" w14:textId="4588CF44" w:rsidR="00B02D7F" w:rsidRDefault="00B76345" w:rsidP="00B76345">
      <w:pPr>
        <w:rPr>
          <w:rFonts w:ascii="Arial" w:hAnsi="Arial" w:cs="Arial"/>
        </w:rPr>
      </w:pPr>
      <w:r w:rsidRPr="00B76345">
        <w:rPr>
          <w:rFonts w:ascii="Arial" w:hAnsi="Arial" w:cs="Arial"/>
        </w:rPr>
        <w:t xml:space="preserve">One of the best diets is one rich in whole grains, vegetables, fruit, lean protein, and healthy unsaturated fats and low in processed carbohydrates and saturated fats. Regular mealtimes and portion management may further minimise blood glucose spikes. At least 150 minutes of </w:t>
      </w:r>
      <w:r w:rsidRPr="00B76345">
        <w:rPr>
          <w:rFonts w:ascii="Arial" w:hAnsi="Arial" w:cs="Arial"/>
        </w:rPr>
        <w:t>moderate intensity</w:t>
      </w:r>
      <w:r w:rsidRPr="00B76345">
        <w:rPr>
          <w:rFonts w:ascii="Arial" w:hAnsi="Arial" w:cs="Arial"/>
        </w:rPr>
        <w:t xml:space="preserve"> exercise each week helps persons with T2DM control weight, glucose absorption by skeletal muscles, and insulin sensitivity. Stopping smoking is also </w:t>
      </w:r>
      <w:r w:rsidRPr="00B76345">
        <w:rPr>
          <w:rFonts w:ascii="Arial" w:hAnsi="Arial" w:cs="Arial"/>
        </w:rPr>
        <w:lastRenderedPageBreak/>
        <w:t>important since it accelerates cardiovascular disease, lowers blood circulation, and increases diabetes problems. Weight management, stress management, alcohol reduction, and sleep enhance metabolic regulation and general health. For optimal adherence and long-term success, these guidelines should be adjusted to each patient's health, preferences, and objectives. With lifestyle changes, frequent monitoring, and proper medication care, T2DM patients may improve their glycaemic control, complications, and quality of life. The conclusion discusses this report's primary conclusions using these evidence-based suggestions.</w:t>
      </w:r>
    </w:p>
    <w:p w14:paraId="6665443F" w14:textId="77777777" w:rsidR="00B76345" w:rsidRPr="00B76345" w:rsidRDefault="00B76345" w:rsidP="00B76345">
      <w:pPr>
        <w:rPr>
          <w:rFonts w:ascii="Arial" w:hAnsi="Arial" w:cs="Arial"/>
        </w:rPr>
      </w:pPr>
    </w:p>
    <w:p w14:paraId="795C506B" w14:textId="77777777" w:rsidR="000B57C3" w:rsidRDefault="000B57C3" w:rsidP="00BE2BFF">
      <w:pPr>
        <w:ind w:firstLine="0"/>
        <w:jc w:val="left"/>
        <w:rPr>
          <w:rFonts w:ascii="Arial" w:hAnsi="Arial" w:cs="Arial"/>
          <w:b/>
          <w:bCs/>
        </w:rPr>
      </w:pPr>
    </w:p>
    <w:p w14:paraId="307C2BE8" w14:textId="77777777" w:rsidR="000B57C3" w:rsidRDefault="000B57C3" w:rsidP="00BE2BFF">
      <w:pPr>
        <w:ind w:firstLine="0"/>
        <w:jc w:val="left"/>
        <w:rPr>
          <w:rFonts w:ascii="Arial" w:hAnsi="Arial" w:cs="Arial"/>
          <w:b/>
          <w:bCs/>
        </w:rPr>
      </w:pPr>
    </w:p>
    <w:p w14:paraId="5160AF30" w14:textId="77777777" w:rsidR="000B57C3" w:rsidRDefault="000B57C3" w:rsidP="00BE2BFF">
      <w:pPr>
        <w:ind w:firstLine="0"/>
        <w:jc w:val="left"/>
        <w:rPr>
          <w:rFonts w:ascii="Arial" w:hAnsi="Arial" w:cs="Arial"/>
          <w:b/>
          <w:bCs/>
        </w:rPr>
      </w:pPr>
    </w:p>
    <w:p w14:paraId="452D40D2" w14:textId="77777777" w:rsidR="000B57C3" w:rsidRDefault="000B57C3" w:rsidP="00BE2BFF">
      <w:pPr>
        <w:ind w:firstLine="0"/>
        <w:jc w:val="left"/>
        <w:rPr>
          <w:rFonts w:ascii="Arial" w:hAnsi="Arial" w:cs="Arial"/>
          <w:b/>
          <w:bCs/>
        </w:rPr>
      </w:pPr>
    </w:p>
    <w:p w14:paraId="5E50BAE8" w14:textId="77777777" w:rsidR="000B57C3" w:rsidRDefault="000B57C3" w:rsidP="00BE2BFF">
      <w:pPr>
        <w:ind w:firstLine="0"/>
        <w:jc w:val="left"/>
        <w:rPr>
          <w:rFonts w:ascii="Arial" w:hAnsi="Arial" w:cs="Arial"/>
          <w:b/>
          <w:bCs/>
        </w:rPr>
      </w:pPr>
    </w:p>
    <w:p w14:paraId="0387BBAB" w14:textId="77777777" w:rsidR="000B57C3" w:rsidRDefault="000B57C3" w:rsidP="00BE2BFF">
      <w:pPr>
        <w:ind w:firstLine="0"/>
        <w:jc w:val="left"/>
        <w:rPr>
          <w:rFonts w:ascii="Arial" w:hAnsi="Arial" w:cs="Arial"/>
          <w:b/>
          <w:bCs/>
        </w:rPr>
      </w:pPr>
    </w:p>
    <w:p w14:paraId="5A9DB78E" w14:textId="77777777" w:rsidR="000B57C3" w:rsidRDefault="000B57C3" w:rsidP="00BE2BFF">
      <w:pPr>
        <w:ind w:firstLine="0"/>
        <w:jc w:val="left"/>
        <w:rPr>
          <w:rFonts w:ascii="Arial" w:hAnsi="Arial" w:cs="Arial"/>
          <w:b/>
          <w:bCs/>
        </w:rPr>
      </w:pPr>
    </w:p>
    <w:p w14:paraId="1A5990E6" w14:textId="77777777" w:rsidR="000B57C3" w:rsidRDefault="000B57C3" w:rsidP="00BE2BFF">
      <w:pPr>
        <w:ind w:firstLine="0"/>
        <w:jc w:val="left"/>
        <w:rPr>
          <w:rFonts w:ascii="Arial" w:hAnsi="Arial" w:cs="Arial"/>
          <w:b/>
          <w:bCs/>
        </w:rPr>
      </w:pPr>
    </w:p>
    <w:p w14:paraId="509D9FA9" w14:textId="77777777" w:rsidR="000B57C3" w:rsidRDefault="000B57C3" w:rsidP="00BE2BFF">
      <w:pPr>
        <w:ind w:firstLine="0"/>
        <w:jc w:val="left"/>
        <w:rPr>
          <w:rFonts w:ascii="Arial" w:hAnsi="Arial" w:cs="Arial"/>
          <w:b/>
          <w:bCs/>
        </w:rPr>
      </w:pPr>
    </w:p>
    <w:p w14:paraId="5868B51B" w14:textId="77777777" w:rsidR="000B57C3" w:rsidRDefault="000B57C3" w:rsidP="00BE2BFF">
      <w:pPr>
        <w:ind w:firstLine="0"/>
        <w:jc w:val="left"/>
        <w:rPr>
          <w:rFonts w:ascii="Arial" w:hAnsi="Arial" w:cs="Arial"/>
          <w:b/>
          <w:bCs/>
        </w:rPr>
      </w:pPr>
    </w:p>
    <w:p w14:paraId="0C509D65" w14:textId="77777777" w:rsidR="000B57C3" w:rsidRDefault="000B57C3" w:rsidP="00BE2BFF">
      <w:pPr>
        <w:ind w:firstLine="0"/>
        <w:jc w:val="left"/>
        <w:rPr>
          <w:rFonts w:ascii="Arial" w:hAnsi="Arial" w:cs="Arial"/>
          <w:b/>
          <w:bCs/>
        </w:rPr>
      </w:pPr>
    </w:p>
    <w:p w14:paraId="1C1684B6" w14:textId="77777777" w:rsidR="000B57C3" w:rsidRDefault="000B57C3" w:rsidP="00BE2BFF">
      <w:pPr>
        <w:ind w:firstLine="0"/>
        <w:jc w:val="left"/>
        <w:rPr>
          <w:rFonts w:ascii="Arial" w:hAnsi="Arial" w:cs="Arial"/>
          <w:b/>
          <w:bCs/>
        </w:rPr>
      </w:pPr>
    </w:p>
    <w:p w14:paraId="3C9125F4" w14:textId="77777777" w:rsidR="000B57C3" w:rsidRDefault="000B57C3" w:rsidP="00BE2BFF">
      <w:pPr>
        <w:ind w:firstLine="0"/>
        <w:jc w:val="left"/>
        <w:rPr>
          <w:rFonts w:ascii="Arial" w:hAnsi="Arial" w:cs="Arial"/>
          <w:b/>
          <w:bCs/>
        </w:rPr>
      </w:pPr>
    </w:p>
    <w:p w14:paraId="1D25ED0A" w14:textId="77777777" w:rsidR="000B57C3" w:rsidRDefault="000B57C3" w:rsidP="00BE2BFF">
      <w:pPr>
        <w:ind w:firstLine="0"/>
        <w:jc w:val="left"/>
        <w:rPr>
          <w:rFonts w:ascii="Arial" w:hAnsi="Arial" w:cs="Arial"/>
          <w:b/>
          <w:bCs/>
        </w:rPr>
      </w:pPr>
    </w:p>
    <w:p w14:paraId="5A2F8D07" w14:textId="77777777" w:rsidR="000B57C3" w:rsidRDefault="000B57C3" w:rsidP="00BE2BFF">
      <w:pPr>
        <w:ind w:firstLine="0"/>
        <w:jc w:val="left"/>
        <w:rPr>
          <w:rFonts w:ascii="Arial" w:hAnsi="Arial" w:cs="Arial"/>
          <w:b/>
          <w:bCs/>
        </w:rPr>
      </w:pPr>
    </w:p>
    <w:p w14:paraId="09F67043" w14:textId="77777777" w:rsidR="000B57C3" w:rsidRDefault="000B57C3" w:rsidP="00BE2BFF">
      <w:pPr>
        <w:ind w:firstLine="0"/>
        <w:jc w:val="left"/>
        <w:rPr>
          <w:rFonts w:ascii="Arial" w:hAnsi="Arial" w:cs="Arial"/>
          <w:b/>
          <w:bCs/>
        </w:rPr>
      </w:pPr>
    </w:p>
    <w:p w14:paraId="66F24894" w14:textId="77777777" w:rsidR="000B57C3" w:rsidRDefault="000B57C3" w:rsidP="00BE2BFF">
      <w:pPr>
        <w:ind w:firstLine="0"/>
        <w:jc w:val="left"/>
        <w:rPr>
          <w:rFonts w:ascii="Arial" w:hAnsi="Arial" w:cs="Arial"/>
          <w:b/>
          <w:bCs/>
        </w:rPr>
      </w:pPr>
    </w:p>
    <w:p w14:paraId="759F2866" w14:textId="77777777" w:rsidR="000B57C3" w:rsidRDefault="000B57C3" w:rsidP="00BE2BFF">
      <w:pPr>
        <w:ind w:firstLine="0"/>
        <w:jc w:val="left"/>
        <w:rPr>
          <w:rFonts w:ascii="Arial" w:hAnsi="Arial" w:cs="Arial"/>
          <w:b/>
          <w:bCs/>
        </w:rPr>
      </w:pPr>
    </w:p>
    <w:p w14:paraId="5B054160" w14:textId="77777777" w:rsidR="000B57C3" w:rsidRDefault="000B57C3" w:rsidP="00BE2BFF">
      <w:pPr>
        <w:ind w:firstLine="0"/>
        <w:jc w:val="left"/>
        <w:rPr>
          <w:rFonts w:ascii="Arial" w:hAnsi="Arial" w:cs="Arial"/>
          <w:b/>
          <w:bCs/>
        </w:rPr>
      </w:pPr>
    </w:p>
    <w:p w14:paraId="4E4E825A" w14:textId="77777777" w:rsidR="000B57C3" w:rsidRDefault="000B57C3" w:rsidP="00BE2BFF">
      <w:pPr>
        <w:ind w:firstLine="0"/>
        <w:jc w:val="left"/>
        <w:rPr>
          <w:rFonts w:ascii="Arial" w:hAnsi="Arial" w:cs="Arial"/>
          <w:b/>
          <w:bCs/>
        </w:rPr>
      </w:pPr>
    </w:p>
    <w:p w14:paraId="2A657AB0" w14:textId="77777777" w:rsidR="000B57C3" w:rsidRDefault="000B57C3" w:rsidP="00BE2BFF">
      <w:pPr>
        <w:ind w:firstLine="0"/>
        <w:jc w:val="left"/>
        <w:rPr>
          <w:rFonts w:ascii="Arial" w:hAnsi="Arial" w:cs="Arial"/>
          <w:b/>
          <w:bCs/>
        </w:rPr>
      </w:pPr>
    </w:p>
    <w:p w14:paraId="28D0F644" w14:textId="77777777" w:rsidR="00B76345" w:rsidRDefault="00B76345" w:rsidP="00BE2BFF">
      <w:pPr>
        <w:ind w:firstLine="0"/>
        <w:jc w:val="left"/>
        <w:rPr>
          <w:rFonts w:ascii="Arial" w:hAnsi="Arial" w:cs="Arial"/>
          <w:b/>
          <w:bCs/>
        </w:rPr>
      </w:pPr>
    </w:p>
    <w:p w14:paraId="375868F0" w14:textId="77777777" w:rsidR="00B76345" w:rsidRDefault="00B76345" w:rsidP="00BE2BFF">
      <w:pPr>
        <w:ind w:firstLine="0"/>
        <w:jc w:val="left"/>
        <w:rPr>
          <w:rFonts w:ascii="Arial" w:hAnsi="Arial" w:cs="Arial"/>
          <w:b/>
          <w:bCs/>
        </w:rPr>
      </w:pPr>
    </w:p>
    <w:p w14:paraId="5E30DC3D" w14:textId="77777777" w:rsidR="00B76345" w:rsidRDefault="00B76345" w:rsidP="00BE2BFF">
      <w:pPr>
        <w:ind w:firstLine="0"/>
        <w:jc w:val="left"/>
        <w:rPr>
          <w:rFonts w:ascii="Arial" w:hAnsi="Arial" w:cs="Arial"/>
          <w:b/>
          <w:bCs/>
        </w:rPr>
      </w:pPr>
    </w:p>
    <w:p w14:paraId="621FDFB1" w14:textId="77777777" w:rsidR="00B76345" w:rsidRDefault="00B76345" w:rsidP="00BE2BFF">
      <w:pPr>
        <w:ind w:firstLine="0"/>
        <w:jc w:val="left"/>
        <w:rPr>
          <w:rFonts w:ascii="Arial" w:hAnsi="Arial" w:cs="Arial"/>
          <w:b/>
          <w:bCs/>
        </w:rPr>
      </w:pPr>
    </w:p>
    <w:p w14:paraId="1C9D17C2" w14:textId="77777777" w:rsidR="00B76345" w:rsidRDefault="00B76345" w:rsidP="00BE2BFF">
      <w:pPr>
        <w:ind w:firstLine="0"/>
        <w:jc w:val="left"/>
        <w:rPr>
          <w:rFonts w:ascii="Arial" w:hAnsi="Arial" w:cs="Arial"/>
          <w:b/>
          <w:bCs/>
        </w:rPr>
      </w:pPr>
    </w:p>
    <w:p w14:paraId="7C34C8FA" w14:textId="4B46A015" w:rsidR="004F312B" w:rsidRDefault="00CD44DA" w:rsidP="00596968">
      <w:pPr>
        <w:pStyle w:val="Heading1"/>
        <w:rPr>
          <w:b/>
          <w:bCs/>
          <w:sz w:val="22"/>
          <w:szCs w:val="22"/>
        </w:rPr>
      </w:pPr>
      <w:bookmarkStart w:id="5" w:name="_Toc233364739"/>
      <w:r>
        <w:rPr>
          <w:b/>
          <w:bCs/>
          <w:sz w:val="22"/>
          <w:szCs w:val="22"/>
        </w:rPr>
        <w:lastRenderedPageBreak/>
        <w:t xml:space="preserve">6. </w:t>
      </w:r>
      <w:r w:rsidR="008A5667" w:rsidRPr="00596968">
        <w:rPr>
          <w:b/>
          <w:bCs/>
          <w:sz w:val="22"/>
          <w:szCs w:val="22"/>
        </w:rPr>
        <w:t>Conclusion</w:t>
      </w:r>
      <w:bookmarkEnd w:id="5"/>
    </w:p>
    <w:p w14:paraId="6DDC67A2" w14:textId="6729BC5B" w:rsidR="00CD44DA" w:rsidRPr="00CD44DA" w:rsidRDefault="00CD44DA" w:rsidP="00CD44DA">
      <w:pPr>
        <w:rPr>
          <w:rFonts w:ascii="Arial" w:hAnsi="Arial" w:cs="Arial"/>
        </w:rPr>
      </w:pPr>
      <w:r w:rsidRPr="00CD44DA">
        <w:rPr>
          <w:rFonts w:ascii="Arial" w:hAnsi="Arial" w:cs="Arial"/>
        </w:rPr>
        <w:t>This study shows that regular blood glucose levels are essential for health and Type 2 diabetes prevention. Insulin and glucagon work together to control glucose homeostasis, keeping blood glucose within a safe physiological range despite changes in food and energy demand. Chronic hyperglycaemia increases the risk of significant microvascular and macrovascular consequences when insulin resistance and decreased insulin production disrupt this regulating system.</w:t>
      </w:r>
    </w:p>
    <w:p w14:paraId="52A05BD1" w14:textId="4E245D38" w:rsidR="00CD44DA" w:rsidRPr="00CD44DA" w:rsidRDefault="00CD44DA" w:rsidP="00CD44DA">
      <w:pPr>
        <w:rPr>
          <w:rFonts w:ascii="Arial" w:hAnsi="Arial" w:cs="Arial"/>
        </w:rPr>
      </w:pPr>
      <w:r w:rsidRPr="00CD44DA">
        <w:rPr>
          <w:rFonts w:ascii="Arial" w:hAnsi="Arial" w:cs="Arial"/>
        </w:rPr>
        <w:t>The paper also explored how glucose and oxygen combine to make ATP, showing that aerobic respiration in the mitochondria provides the most energy for proper cellular activity. Insufficient oxygen lowers ATP generation, showing the strong link between glucose management, oxygen delivery, and metabolic health. Healthcare providers need to understand these physiological processes to explain diabetes treatment to patients and promote evidence-based clinical practice.</w:t>
      </w:r>
    </w:p>
    <w:p w14:paraId="308324D1" w14:textId="28E6FD5F" w:rsidR="00CD44DA" w:rsidRPr="00CD44DA" w:rsidRDefault="00CD44DA" w:rsidP="00CD44DA">
      <w:pPr>
        <w:rPr>
          <w:rFonts w:ascii="Arial" w:hAnsi="Arial" w:cs="Arial"/>
        </w:rPr>
      </w:pPr>
      <w:r w:rsidRPr="00CD44DA">
        <w:rPr>
          <w:rFonts w:ascii="Arial" w:hAnsi="Arial" w:cs="Arial"/>
        </w:rPr>
        <w:t>According to the research, finger-prick testing, continuous glucose monitoring, and HbA1c measurement are crucial for blood glucose monitoring. Patients and healthcare providers may assess treatment efficacy, recognise aberrant glucose patterns, and alter medication, food, and exercise with regular monitoring. The patient-</w:t>
      </w:r>
      <w:proofErr w:type="spellStart"/>
      <w:r w:rsidRPr="00CD44DA">
        <w:rPr>
          <w:rFonts w:ascii="Arial" w:hAnsi="Arial" w:cs="Arial"/>
        </w:rPr>
        <w:t>centered</w:t>
      </w:r>
      <w:proofErr w:type="spellEnd"/>
      <w:r w:rsidRPr="00CD44DA">
        <w:rPr>
          <w:rFonts w:ascii="Arial" w:hAnsi="Arial" w:cs="Arial"/>
        </w:rPr>
        <w:t xml:space="preserve"> approach promotes self-management and reduces unnecessary diabetic complications.</w:t>
      </w:r>
    </w:p>
    <w:p w14:paraId="6F3F260C" w14:textId="3228307B" w:rsidR="00CD44DA" w:rsidRPr="00CD44DA" w:rsidRDefault="00CD44DA" w:rsidP="00CD44DA">
      <w:pPr>
        <w:rPr>
          <w:rFonts w:ascii="Arial" w:hAnsi="Arial" w:cs="Arial"/>
        </w:rPr>
      </w:pPr>
      <w:r w:rsidRPr="00CD44DA">
        <w:rPr>
          <w:rFonts w:ascii="Arial" w:hAnsi="Arial" w:cs="Arial"/>
        </w:rPr>
        <w:t>Finally, long-term diabetes care requires evidence-based lifestyle therapies such a balanced diet, frequent exercise, healthy weight control, and smoking cessation. With frequent blood glucose monitoring and pharmaceutical therapy, these approaches increase insulin sensitivity, glycaemic management, and quality of life. The integrated management of Type 2 diabetes requires physiological understanding, continuous monitoring, and sustainable lifestyle modification to reduce complications and improve long-term health outcomes.</w:t>
      </w:r>
    </w:p>
    <w:p w14:paraId="071334D7" w14:textId="77777777" w:rsidR="008A5667" w:rsidRDefault="008A5667" w:rsidP="00BE2BFF">
      <w:pPr>
        <w:ind w:firstLine="0"/>
        <w:jc w:val="left"/>
        <w:rPr>
          <w:rFonts w:ascii="Arial" w:hAnsi="Arial" w:cs="Arial"/>
          <w:b/>
          <w:bCs/>
        </w:rPr>
      </w:pPr>
    </w:p>
    <w:p w14:paraId="2A811350" w14:textId="77777777" w:rsidR="008A5667" w:rsidRDefault="008A5667" w:rsidP="00BE2BFF">
      <w:pPr>
        <w:ind w:firstLine="0"/>
        <w:jc w:val="left"/>
        <w:rPr>
          <w:rFonts w:ascii="Arial" w:hAnsi="Arial" w:cs="Arial"/>
          <w:b/>
          <w:bCs/>
        </w:rPr>
      </w:pPr>
    </w:p>
    <w:p w14:paraId="7A6677F1" w14:textId="77777777" w:rsidR="008A5667" w:rsidRDefault="008A5667" w:rsidP="00BE2BFF">
      <w:pPr>
        <w:ind w:firstLine="0"/>
        <w:jc w:val="left"/>
        <w:rPr>
          <w:rFonts w:ascii="Arial" w:hAnsi="Arial" w:cs="Arial"/>
          <w:b/>
          <w:bCs/>
        </w:rPr>
      </w:pPr>
    </w:p>
    <w:p w14:paraId="4C75FA46" w14:textId="77777777" w:rsidR="008A5667" w:rsidRDefault="008A5667" w:rsidP="00BE2BFF">
      <w:pPr>
        <w:ind w:firstLine="0"/>
        <w:jc w:val="left"/>
        <w:rPr>
          <w:rFonts w:ascii="Arial" w:hAnsi="Arial" w:cs="Arial"/>
          <w:b/>
          <w:bCs/>
        </w:rPr>
      </w:pPr>
    </w:p>
    <w:p w14:paraId="14C58A2D" w14:textId="77777777" w:rsidR="008A5667" w:rsidRDefault="008A5667" w:rsidP="00BE2BFF">
      <w:pPr>
        <w:ind w:firstLine="0"/>
        <w:jc w:val="left"/>
        <w:rPr>
          <w:rFonts w:ascii="Arial" w:hAnsi="Arial" w:cs="Arial"/>
          <w:b/>
          <w:bCs/>
        </w:rPr>
      </w:pPr>
    </w:p>
    <w:p w14:paraId="729019B5" w14:textId="77777777" w:rsidR="008A5667" w:rsidRDefault="008A5667" w:rsidP="00BE2BFF">
      <w:pPr>
        <w:ind w:firstLine="0"/>
        <w:jc w:val="left"/>
        <w:rPr>
          <w:rFonts w:ascii="Arial" w:hAnsi="Arial" w:cs="Arial"/>
          <w:b/>
          <w:bCs/>
        </w:rPr>
      </w:pPr>
    </w:p>
    <w:p w14:paraId="66769519" w14:textId="77777777" w:rsidR="008A5667" w:rsidRDefault="008A5667" w:rsidP="00BE2BFF">
      <w:pPr>
        <w:ind w:firstLine="0"/>
        <w:jc w:val="left"/>
        <w:rPr>
          <w:rFonts w:ascii="Arial" w:hAnsi="Arial" w:cs="Arial"/>
          <w:b/>
          <w:bCs/>
        </w:rPr>
      </w:pPr>
    </w:p>
    <w:p w14:paraId="14D45704" w14:textId="77777777" w:rsidR="008A5667" w:rsidRDefault="008A5667" w:rsidP="00BE2BFF">
      <w:pPr>
        <w:ind w:firstLine="0"/>
        <w:jc w:val="left"/>
        <w:rPr>
          <w:rFonts w:ascii="Arial" w:hAnsi="Arial" w:cs="Arial"/>
          <w:b/>
          <w:bCs/>
        </w:rPr>
      </w:pPr>
    </w:p>
    <w:p w14:paraId="71E41440" w14:textId="77777777" w:rsidR="008A5667" w:rsidRDefault="008A5667" w:rsidP="00BE2BFF">
      <w:pPr>
        <w:ind w:firstLine="0"/>
        <w:jc w:val="left"/>
        <w:rPr>
          <w:rFonts w:ascii="Arial" w:hAnsi="Arial" w:cs="Arial"/>
          <w:b/>
          <w:bCs/>
        </w:rPr>
      </w:pPr>
    </w:p>
    <w:p w14:paraId="039570EE" w14:textId="77777777" w:rsidR="008A5667" w:rsidRDefault="008A5667" w:rsidP="00BE2BFF">
      <w:pPr>
        <w:ind w:firstLine="0"/>
        <w:jc w:val="left"/>
        <w:rPr>
          <w:rFonts w:ascii="Arial" w:hAnsi="Arial" w:cs="Arial"/>
          <w:b/>
          <w:bCs/>
        </w:rPr>
      </w:pPr>
    </w:p>
    <w:p w14:paraId="5FF40692" w14:textId="77777777" w:rsidR="008A5667" w:rsidRDefault="008A5667" w:rsidP="00BE2BFF">
      <w:pPr>
        <w:ind w:firstLine="0"/>
        <w:jc w:val="left"/>
        <w:rPr>
          <w:rFonts w:ascii="Arial" w:hAnsi="Arial" w:cs="Arial"/>
          <w:b/>
          <w:bCs/>
        </w:rPr>
      </w:pPr>
    </w:p>
    <w:p w14:paraId="7B64758D" w14:textId="77777777" w:rsidR="005903E7" w:rsidRDefault="005903E7" w:rsidP="00D1087F">
      <w:pPr>
        <w:ind w:firstLine="0"/>
        <w:rPr>
          <w:rFonts w:ascii="Arial" w:hAnsi="Arial" w:cs="Arial"/>
          <w:b/>
          <w:bCs/>
        </w:rPr>
      </w:pPr>
    </w:p>
    <w:p w14:paraId="49974A50" w14:textId="51BCBA65" w:rsidR="00F878A5" w:rsidRDefault="00151E6B" w:rsidP="00F878A5">
      <w:pPr>
        <w:pStyle w:val="Heading1"/>
        <w:spacing w:before="0" w:after="0"/>
        <w:ind w:firstLine="0"/>
        <w:jc w:val="left"/>
        <w:rPr>
          <w:b/>
          <w:bCs/>
          <w:sz w:val="22"/>
          <w:szCs w:val="22"/>
        </w:rPr>
      </w:pPr>
      <w:bookmarkStart w:id="6" w:name="_Toc233364740"/>
      <w:r w:rsidRPr="00DA1253">
        <w:rPr>
          <w:b/>
          <w:bCs/>
          <w:sz w:val="22"/>
          <w:szCs w:val="22"/>
        </w:rPr>
        <w:lastRenderedPageBreak/>
        <w:t>References:</w:t>
      </w:r>
      <w:bookmarkEnd w:id="6"/>
    </w:p>
    <w:p w14:paraId="6461C702" w14:textId="77777777" w:rsidR="00F878A5" w:rsidRPr="00645899" w:rsidRDefault="00F878A5" w:rsidP="00F878A5">
      <w:pPr>
        <w:rPr>
          <w:sz w:val="16"/>
          <w:szCs w:val="16"/>
        </w:rPr>
      </w:pPr>
    </w:p>
    <w:p w14:paraId="5A67E993" w14:textId="06B81CFE" w:rsidR="00F878A5" w:rsidRPr="00645899" w:rsidRDefault="00F878A5" w:rsidP="00F878A5">
      <w:pPr>
        <w:ind w:firstLine="0"/>
        <w:jc w:val="left"/>
        <w:rPr>
          <w:rFonts w:ascii="Arial" w:hAnsi="Arial" w:cs="Arial"/>
        </w:rPr>
      </w:pPr>
      <w:r w:rsidRPr="00645899">
        <w:rPr>
          <w:rFonts w:ascii="Arial" w:hAnsi="Arial" w:cs="Arial"/>
        </w:rPr>
        <w:t xml:space="preserve">American Diabetes Association (2024) </w:t>
      </w:r>
      <w:r w:rsidRPr="00645899">
        <w:rPr>
          <w:rFonts w:ascii="Arial" w:hAnsi="Arial" w:cs="Arial"/>
          <w:i/>
          <w:iCs/>
        </w:rPr>
        <w:t>Standards of Care in Diabetes-2024</w:t>
      </w:r>
      <w:r w:rsidRPr="00645899">
        <w:rPr>
          <w:rFonts w:ascii="Arial" w:hAnsi="Arial" w:cs="Arial"/>
        </w:rPr>
        <w:t xml:space="preserve">. </w:t>
      </w:r>
      <w:r w:rsidRPr="00645899">
        <w:rPr>
          <w:rFonts w:ascii="Arial" w:hAnsi="Arial" w:cs="Arial"/>
          <w:i/>
          <w:iCs/>
        </w:rPr>
        <w:t>Diabetes Care</w:t>
      </w:r>
      <w:r w:rsidRPr="00645899">
        <w:rPr>
          <w:rFonts w:ascii="Arial" w:hAnsi="Arial" w:cs="Arial"/>
        </w:rPr>
        <w:t xml:space="preserve">, 47(Suppl. 1). Available at: </w:t>
      </w:r>
      <w:hyperlink r:id="rId11" w:history="1">
        <w:r w:rsidRPr="00645899">
          <w:rPr>
            <w:rStyle w:val="Hyperlink"/>
            <w:rFonts w:ascii="Arial" w:hAnsi="Arial" w:cs="Arial"/>
            <w:color w:val="auto"/>
          </w:rPr>
          <w:t>https://diabetesjournals.org/care/issue/47/Supplement_1</w:t>
        </w:r>
      </w:hyperlink>
      <w:r w:rsidRPr="00645899">
        <w:rPr>
          <w:rFonts w:ascii="Arial" w:hAnsi="Arial" w:cs="Arial"/>
        </w:rPr>
        <w:t xml:space="preserve"> (Accessed: 2</w:t>
      </w:r>
      <w:r w:rsidR="00645899" w:rsidRPr="00645899">
        <w:rPr>
          <w:rFonts w:ascii="Arial" w:hAnsi="Arial" w:cs="Arial"/>
        </w:rPr>
        <w:t>5/06/</w:t>
      </w:r>
      <w:r w:rsidRPr="00645899">
        <w:rPr>
          <w:rFonts w:ascii="Arial" w:hAnsi="Arial" w:cs="Arial"/>
        </w:rPr>
        <w:t>2026).</w:t>
      </w:r>
    </w:p>
    <w:p w14:paraId="5DCA4780" w14:textId="77777777" w:rsidR="00F878A5" w:rsidRPr="00645899" w:rsidRDefault="00F878A5" w:rsidP="00F878A5">
      <w:pPr>
        <w:ind w:firstLine="0"/>
        <w:jc w:val="left"/>
        <w:rPr>
          <w:rFonts w:ascii="Arial" w:hAnsi="Arial" w:cs="Arial"/>
          <w:sz w:val="16"/>
          <w:szCs w:val="16"/>
        </w:rPr>
      </w:pPr>
    </w:p>
    <w:p w14:paraId="5F7897D9" w14:textId="1AE38027" w:rsidR="00F878A5" w:rsidRPr="00645899" w:rsidRDefault="00F878A5" w:rsidP="00F878A5">
      <w:pPr>
        <w:ind w:firstLine="0"/>
        <w:jc w:val="left"/>
        <w:rPr>
          <w:rFonts w:ascii="Arial" w:hAnsi="Arial" w:cs="Arial"/>
        </w:rPr>
      </w:pPr>
      <w:r w:rsidRPr="00645899">
        <w:rPr>
          <w:rFonts w:ascii="Arial" w:hAnsi="Arial" w:cs="Arial"/>
        </w:rPr>
        <w:t xml:space="preserve">British Heart Foundation (2023) </w:t>
      </w:r>
      <w:r w:rsidRPr="00645899">
        <w:rPr>
          <w:rFonts w:ascii="Arial" w:hAnsi="Arial" w:cs="Arial"/>
          <w:i/>
          <w:iCs/>
        </w:rPr>
        <w:t>How oxygen is transported around the body</w:t>
      </w:r>
      <w:r w:rsidRPr="00645899">
        <w:rPr>
          <w:rFonts w:ascii="Arial" w:hAnsi="Arial" w:cs="Arial"/>
        </w:rPr>
        <w:t xml:space="preserve">. Available at: </w:t>
      </w:r>
      <w:hyperlink r:id="rId12" w:history="1">
        <w:r w:rsidRPr="00645899">
          <w:rPr>
            <w:rStyle w:val="Hyperlink"/>
            <w:rFonts w:ascii="Arial" w:hAnsi="Arial" w:cs="Arial"/>
            <w:color w:val="auto"/>
          </w:rPr>
          <w:t>https://www.bhf.org.uk/informationsupport/heart-matters-magazine/medical/how-your-heart-works</w:t>
        </w:r>
      </w:hyperlink>
      <w:r w:rsidRPr="00645899">
        <w:rPr>
          <w:rFonts w:ascii="Arial" w:hAnsi="Arial" w:cs="Arial"/>
        </w:rPr>
        <w:t xml:space="preserve"> (Accessed: </w:t>
      </w:r>
      <w:r w:rsidR="00645899" w:rsidRPr="00645899">
        <w:rPr>
          <w:rFonts w:ascii="Arial" w:hAnsi="Arial" w:cs="Arial"/>
        </w:rPr>
        <w:t>2</w:t>
      </w:r>
      <w:r w:rsidR="00645899" w:rsidRPr="00645899">
        <w:rPr>
          <w:rFonts w:ascii="Arial" w:hAnsi="Arial" w:cs="Arial"/>
        </w:rPr>
        <w:t>5</w:t>
      </w:r>
      <w:r w:rsidR="00645899" w:rsidRPr="00645899">
        <w:rPr>
          <w:rFonts w:ascii="Arial" w:hAnsi="Arial" w:cs="Arial"/>
        </w:rPr>
        <w:t>/06/2026</w:t>
      </w:r>
      <w:r w:rsidRPr="00645899">
        <w:rPr>
          <w:rFonts w:ascii="Arial" w:hAnsi="Arial" w:cs="Arial"/>
        </w:rPr>
        <w:t>).</w:t>
      </w:r>
    </w:p>
    <w:p w14:paraId="2B1AF76A" w14:textId="77777777" w:rsidR="00F878A5" w:rsidRPr="00645899" w:rsidRDefault="00F878A5" w:rsidP="00F878A5">
      <w:pPr>
        <w:ind w:firstLine="0"/>
        <w:jc w:val="left"/>
        <w:rPr>
          <w:rFonts w:ascii="Arial" w:hAnsi="Arial" w:cs="Arial"/>
          <w:sz w:val="16"/>
          <w:szCs w:val="16"/>
        </w:rPr>
      </w:pPr>
    </w:p>
    <w:p w14:paraId="30664BCE" w14:textId="3CEA1D3E" w:rsidR="00F878A5" w:rsidRPr="00645899" w:rsidRDefault="00F878A5" w:rsidP="00F878A5">
      <w:pPr>
        <w:ind w:firstLine="0"/>
        <w:jc w:val="left"/>
        <w:rPr>
          <w:rFonts w:ascii="Arial" w:hAnsi="Arial" w:cs="Arial"/>
        </w:rPr>
      </w:pPr>
      <w:r w:rsidRPr="00645899">
        <w:rPr>
          <w:rFonts w:ascii="Arial" w:hAnsi="Arial" w:cs="Arial"/>
        </w:rPr>
        <w:t xml:space="preserve">Diabetes UK (2024) Managing your blood glucose levels. Available at: </w:t>
      </w:r>
      <w:hyperlink r:id="rId13" w:history="1">
        <w:r w:rsidRPr="00645899">
          <w:rPr>
            <w:rStyle w:val="Hyperlink"/>
            <w:rFonts w:ascii="Arial" w:hAnsi="Arial" w:cs="Arial"/>
            <w:color w:val="auto"/>
          </w:rPr>
          <w:t>https://www.diabetes.org.uk/about-diabetes/managing-your-diabetes</w:t>
        </w:r>
      </w:hyperlink>
      <w:r w:rsidRPr="00645899">
        <w:rPr>
          <w:rFonts w:ascii="Arial" w:hAnsi="Arial" w:cs="Arial"/>
        </w:rPr>
        <w:t xml:space="preserve"> </w:t>
      </w:r>
      <w:r w:rsidRPr="00645899">
        <w:rPr>
          <w:rFonts w:ascii="Arial" w:hAnsi="Arial" w:cs="Arial"/>
        </w:rPr>
        <w:t xml:space="preserve"> (Accessed: </w:t>
      </w:r>
      <w:r w:rsidR="00645899" w:rsidRPr="00645899">
        <w:rPr>
          <w:rFonts w:ascii="Arial" w:hAnsi="Arial" w:cs="Arial"/>
        </w:rPr>
        <w:t>26/06/2026</w:t>
      </w:r>
      <w:r w:rsidRPr="00645899">
        <w:rPr>
          <w:rFonts w:ascii="Arial" w:hAnsi="Arial" w:cs="Arial"/>
        </w:rPr>
        <w:t>).</w:t>
      </w:r>
    </w:p>
    <w:p w14:paraId="41C5A555" w14:textId="77777777" w:rsidR="00F878A5" w:rsidRPr="00645899" w:rsidRDefault="00F878A5" w:rsidP="00F878A5">
      <w:pPr>
        <w:ind w:firstLine="0"/>
        <w:jc w:val="left"/>
        <w:rPr>
          <w:rFonts w:ascii="Arial" w:hAnsi="Arial" w:cs="Arial"/>
          <w:sz w:val="16"/>
          <w:szCs w:val="16"/>
        </w:rPr>
      </w:pPr>
    </w:p>
    <w:p w14:paraId="1266B572" w14:textId="25498D7A" w:rsidR="00C8649F" w:rsidRPr="00645899" w:rsidRDefault="00C8649F" w:rsidP="00F878A5">
      <w:pPr>
        <w:ind w:firstLine="0"/>
        <w:jc w:val="left"/>
        <w:rPr>
          <w:rFonts w:ascii="Arial" w:hAnsi="Arial" w:cs="Arial"/>
        </w:rPr>
      </w:pPr>
      <w:r w:rsidRPr="00645899">
        <w:rPr>
          <w:rFonts w:ascii="Arial" w:hAnsi="Arial" w:cs="Arial"/>
        </w:rPr>
        <w:t xml:space="preserve">Hall, J.E. and Hall, M.E. (2021) Guyton and Hall Textbook of Medical Physiology. 15th </w:t>
      </w:r>
      <w:proofErr w:type="spellStart"/>
      <w:r w:rsidRPr="00645899">
        <w:rPr>
          <w:rFonts w:ascii="Arial" w:hAnsi="Arial" w:cs="Arial"/>
        </w:rPr>
        <w:t>edn</w:t>
      </w:r>
      <w:proofErr w:type="spellEnd"/>
      <w:r w:rsidRPr="00645899">
        <w:rPr>
          <w:rFonts w:ascii="Arial" w:hAnsi="Arial" w:cs="Arial"/>
        </w:rPr>
        <w:t xml:space="preserve">. Philadelphia: Elsevier. Available at: </w:t>
      </w:r>
      <w:hyperlink r:id="rId14" w:history="1">
        <w:r w:rsidRPr="00645899">
          <w:rPr>
            <w:rStyle w:val="Hyperlink"/>
            <w:rFonts w:ascii="Arial" w:hAnsi="Arial" w:cs="Arial"/>
            <w:color w:val="auto"/>
          </w:rPr>
          <w:t>https://www.elsevier.com/books/guyton-and-hall-textbook-of-medical-physiology/9780323790052</w:t>
        </w:r>
      </w:hyperlink>
      <w:r w:rsidRPr="00645899">
        <w:rPr>
          <w:rFonts w:ascii="Arial" w:hAnsi="Arial" w:cs="Arial"/>
        </w:rPr>
        <w:t xml:space="preserve"> </w:t>
      </w:r>
      <w:r w:rsidRPr="00645899">
        <w:rPr>
          <w:rFonts w:ascii="Arial" w:hAnsi="Arial" w:cs="Arial"/>
        </w:rPr>
        <w:t xml:space="preserve"> (Accessed: 26/06/2026)</w:t>
      </w:r>
      <w:r w:rsidRPr="00645899">
        <w:rPr>
          <w:rFonts w:ascii="Arial" w:hAnsi="Arial" w:cs="Arial"/>
        </w:rPr>
        <w:t>.</w:t>
      </w:r>
    </w:p>
    <w:p w14:paraId="317FE6CE" w14:textId="77777777" w:rsidR="00C8649F" w:rsidRPr="00645899" w:rsidRDefault="00C8649F" w:rsidP="00F878A5">
      <w:pPr>
        <w:ind w:firstLine="0"/>
        <w:jc w:val="left"/>
        <w:rPr>
          <w:rFonts w:ascii="Arial" w:hAnsi="Arial" w:cs="Arial"/>
          <w:sz w:val="16"/>
          <w:szCs w:val="16"/>
        </w:rPr>
      </w:pPr>
    </w:p>
    <w:p w14:paraId="708FEA75" w14:textId="24CF64C3" w:rsidR="00F878A5" w:rsidRPr="00645899" w:rsidRDefault="00F878A5" w:rsidP="00F878A5">
      <w:pPr>
        <w:ind w:firstLine="0"/>
        <w:jc w:val="left"/>
        <w:rPr>
          <w:rFonts w:ascii="Arial" w:hAnsi="Arial" w:cs="Arial"/>
        </w:rPr>
      </w:pPr>
      <w:r w:rsidRPr="00645899">
        <w:rPr>
          <w:rFonts w:ascii="Arial" w:hAnsi="Arial" w:cs="Arial"/>
        </w:rPr>
        <w:t xml:space="preserve">International Diabetes Federation (2022) IDF Diabetes Atlas. 10th </w:t>
      </w:r>
      <w:proofErr w:type="spellStart"/>
      <w:r w:rsidRPr="00645899">
        <w:rPr>
          <w:rFonts w:ascii="Arial" w:hAnsi="Arial" w:cs="Arial"/>
        </w:rPr>
        <w:t>edn</w:t>
      </w:r>
      <w:proofErr w:type="spellEnd"/>
      <w:r w:rsidRPr="00645899">
        <w:rPr>
          <w:rFonts w:ascii="Arial" w:hAnsi="Arial" w:cs="Arial"/>
        </w:rPr>
        <w:t xml:space="preserve">. Brussels: International Diabetes Federation. Available at: https://diabetesatlas.org (Accessed: </w:t>
      </w:r>
      <w:r w:rsidR="00645899" w:rsidRPr="00645899">
        <w:rPr>
          <w:rFonts w:ascii="Arial" w:hAnsi="Arial" w:cs="Arial"/>
        </w:rPr>
        <w:t>2</w:t>
      </w:r>
      <w:r w:rsidR="00645899" w:rsidRPr="00645899">
        <w:rPr>
          <w:rFonts w:ascii="Arial" w:hAnsi="Arial" w:cs="Arial"/>
        </w:rPr>
        <w:t>5</w:t>
      </w:r>
      <w:r w:rsidR="00645899" w:rsidRPr="00645899">
        <w:rPr>
          <w:rFonts w:ascii="Arial" w:hAnsi="Arial" w:cs="Arial"/>
        </w:rPr>
        <w:t>/0</w:t>
      </w:r>
      <w:r w:rsidR="00645899" w:rsidRPr="00645899">
        <w:rPr>
          <w:rFonts w:ascii="Arial" w:hAnsi="Arial" w:cs="Arial"/>
        </w:rPr>
        <w:t>6</w:t>
      </w:r>
      <w:r w:rsidR="00645899" w:rsidRPr="00645899">
        <w:rPr>
          <w:rFonts w:ascii="Arial" w:hAnsi="Arial" w:cs="Arial"/>
        </w:rPr>
        <w:t>/2026</w:t>
      </w:r>
      <w:r w:rsidRPr="00645899">
        <w:rPr>
          <w:rFonts w:ascii="Arial" w:hAnsi="Arial" w:cs="Arial"/>
        </w:rPr>
        <w:t>).</w:t>
      </w:r>
      <w:r w:rsidR="00C8649F" w:rsidRPr="00645899">
        <w:rPr>
          <w:rFonts w:ascii="Arial" w:hAnsi="Arial" w:cs="Arial"/>
        </w:rPr>
        <w:t xml:space="preserve"> </w:t>
      </w:r>
    </w:p>
    <w:p w14:paraId="1C9753BB" w14:textId="77777777" w:rsidR="00C8649F" w:rsidRPr="00645899" w:rsidRDefault="00C8649F" w:rsidP="00F878A5">
      <w:pPr>
        <w:ind w:firstLine="0"/>
        <w:jc w:val="left"/>
        <w:rPr>
          <w:rFonts w:ascii="Arial" w:hAnsi="Arial" w:cs="Arial"/>
          <w:sz w:val="16"/>
          <w:szCs w:val="16"/>
        </w:rPr>
      </w:pPr>
    </w:p>
    <w:p w14:paraId="34892F91" w14:textId="108BA97B" w:rsidR="00F878A5" w:rsidRPr="00645899" w:rsidRDefault="00F878A5" w:rsidP="00F878A5">
      <w:pPr>
        <w:ind w:firstLine="0"/>
        <w:jc w:val="left"/>
        <w:rPr>
          <w:rFonts w:ascii="Arial" w:hAnsi="Arial" w:cs="Arial"/>
        </w:rPr>
      </w:pPr>
      <w:r w:rsidRPr="00645899">
        <w:rPr>
          <w:rFonts w:ascii="Arial" w:hAnsi="Arial" w:cs="Arial"/>
        </w:rPr>
        <w:t xml:space="preserve">National </w:t>
      </w:r>
      <w:proofErr w:type="spellStart"/>
      <w:r w:rsidRPr="00645899">
        <w:rPr>
          <w:rFonts w:ascii="Arial" w:hAnsi="Arial" w:cs="Arial"/>
        </w:rPr>
        <w:t>Center</w:t>
      </w:r>
      <w:proofErr w:type="spellEnd"/>
      <w:r w:rsidRPr="00645899">
        <w:rPr>
          <w:rFonts w:ascii="Arial" w:hAnsi="Arial" w:cs="Arial"/>
        </w:rPr>
        <w:t xml:space="preserve"> for Biotechnology Information (2023) </w:t>
      </w:r>
      <w:r w:rsidRPr="00645899">
        <w:rPr>
          <w:rFonts w:ascii="Arial" w:hAnsi="Arial" w:cs="Arial"/>
          <w:i/>
          <w:iCs/>
        </w:rPr>
        <w:t>Cellular Respiration</w:t>
      </w:r>
      <w:r w:rsidRPr="00645899">
        <w:rPr>
          <w:rFonts w:ascii="Arial" w:hAnsi="Arial" w:cs="Arial"/>
        </w:rPr>
        <w:t xml:space="preserve">. In: </w:t>
      </w:r>
      <w:proofErr w:type="spellStart"/>
      <w:r w:rsidRPr="00645899">
        <w:rPr>
          <w:rFonts w:ascii="Arial" w:hAnsi="Arial" w:cs="Arial"/>
          <w:i/>
          <w:iCs/>
        </w:rPr>
        <w:t>StatPearls</w:t>
      </w:r>
      <w:proofErr w:type="spellEnd"/>
      <w:r w:rsidRPr="00645899">
        <w:rPr>
          <w:rFonts w:ascii="Arial" w:hAnsi="Arial" w:cs="Arial"/>
        </w:rPr>
        <w:t xml:space="preserve">. Treasure Island, FL: </w:t>
      </w:r>
      <w:proofErr w:type="spellStart"/>
      <w:r w:rsidRPr="00645899">
        <w:rPr>
          <w:rFonts w:ascii="Arial" w:hAnsi="Arial" w:cs="Arial"/>
        </w:rPr>
        <w:t>StatPearls</w:t>
      </w:r>
      <w:proofErr w:type="spellEnd"/>
      <w:r w:rsidRPr="00645899">
        <w:rPr>
          <w:rFonts w:ascii="Arial" w:hAnsi="Arial" w:cs="Arial"/>
        </w:rPr>
        <w:t xml:space="preserve"> Publishing. Available at: </w:t>
      </w:r>
      <w:hyperlink r:id="rId15" w:history="1">
        <w:r w:rsidRPr="00645899">
          <w:rPr>
            <w:rStyle w:val="Hyperlink"/>
            <w:rFonts w:ascii="Arial" w:hAnsi="Arial" w:cs="Arial"/>
            <w:color w:val="auto"/>
          </w:rPr>
          <w:t>https://www.ncbi.nlm.nih.gov/books/NBK553175/</w:t>
        </w:r>
      </w:hyperlink>
      <w:r w:rsidRPr="00645899">
        <w:rPr>
          <w:rFonts w:ascii="Arial" w:hAnsi="Arial" w:cs="Arial"/>
        </w:rPr>
        <w:t xml:space="preserve"> (Accessed: </w:t>
      </w:r>
      <w:r w:rsidR="00645899" w:rsidRPr="00645899">
        <w:rPr>
          <w:rFonts w:ascii="Arial" w:hAnsi="Arial" w:cs="Arial"/>
        </w:rPr>
        <w:t>2</w:t>
      </w:r>
      <w:r w:rsidR="00645899" w:rsidRPr="00645899">
        <w:rPr>
          <w:rFonts w:ascii="Arial" w:hAnsi="Arial" w:cs="Arial"/>
        </w:rPr>
        <w:t>4</w:t>
      </w:r>
      <w:r w:rsidR="00645899" w:rsidRPr="00645899">
        <w:rPr>
          <w:rFonts w:ascii="Arial" w:hAnsi="Arial" w:cs="Arial"/>
        </w:rPr>
        <w:t>/06/2026</w:t>
      </w:r>
      <w:r w:rsidRPr="00645899">
        <w:rPr>
          <w:rFonts w:ascii="Arial" w:hAnsi="Arial" w:cs="Arial"/>
        </w:rPr>
        <w:t>).</w:t>
      </w:r>
    </w:p>
    <w:p w14:paraId="58C45A97" w14:textId="77777777" w:rsidR="00C8649F" w:rsidRPr="00645899" w:rsidRDefault="00C8649F" w:rsidP="00F878A5">
      <w:pPr>
        <w:ind w:firstLine="0"/>
        <w:jc w:val="left"/>
        <w:rPr>
          <w:rFonts w:ascii="Arial" w:hAnsi="Arial" w:cs="Arial"/>
          <w:sz w:val="16"/>
          <w:szCs w:val="16"/>
        </w:rPr>
      </w:pPr>
    </w:p>
    <w:p w14:paraId="0DF2A858" w14:textId="6C536EA4" w:rsidR="00F878A5" w:rsidRPr="00645899" w:rsidRDefault="00F878A5" w:rsidP="00F878A5">
      <w:pPr>
        <w:ind w:firstLine="0"/>
        <w:jc w:val="left"/>
        <w:rPr>
          <w:rFonts w:ascii="Arial" w:hAnsi="Arial" w:cs="Arial"/>
        </w:rPr>
      </w:pPr>
      <w:r w:rsidRPr="00645899">
        <w:rPr>
          <w:rFonts w:ascii="Arial" w:hAnsi="Arial" w:cs="Arial"/>
        </w:rPr>
        <w:t xml:space="preserve">National Institute for Health and Care Excellence (2026) </w:t>
      </w:r>
      <w:r w:rsidRPr="00645899">
        <w:rPr>
          <w:rFonts w:ascii="Arial" w:hAnsi="Arial" w:cs="Arial"/>
          <w:i/>
          <w:iCs/>
        </w:rPr>
        <w:t>Blood glucose management.</w:t>
      </w:r>
      <w:r w:rsidRPr="00645899">
        <w:rPr>
          <w:rFonts w:ascii="Arial" w:hAnsi="Arial" w:cs="Arial"/>
        </w:rPr>
        <w:t xml:space="preserve"> Available at: </w:t>
      </w:r>
      <w:hyperlink r:id="rId16" w:history="1">
        <w:r w:rsidRPr="00645899">
          <w:rPr>
            <w:rStyle w:val="Hyperlink"/>
            <w:rFonts w:ascii="Arial" w:hAnsi="Arial" w:cs="Arial"/>
            <w:color w:val="auto"/>
          </w:rPr>
          <w:t>https://www.nice.org.uk/guidance/ng28/chapter/Blood-glucose-management</w:t>
        </w:r>
      </w:hyperlink>
      <w:r w:rsidRPr="00645899">
        <w:rPr>
          <w:rFonts w:ascii="Arial" w:hAnsi="Arial" w:cs="Arial"/>
        </w:rPr>
        <w:t xml:space="preserve"> (Accessed: </w:t>
      </w:r>
      <w:r w:rsidR="00645899" w:rsidRPr="00645899">
        <w:rPr>
          <w:rFonts w:ascii="Arial" w:hAnsi="Arial" w:cs="Arial"/>
        </w:rPr>
        <w:t>2</w:t>
      </w:r>
      <w:r w:rsidR="00645899" w:rsidRPr="00645899">
        <w:rPr>
          <w:rFonts w:ascii="Arial" w:hAnsi="Arial" w:cs="Arial"/>
        </w:rPr>
        <w:t>4</w:t>
      </w:r>
      <w:r w:rsidR="00645899" w:rsidRPr="00645899">
        <w:rPr>
          <w:rFonts w:ascii="Arial" w:hAnsi="Arial" w:cs="Arial"/>
        </w:rPr>
        <w:t>/06/2026</w:t>
      </w:r>
      <w:r w:rsidRPr="00645899">
        <w:rPr>
          <w:rFonts w:ascii="Arial" w:hAnsi="Arial" w:cs="Arial"/>
        </w:rPr>
        <w:t>).</w:t>
      </w:r>
    </w:p>
    <w:p w14:paraId="0B16AB14" w14:textId="77777777" w:rsidR="00C8649F" w:rsidRPr="00645899" w:rsidRDefault="00C8649F" w:rsidP="00F878A5">
      <w:pPr>
        <w:ind w:firstLine="0"/>
        <w:jc w:val="left"/>
        <w:rPr>
          <w:rFonts w:ascii="Arial" w:hAnsi="Arial" w:cs="Arial"/>
          <w:sz w:val="16"/>
          <w:szCs w:val="16"/>
        </w:rPr>
      </w:pPr>
    </w:p>
    <w:p w14:paraId="3130E334" w14:textId="3E418A1E" w:rsidR="00F878A5" w:rsidRPr="00645899" w:rsidRDefault="00F878A5" w:rsidP="00F878A5">
      <w:pPr>
        <w:ind w:firstLine="0"/>
        <w:jc w:val="left"/>
        <w:rPr>
          <w:rFonts w:ascii="Arial" w:hAnsi="Arial" w:cs="Arial"/>
        </w:rPr>
      </w:pPr>
      <w:r w:rsidRPr="00645899">
        <w:rPr>
          <w:rFonts w:ascii="Arial" w:hAnsi="Arial" w:cs="Arial"/>
        </w:rPr>
        <w:t xml:space="preserve">National Institute for Health and Care Excellence (2026) Type 2 diabetes in adults: management (NG28). Available at: </w:t>
      </w:r>
      <w:hyperlink r:id="rId17" w:history="1">
        <w:r w:rsidR="00645899" w:rsidRPr="00645899">
          <w:rPr>
            <w:rStyle w:val="Hyperlink"/>
            <w:rFonts w:ascii="Arial" w:hAnsi="Arial" w:cs="Arial"/>
            <w:color w:val="auto"/>
          </w:rPr>
          <w:t>https://www.nice.org.uk/guidance/ng28</w:t>
        </w:r>
      </w:hyperlink>
      <w:r w:rsidR="00645899" w:rsidRPr="00645899">
        <w:rPr>
          <w:rFonts w:ascii="Arial" w:hAnsi="Arial" w:cs="Arial"/>
        </w:rPr>
        <w:t xml:space="preserve"> </w:t>
      </w:r>
      <w:r w:rsidRPr="00645899">
        <w:rPr>
          <w:rFonts w:ascii="Arial" w:hAnsi="Arial" w:cs="Arial"/>
        </w:rPr>
        <w:t xml:space="preserve"> (Accessed: </w:t>
      </w:r>
      <w:r w:rsidR="00645899" w:rsidRPr="00645899">
        <w:rPr>
          <w:rFonts w:ascii="Arial" w:hAnsi="Arial" w:cs="Arial"/>
        </w:rPr>
        <w:t>26/06/2026</w:t>
      </w:r>
      <w:r w:rsidRPr="00645899">
        <w:rPr>
          <w:rFonts w:ascii="Arial" w:hAnsi="Arial" w:cs="Arial"/>
        </w:rPr>
        <w:t>).</w:t>
      </w:r>
    </w:p>
    <w:p w14:paraId="1BACA1DC" w14:textId="77777777" w:rsidR="00645899" w:rsidRPr="00645899" w:rsidRDefault="00645899" w:rsidP="00F878A5">
      <w:pPr>
        <w:ind w:firstLine="0"/>
        <w:jc w:val="left"/>
        <w:rPr>
          <w:rFonts w:ascii="Arial" w:hAnsi="Arial" w:cs="Arial"/>
          <w:sz w:val="16"/>
          <w:szCs w:val="16"/>
        </w:rPr>
      </w:pPr>
    </w:p>
    <w:p w14:paraId="14DD1369" w14:textId="69A5B502" w:rsidR="00F878A5" w:rsidRPr="00645899" w:rsidRDefault="00F878A5" w:rsidP="00F878A5">
      <w:pPr>
        <w:ind w:firstLine="0"/>
        <w:jc w:val="left"/>
        <w:rPr>
          <w:rFonts w:ascii="Arial" w:hAnsi="Arial" w:cs="Arial"/>
        </w:rPr>
      </w:pPr>
      <w:r w:rsidRPr="00645899">
        <w:rPr>
          <w:rFonts w:ascii="Arial" w:hAnsi="Arial" w:cs="Arial"/>
        </w:rPr>
        <w:t xml:space="preserve">National Institute for Health and Care Excellence (2026) </w:t>
      </w:r>
      <w:r w:rsidRPr="00645899">
        <w:rPr>
          <w:rFonts w:ascii="Arial" w:hAnsi="Arial" w:cs="Arial"/>
          <w:i/>
          <w:iCs/>
        </w:rPr>
        <w:t>Type 2 diabetes in adults: management (NG28).</w:t>
      </w:r>
      <w:r w:rsidRPr="00645899">
        <w:rPr>
          <w:rFonts w:ascii="Arial" w:hAnsi="Arial" w:cs="Arial"/>
        </w:rPr>
        <w:t xml:space="preserve"> Available at: </w:t>
      </w:r>
      <w:hyperlink r:id="rId18" w:history="1">
        <w:r w:rsidRPr="00645899">
          <w:rPr>
            <w:rStyle w:val="Hyperlink"/>
            <w:rFonts w:ascii="Arial" w:hAnsi="Arial" w:cs="Arial"/>
            <w:color w:val="auto"/>
          </w:rPr>
          <w:t>https://www.nice.org.uk/guidance/ng28</w:t>
        </w:r>
      </w:hyperlink>
      <w:r w:rsidRPr="00645899">
        <w:rPr>
          <w:rFonts w:ascii="Arial" w:hAnsi="Arial" w:cs="Arial"/>
        </w:rPr>
        <w:t xml:space="preserve"> (Accessed: </w:t>
      </w:r>
      <w:r w:rsidR="00645899" w:rsidRPr="00645899">
        <w:rPr>
          <w:rFonts w:ascii="Arial" w:hAnsi="Arial" w:cs="Arial"/>
        </w:rPr>
        <w:t>2</w:t>
      </w:r>
      <w:r w:rsidR="00645899" w:rsidRPr="00645899">
        <w:rPr>
          <w:rFonts w:ascii="Arial" w:hAnsi="Arial" w:cs="Arial"/>
        </w:rPr>
        <w:t>5</w:t>
      </w:r>
      <w:r w:rsidR="00645899" w:rsidRPr="00645899">
        <w:rPr>
          <w:rFonts w:ascii="Arial" w:hAnsi="Arial" w:cs="Arial"/>
        </w:rPr>
        <w:t>/06/2026</w:t>
      </w:r>
      <w:r w:rsidRPr="00645899">
        <w:rPr>
          <w:rFonts w:ascii="Arial" w:hAnsi="Arial" w:cs="Arial"/>
        </w:rPr>
        <w:t>).</w:t>
      </w:r>
    </w:p>
    <w:p w14:paraId="11A17E85" w14:textId="77777777" w:rsidR="00645899" w:rsidRPr="00645899" w:rsidRDefault="00645899" w:rsidP="00F878A5">
      <w:pPr>
        <w:ind w:firstLine="0"/>
        <w:jc w:val="left"/>
        <w:rPr>
          <w:rFonts w:ascii="Arial" w:hAnsi="Arial" w:cs="Arial"/>
          <w:sz w:val="16"/>
          <w:szCs w:val="16"/>
        </w:rPr>
      </w:pPr>
    </w:p>
    <w:p w14:paraId="003E6E87" w14:textId="4BABC3BE" w:rsidR="00F878A5" w:rsidRPr="00645899" w:rsidRDefault="00F878A5" w:rsidP="00F878A5">
      <w:pPr>
        <w:ind w:firstLine="0"/>
        <w:jc w:val="left"/>
        <w:rPr>
          <w:rFonts w:ascii="Arial" w:hAnsi="Arial" w:cs="Arial"/>
        </w:rPr>
      </w:pPr>
      <w:r w:rsidRPr="00645899">
        <w:rPr>
          <w:rFonts w:ascii="Arial" w:hAnsi="Arial" w:cs="Arial"/>
        </w:rPr>
        <w:lastRenderedPageBreak/>
        <w:t xml:space="preserve">National Institute of Diabetes and Digestive and Kidney Diseases (2023) Managing Diabetes. Available at: https://www.niddk.nih.gov/health-information/diabetes/overview/managing-diabetes (Accessed: </w:t>
      </w:r>
      <w:r w:rsidR="00645899" w:rsidRPr="00645899">
        <w:rPr>
          <w:rFonts w:ascii="Arial" w:hAnsi="Arial" w:cs="Arial"/>
        </w:rPr>
        <w:t>2</w:t>
      </w:r>
      <w:r w:rsidR="00645899" w:rsidRPr="00645899">
        <w:rPr>
          <w:rFonts w:ascii="Arial" w:hAnsi="Arial" w:cs="Arial"/>
        </w:rPr>
        <w:t>5</w:t>
      </w:r>
      <w:r w:rsidR="00645899" w:rsidRPr="00645899">
        <w:rPr>
          <w:rFonts w:ascii="Arial" w:hAnsi="Arial" w:cs="Arial"/>
        </w:rPr>
        <w:t>/06/2026</w:t>
      </w:r>
      <w:r w:rsidRPr="00645899">
        <w:rPr>
          <w:rFonts w:ascii="Arial" w:hAnsi="Arial" w:cs="Arial"/>
        </w:rPr>
        <w:t>).</w:t>
      </w:r>
    </w:p>
    <w:p w14:paraId="61396E5D" w14:textId="77777777" w:rsidR="00645899" w:rsidRPr="00645899" w:rsidRDefault="00645899" w:rsidP="00F878A5">
      <w:pPr>
        <w:ind w:firstLine="0"/>
        <w:jc w:val="left"/>
        <w:rPr>
          <w:rFonts w:ascii="Arial" w:hAnsi="Arial" w:cs="Arial"/>
          <w:sz w:val="16"/>
          <w:szCs w:val="16"/>
        </w:rPr>
      </w:pPr>
    </w:p>
    <w:p w14:paraId="7622DA2D" w14:textId="05056FFD" w:rsidR="00F878A5" w:rsidRPr="00645899" w:rsidRDefault="00F878A5" w:rsidP="00F878A5">
      <w:pPr>
        <w:ind w:firstLine="0"/>
        <w:jc w:val="left"/>
        <w:rPr>
          <w:rFonts w:ascii="Arial" w:hAnsi="Arial" w:cs="Arial"/>
        </w:rPr>
      </w:pPr>
      <w:r w:rsidRPr="00645899">
        <w:rPr>
          <w:rFonts w:ascii="Arial" w:hAnsi="Arial" w:cs="Arial"/>
        </w:rPr>
        <w:t xml:space="preserve">OpenStax (2023) </w:t>
      </w:r>
      <w:r w:rsidRPr="00645899">
        <w:rPr>
          <w:rFonts w:ascii="Arial" w:hAnsi="Arial" w:cs="Arial"/>
          <w:i/>
          <w:iCs/>
        </w:rPr>
        <w:t>Biology 2e: Cellular Respiration</w:t>
      </w:r>
      <w:r w:rsidRPr="00645899">
        <w:rPr>
          <w:rFonts w:ascii="Arial" w:hAnsi="Arial" w:cs="Arial"/>
        </w:rPr>
        <w:t xml:space="preserve">. Available at: </w:t>
      </w:r>
      <w:hyperlink r:id="rId19" w:history="1">
        <w:r w:rsidRPr="00645899">
          <w:rPr>
            <w:rStyle w:val="Hyperlink"/>
            <w:rFonts w:ascii="Arial" w:hAnsi="Arial" w:cs="Arial"/>
            <w:color w:val="auto"/>
          </w:rPr>
          <w:t>https://openstax.org/books/biology-2e/pages/7-2-glycolysis</w:t>
        </w:r>
      </w:hyperlink>
      <w:r w:rsidRPr="00645899">
        <w:rPr>
          <w:rFonts w:ascii="Arial" w:hAnsi="Arial" w:cs="Arial"/>
        </w:rPr>
        <w:t xml:space="preserve"> (Accessed: </w:t>
      </w:r>
      <w:r w:rsidR="00645899" w:rsidRPr="00645899">
        <w:rPr>
          <w:rFonts w:ascii="Arial" w:hAnsi="Arial" w:cs="Arial"/>
        </w:rPr>
        <w:t>2</w:t>
      </w:r>
      <w:r w:rsidR="00645899" w:rsidRPr="00645899">
        <w:rPr>
          <w:rFonts w:ascii="Arial" w:hAnsi="Arial" w:cs="Arial"/>
        </w:rPr>
        <w:t>4</w:t>
      </w:r>
      <w:r w:rsidR="00645899" w:rsidRPr="00645899">
        <w:rPr>
          <w:rFonts w:ascii="Arial" w:hAnsi="Arial" w:cs="Arial"/>
        </w:rPr>
        <w:t>/06/2026</w:t>
      </w:r>
      <w:r w:rsidRPr="00645899">
        <w:rPr>
          <w:rFonts w:ascii="Arial" w:hAnsi="Arial" w:cs="Arial"/>
        </w:rPr>
        <w:t>).</w:t>
      </w:r>
    </w:p>
    <w:p w14:paraId="415B713D" w14:textId="77777777" w:rsidR="00645899" w:rsidRPr="00645899" w:rsidRDefault="00645899" w:rsidP="00F878A5">
      <w:pPr>
        <w:ind w:firstLine="0"/>
        <w:jc w:val="left"/>
        <w:rPr>
          <w:rFonts w:ascii="Arial" w:hAnsi="Arial" w:cs="Arial"/>
          <w:sz w:val="16"/>
          <w:szCs w:val="16"/>
        </w:rPr>
      </w:pPr>
    </w:p>
    <w:p w14:paraId="3218E5D6" w14:textId="5877993D" w:rsidR="00F878A5" w:rsidRPr="00645899" w:rsidRDefault="00F878A5" w:rsidP="00F878A5">
      <w:pPr>
        <w:ind w:firstLine="0"/>
        <w:jc w:val="left"/>
        <w:rPr>
          <w:rFonts w:ascii="Arial" w:hAnsi="Arial" w:cs="Arial"/>
        </w:rPr>
      </w:pPr>
      <w:r w:rsidRPr="00645899">
        <w:rPr>
          <w:rFonts w:ascii="Arial" w:hAnsi="Arial" w:cs="Arial"/>
        </w:rPr>
        <w:t xml:space="preserve">World Health Organization (2023) Diabetes: Key facts. Available at: https://www.who.int/news-room/fact-sheets/detail/diabetes (Accessed: </w:t>
      </w:r>
      <w:r w:rsidR="00645899" w:rsidRPr="00645899">
        <w:rPr>
          <w:rFonts w:ascii="Arial" w:hAnsi="Arial" w:cs="Arial"/>
        </w:rPr>
        <w:t>2</w:t>
      </w:r>
      <w:r w:rsidR="00645899" w:rsidRPr="00645899">
        <w:rPr>
          <w:rFonts w:ascii="Arial" w:hAnsi="Arial" w:cs="Arial"/>
        </w:rPr>
        <w:t>5</w:t>
      </w:r>
      <w:r w:rsidR="00645899" w:rsidRPr="00645899">
        <w:rPr>
          <w:rFonts w:ascii="Arial" w:hAnsi="Arial" w:cs="Arial"/>
        </w:rPr>
        <w:t>/06/2026</w:t>
      </w:r>
      <w:r w:rsidRPr="00645899">
        <w:rPr>
          <w:rFonts w:ascii="Arial" w:hAnsi="Arial" w:cs="Arial"/>
        </w:rPr>
        <w:t>).</w:t>
      </w:r>
    </w:p>
    <w:sectPr w:rsidR="00F878A5" w:rsidRPr="0064589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620F3" w14:textId="77777777" w:rsidR="005C7E34" w:rsidRDefault="005C7E34" w:rsidP="00EC51D9">
      <w:pPr>
        <w:spacing w:line="240" w:lineRule="auto"/>
      </w:pPr>
      <w:r>
        <w:separator/>
      </w:r>
    </w:p>
  </w:endnote>
  <w:endnote w:type="continuationSeparator" w:id="0">
    <w:p w14:paraId="3556A93A" w14:textId="77777777" w:rsidR="005C7E34" w:rsidRDefault="005C7E34" w:rsidP="00EC51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1871580"/>
      <w:docPartObj>
        <w:docPartGallery w:val="Page Numbers (Bottom of Page)"/>
        <w:docPartUnique/>
      </w:docPartObj>
    </w:sdtPr>
    <w:sdtEndPr>
      <w:rPr>
        <w:noProof/>
      </w:rPr>
    </w:sdtEndPr>
    <w:sdtContent>
      <w:p w14:paraId="044C261C" w14:textId="42F1765D" w:rsidR="00EC51D9" w:rsidRDefault="00EC51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AC8C33" w14:textId="77777777" w:rsidR="00EC51D9" w:rsidRDefault="00EC5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AF560" w14:textId="77777777" w:rsidR="005C7E34" w:rsidRDefault="005C7E34" w:rsidP="00EC51D9">
      <w:pPr>
        <w:spacing w:line="240" w:lineRule="auto"/>
      </w:pPr>
      <w:r>
        <w:separator/>
      </w:r>
    </w:p>
  </w:footnote>
  <w:footnote w:type="continuationSeparator" w:id="0">
    <w:p w14:paraId="666542F0" w14:textId="77777777" w:rsidR="005C7E34" w:rsidRDefault="005C7E34" w:rsidP="00EC51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009A"/>
    <w:multiLevelType w:val="hybridMultilevel"/>
    <w:tmpl w:val="2C2C0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B34F52"/>
    <w:multiLevelType w:val="multilevel"/>
    <w:tmpl w:val="8B0CB6E6"/>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 w15:restartNumberingAfterBreak="0">
    <w:nsid w:val="58CD73ED"/>
    <w:multiLevelType w:val="hybridMultilevel"/>
    <w:tmpl w:val="D81ADA0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700C19"/>
    <w:multiLevelType w:val="multilevel"/>
    <w:tmpl w:val="99F6E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5877466">
    <w:abstractNumId w:val="1"/>
  </w:num>
  <w:num w:numId="2" w16cid:durableId="1155532485">
    <w:abstractNumId w:val="2"/>
  </w:num>
  <w:num w:numId="3" w16cid:durableId="42413845">
    <w:abstractNumId w:val="3"/>
  </w:num>
  <w:num w:numId="4" w16cid:durableId="393697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D64"/>
    <w:rsid w:val="000149C6"/>
    <w:rsid w:val="0002074E"/>
    <w:rsid w:val="00021714"/>
    <w:rsid w:val="00027AAE"/>
    <w:rsid w:val="00027F2F"/>
    <w:rsid w:val="000316EC"/>
    <w:rsid w:val="0003202F"/>
    <w:rsid w:val="000346E3"/>
    <w:rsid w:val="0003688B"/>
    <w:rsid w:val="000421B8"/>
    <w:rsid w:val="0004331D"/>
    <w:rsid w:val="00050F81"/>
    <w:rsid w:val="0006362D"/>
    <w:rsid w:val="000836A8"/>
    <w:rsid w:val="000A5BAE"/>
    <w:rsid w:val="000A6DCD"/>
    <w:rsid w:val="000B54BD"/>
    <w:rsid w:val="000B57C3"/>
    <w:rsid w:val="000C0434"/>
    <w:rsid w:val="000C249B"/>
    <w:rsid w:val="000C4ACC"/>
    <w:rsid w:val="000C4CAB"/>
    <w:rsid w:val="000D1B64"/>
    <w:rsid w:val="000D6104"/>
    <w:rsid w:val="000D7746"/>
    <w:rsid w:val="000F35F6"/>
    <w:rsid w:val="00115827"/>
    <w:rsid w:val="00141EE6"/>
    <w:rsid w:val="00142ADB"/>
    <w:rsid w:val="0015189B"/>
    <w:rsid w:val="00151E6B"/>
    <w:rsid w:val="001542AB"/>
    <w:rsid w:val="00155D77"/>
    <w:rsid w:val="00156EEC"/>
    <w:rsid w:val="0016511C"/>
    <w:rsid w:val="00171C53"/>
    <w:rsid w:val="00172EA6"/>
    <w:rsid w:val="00186766"/>
    <w:rsid w:val="00186A9A"/>
    <w:rsid w:val="00187EF7"/>
    <w:rsid w:val="001A1D74"/>
    <w:rsid w:val="001B73D4"/>
    <w:rsid w:val="001C746E"/>
    <w:rsid w:val="001D2C47"/>
    <w:rsid w:val="001E7D9D"/>
    <w:rsid w:val="002002A9"/>
    <w:rsid w:val="00220C0E"/>
    <w:rsid w:val="00247798"/>
    <w:rsid w:val="00254F19"/>
    <w:rsid w:val="0026218E"/>
    <w:rsid w:val="00262611"/>
    <w:rsid w:val="00270E3B"/>
    <w:rsid w:val="00276701"/>
    <w:rsid w:val="002775F0"/>
    <w:rsid w:val="002810DF"/>
    <w:rsid w:val="00291BEA"/>
    <w:rsid w:val="0029259D"/>
    <w:rsid w:val="002B0A82"/>
    <w:rsid w:val="002C4728"/>
    <w:rsid w:val="002D65E6"/>
    <w:rsid w:val="002F4EB6"/>
    <w:rsid w:val="00311919"/>
    <w:rsid w:val="00313234"/>
    <w:rsid w:val="003220CC"/>
    <w:rsid w:val="003262DC"/>
    <w:rsid w:val="00327BBB"/>
    <w:rsid w:val="00332D2C"/>
    <w:rsid w:val="00335559"/>
    <w:rsid w:val="0034007F"/>
    <w:rsid w:val="0034422A"/>
    <w:rsid w:val="00346512"/>
    <w:rsid w:val="003508A3"/>
    <w:rsid w:val="0035402F"/>
    <w:rsid w:val="0035476A"/>
    <w:rsid w:val="00360062"/>
    <w:rsid w:val="00360B0C"/>
    <w:rsid w:val="0036402F"/>
    <w:rsid w:val="00381C6F"/>
    <w:rsid w:val="00385EB8"/>
    <w:rsid w:val="003922AB"/>
    <w:rsid w:val="003952D0"/>
    <w:rsid w:val="003A07DA"/>
    <w:rsid w:val="003A2C3A"/>
    <w:rsid w:val="003B100B"/>
    <w:rsid w:val="003B3337"/>
    <w:rsid w:val="003C66C1"/>
    <w:rsid w:val="003E0FA3"/>
    <w:rsid w:val="003E2FC7"/>
    <w:rsid w:val="003E3F60"/>
    <w:rsid w:val="003E69CA"/>
    <w:rsid w:val="003F00F7"/>
    <w:rsid w:val="003F3AEA"/>
    <w:rsid w:val="003F54DB"/>
    <w:rsid w:val="0040521E"/>
    <w:rsid w:val="004057B6"/>
    <w:rsid w:val="00410696"/>
    <w:rsid w:val="00414246"/>
    <w:rsid w:val="00417CA5"/>
    <w:rsid w:val="00420F8B"/>
    <w:rsid w:val="004346A5"/>
    <w:rsid w:val="004359CC"/>
    <w:rsid w:val="00435BAF"/>
    <w:rsid w:val="00436F23"/>
    <w:rsid w:val="004439B2"/>
    <w:rsid w:val="00452D8D"/>
    <w:rsid w:val="00454BE0"/>
    <w:rsid w:val="00461D69"/>
    <w:rsid w:val="00462315"/>
    <w:rsid w:val="0047431E"/>
    <w:rsid w:val="0048792C"/>
    <w:rsid w:val="004A3767"/>
    <w:rsid w:val="004A7990"/>
    <w:rsid w:val="004C7A18"/>
    <w:rsid w:val="004D455D"/>
    <w:rsid w:val="004D6DE7"/>
    <w:rsid w:val="004E266C"/>
    <w:rsid w:val="004F312B"/>
    <w:rsid w:val="004F6FF0"/>
    <w:rsid w:val="005139CD"/>
    <w:rsid w:val="00514B7D"/>
    <w:rsid w:val="00522A63"/>
    <w:rsid w:val="005270F8"/>
    <w:rsid w:val="005275AA"/>
    <w:rsid w:val="005306B7"/>
    <w:rsid w:val="005327F3"/>
    <w:rsid w:val="00536D57"/>
    <w:rsid w:val="0055050B"/>
    <w:rsid w:val="00551113"/>
    <w:rsid w:val="00561E56"/>
    <w:rsid w:val="00574057"/>
    <w:rsid w:val="00575DFC"/>
    <w:rsid w:val="00584F9D"/>
    <w:rsid w:val="005903E7"/>
    <w:rsid w:val="005968A3"/>
    <w:rsid w:val="00596968"/>
    <w:rsid w:val="005C6163"/>
    <w:rsid w:val="005C7E34"/>
    <w:rsid w:val="005D242A"/>
    <w:rsid w:val="005D244B"/>
    <w:rsid w:val="005D7C12"/>
    <w:rsid w:val="005E45E9"/>
    <w:rsid w:val="005F0596"/>
    <w:rsid w:val="005F6D82"/>
    <w:rsid w:val="00602D61"/>
    <w:rsid w:val="00605C0D"/>
    <w:rsid w:val="00615892"/>
    <w:rsid w:val="00616FEC"/>
    <w:rsid w:val="00627082"/>
    <w:rsid w:val="00636071"/>
    <w:rsid w:val="00640BF4"/>
    <w:rsid w:val="006417E9"/>
    <w:rsid w:val="0064279F"/>
    <w:rsid w:val="00645899"/>
    <w:rsid w:val="00645A33"/>
    <w:rsid w:val="00650178"/>
    <w:rsid w:val="00651AAD"/>
    <w:rsid w:val="0065539E"/>
    <w:rsid w:val="00664205"/>
    <w:rsid w:val="00664FB3"/>
    <w:rsid w:val="00683104"/>
    <w:rsid w:val="00683D7A"/>
    <w:rsid w:val="00686437"/>
    <w:rsid w:val="00687881"/>
    <w:rsid w:val="00693A56"/>
    <w:rsid w:val="006C1472"/>
    <w:rsid w:val="006C249A"/>
    <w:rsid w:val="006C3089"/>
    <w:rsid w:val="006D39C7"/>
    <w:rsid w:val="006D723E"/>
    <w:rsid w:val="006E6401"/>
    <w:rsid w:val="006E7BE5"/>
    <w:rsid w:val="0070167F"/>
    <w:rsid w:val="00712076"/>
    <w:rsid w:val="0071296F"/>
    <w:rsid w:val="00721135"/>
    <w:rsid w:val="00723CFD"/>
    <w:rsid w:val="00750C89"/>
    <w:rsid w:val="007523E3"/>
    <w:rsid w:val="00752E84"/>
    <w:rsid w:val="007677CF"/>
    <w:rsid w:val="00770470"/>
    <w:rsid w:val="00781D36"/>
    <w:rsid w:val="007935FC"/>
    <w:rsid w:val="00796BD1"/>
    <w:rsid w:val="007A3835"/>
    <w:rsid w:val="007B29D9"/>
    <w:rsid w:val="007B33DB"/>
    <w:rsid w:val="007B5822"/>
    <w:rsid w:val="007C69A3"/>
    <w:rsid w:val="007D28F6"/>
    <w:rsid w:val="007E22F4"/>
    <w:rsid w:val="007E50EA"/>
    <w:rsid w:val="007F1D76"/>
    <w:rsid w:val="00801A37"/>
    <w:rsid w:val="00803092"/>
    <w:rsid w:val="00826F8F"/>
    <w:rsid w:val="00837368"/>
    <w:rsid w:val="00840CBD"/>
    <w:rsid w:val="0085052E"/>
    <w:rsid w:val="008520A6"/>
    <w:rsid w:val="00855913"/>
    <w:rsid w:val="00862AF9"/>
    <w:rsid w:val="00862CDA"/>
    <w:rsid w:val="00865B9B"/>
    <w:rsid w:val="00871F4F"/>
    <w:rsid w:val="00874E9C"/>
    <w:rsid w:val="008768CB"/>
    <w:rsid w:val="00881BFC"/>
    <w:rsid w:val="00884F70"/>
    <w:rsid w:val="00896906"/>
    <w:rsid w:val="008A5667"/>
    <w:rsid w:val="008B0DF4"/>
    <w:rsid w:val="008B4D49"/>
    <w:rsid w:val="008B5B25"/>
    <w:rsid w:val="008C50C9"/>
    <w:rsid w:val="008D0010"/>
    <w:rsid w:val="008D3A2B"/>
    <w:rsid w:val="008D5464"/>
    <w:rsid w:val="008E2C36"/>
    <w:rsid w:val="008E4083"/>
    <w:rsid w:val="008F14CB"/>
    <w:rsid w:val="0090214B"/>
    <w:rsid w:val="00906543"/>
    <w:rsid w:val="00913551"/>
    <w:rsid w:val="0091777B"/>
    <w:rsid w:val="0092428F"/>
    <w:rsid w:val="00924AF3"/>
    <w:rsid w:val="009310AD"/>
    <w:rsid w:val="0093295C"/>
    <w:rsid w:val="00937D0C"/>
    <w:rsid w:val="00941215"/>
    <w:rsid w:val="009415BE"/>
    <w:rsid w:val="00942887"/>
    <w:rsid w:val="0094719F"/>
    <w:rsid w:val="00950E79"/>
    <w:rsid w:val="0095149C"/>
    <w:rsid w:val="00955171"/>
    <w:rsid w:val="0098400C"/>
    <w:rsid w:val="009871B0"/>
    <w:rsid w:val="00987692"/>
    <w:rsid w:val="00990B3E"/>
    <w:rsid w:val="00993159"/>
    <w:rsid w:val="00994B2C"/>
    <w:rsid w:val="009A2505"/>
    <w:rsid w:val="009A321B"/>
    <w:rsid w:val="009B59A3"/>
    <w:rsid w:val="009C1108"/>
    <w:rsid w:val="009D4265"/>
    <w:rsid w:val="009D4F84"/>
    <w:rsid w:val="009D5FE3"/>
    <w:rsid w:val="009F007F"/>
    <w:rsid w:val="009F73DF"/>
    <w:rsid w:val="00A06727"/>
    <w:rsid w:val="00A14C3B"/>
    <w:rsid w:val="00A21FF0"/>
    <w:rsid w:val="00A2356F"/>
    <w:rsid w:val="00A238B9"/>
    <w:rsid w:val="00A457FA"/>
    <w:rsid w:val="00A56613"/>
    <w:rsid w:val="00A641E1"/>
    <w:rsid w:val="00A666E2"/>
    <w:rsid w:val="00A71198"/>
    <w:rsid w:val="00A73317"/>
    <w:rsid w:val="00A7491D"/>
    <w:rsid w:val="00AA1299"/>
    <w:rsid w:val="00AA5D8F"/>
    <w:rsid w:val="00AA5E17"/>
    <w:rsid w:val="00AA621D"/>
    <w:rsid w:val="00AB1971"/>
    <w:rsid w:val="00AC13EA"/>
    <w:rsid w:val="00AD66C7"/>
    <w:rsid w:val="00AD6B17"/>
    <w:rsid w:val="00AE0571"/>
    <w:rsid w:val="00AF0706"/>
    <w:rsid w:val="00B02D7F"/>
    <w:rsid w:val="00B118F2"/>
    <w:rsid w:val="00B17762"/>
    <w:rsid w:val="00B2178B"/>
    <w:rsid w:val="00B23644"/>
    <w:rsid w:val="00B36E82"/>
    <w:rsid w:val="00B44A88"/>
    <w:rsid w:val="00B453BE"/>
    <w:rsid w:val="00B50AD8"/>
    <w:rsid w:val="00B53FEC"/>
    <w:rsid w:val="00B6610F"/>
    <w:rsid w:val="00B76345"/>
    <w:rsid w:val="00B805EC"/>
    <w:rsid w:val="00B81ABC"/>
    <w:rsid w:val="00B8220A"/>
    <w:rsid w:val="00B85283"/>
    <w:rsid w:val="00BA016A"/>
    <w:rsid w:val="00BA09EF"/>
    <w:rsid w:val="00BA0A94"/>
    <w:rsid w:val="00BA3F18"/>
    <w:rsid w:val="00BB36CD"/>
    <w:rsid w:val="00BC04B9"/>
    <w:rsid w:val="00BC61FF"/>
    <w:rsid w:val="00BC6323"/>
    <w:rsid w:val="00BD3E90"/>
    <w:rsid w:val="00BE2BFF"/>
    <w:rsid w:val="00BE2E22"/>
    <w:rsid w:val="00BE36C3"/>
    <w:rsid w:val="00BE6FF6"/>
    <w:rsid w:val="00BF0D48"/>
    <w:rsid w:val="00BF49FC"/>
    <w:rsid w:val="00C06DB4"/>
    <w:rsid w:val="00C146B0"/>
    <w:rsid w:val="00C14C8B"/>
    <w:rsid w:val="00C23509"/>
    <w:rsid w:val="00C277C5"/>
    <w:rsid w:val="00C41DC9"/>
    <w:rsid w:val="00C42D26"/>
    <w:rsid w:val="00C44EBE"/>
    <w:rsid w:val="00C50237"/>
    <w:rsid w:val="00C530B8"/>
    <w:rsid w:val="00C5511E"/>
    <w:rsid w:val="00C66DAE"/>
    <w:rsid w:val="00C729EE"/>
    <w:rsid w:val="00C81639"/>
    <w:rsid w:val="00C81927"/>
    <w:rsid w:val="00C8649F"/>
    <w:rsid w:val="00C93655"/>
    <w:rsid w:val="00CB1428"/>
    <w:rsid w:val="00CC0FD7"/>
    <w:rsid w:val="00CC7FEA"/>
    <w:rsid w:val="00CD292E"/>
    <w:rsid w:val="00CD44DA"/>
    <w:rsid w:val="00CF0AE5"/>
    <w:rsid w:val="00CF0D6D"/>
    <w:rsid w:val="00CF4129"/>
    <w:rsid w:val="00D07A2C"/>
    <w:rsid w:val="00D10517"/>
    <w:rsid w:val="00D1087F"/>
    <w:rsid w:val="00D4080C"/>
    <w:rsid w:val="00D652AA"/>
    <w:rsid w:val="00D65621"/>
    <w:rsid w:val="00D72668"/>
    <w:rsid w:val="00D72EE6"/>
    <w:rsid w:val="00D730DC"/>
    <w:rsid w:val="00D769A8"/>
    <w:rsid w:val="00D845AD"/>
    <w:rsid w:val="00D90F49"/>
    <w:rsid w:val="00D913DC"/>
    <w:rsid w:val="00DA1253"/>
    <w:rsid w:val="00DB1A07"/>
    <w:rsid w:val="00DD413B"/>
    <w:rsid w:val="00DD5625"/>
    <w:rsid w:val="00DD5D68"/>
    <w:rsid w:val="00DD5ECE"/>
    <w:rsid w:val="00DE39FE"/>
    <w:rsid w:val="00DE42E4"/>
    <w:rsid w:val="00DE63DF"/>
    <w:rsid w:val="00E0191F"/>
    <w:rsid w:val="00E10846"/>
    <w:rsid w:val="00E17DDD"/>
    <w:rsid w:val="00E20D24"/>
    <w:rsid w:val="00E21F97"/>
    <w:rsid w:val="00E23305"/>
    <w:rsid w:val="00E43686"/>
    <w:rsid w:val="00E45867"/>
    <w:rsid w:val="00E5008C"/>
    <w:rsid w:val="00E6719D"/>
    <w:rsid w:val="00E71059"/>
    <w:rsid w:val="00E779A5"/>
    <w:rsid w:val="00E82E6E"/>
    <w:rsid w:val="00E84982"/>
    <w:rsid w:val="00E93D69"/>
    <w:rsid w:val="00E9531B"/>
    <w:rsid w:val="00E95D83"/>
    <w:rsid w:val="00E9782A"/>
    <w:rsid w:val="00E97CE1"/>
    <w:rsid w:val="00E97F95"/>
    <w:rsid w:val="00EB23CA"/>
    <w:rsid w:val="00EB2A0B"/>
    <w:rsid w:val="00EB3FFE"/>
    <w:rsid w:val="00EB5C9F"/>
    <w:rsid w:val="00EC3F32"/>
    <w:rsid w:val="00EC51D9"/>
    <w:rsid w:val="00EE11A4"/>
    <w:rsid w:val="00EE1771"/>
    <w:rsid w:val="00EE4053"/>
    <w:rsid w:val="00EF31A1"/>
    <w:rsid w:val="00EF5E32"/>
    <w:rsid w:val="00EF7420"/>
    <w:rsid w:val="00F0302D"/>
    <w:rsid w:val="00F049AD"/>
    <w:rsid w:val="00F11CBC"/>
    <w:rsid w:val="00F13063"/>
    <w:rsid w:val="00F239B9"/>
    <w:rsid w:val="00F34197"/>
    <w:rsid w:val="00F4630C"/>
    <w:rsid w:val="00F5338F"/>
    <w:rsid w:val="00F77787"/>
    <w:rsid w:val="00F8345D"/>
    <w:rsid w:val="00F878A5"/>
    <w:rsid w:val="00F92D14"/>
    <w:rsid w:val="00F9601F"/>
    <w:rsid w:val="00FA4244"/>
    <w:rsid w:val="00FA559D"/>
    <w:rsid w:val="00FA759A"/>
    <w:rsid w:val="00FB042C"/>
    <w:rsid w:val="00FC15DC"/>
    <w:rsid w:val="00FC2D64"/>
    <w:rsid w:val="00FF59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1AADAB"/>
  <w15:chartTrackingRefBased/>
  <w15:docId w15:val="{04304913-42B0-46E8-9B38-E00EB7D72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D64"/>
    <w:pPr>
      <w:spacing w:after="0" w:line="360" w:lineRule="auto"/>
      <w:ind w:firstLine="567"/>
      <w:jc w:val="both"/>
    </w:pPr>
    <w:rPr>
      <w:rFonts w:ascii="Calibri" w:eastAsia="Times New Roman" w:hAnsi="Calibri" w:cs="Times New Roman"/>
      <w:kern w:val="0"/>
      <w:sz w:val="22"/>
      <w:szCs w:val="22"/>
      <w14:ligatures w14:val="none"/>
    </w:rPr>
  </w:style>
  <w:style w:type="paragraph" w:styleId="Heading1">
    <w:name w:val="heading 1"/>
    <w:basedOn w:val="Normal"/>
    <w:next w:val="Normal"/>
    <w:link w:val="Heading1Char"/>
    <w:uiPriority w:val="9"/>
    <w:qFormat/>
    <w:rsid w:val="00FC2D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2D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D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D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D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D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D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D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D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D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2D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D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D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D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D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D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D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D64"/>
    <w:rPr>
      <w:rFonts w:eastAsiaTheme="majorEastAsia" w:cstheme="majorBidi"/>
      <w:color w:val="272727" w:themeColor="text1" w:themeTint="D8"/>
    </w:rPr>
  </w:style>
  <w:style w:type="paragraph" w:styleId="Title">
    <w:name w:val="Title"/>
    <w:basedOn w:val="Normal"/>
    <w:next w:val="Normal"/>
    <w:link w:val="TitleChar"/>
    <w:uiPriority w:val="10"/>
    <w:qFormat/>
    <w:rsid w:val="00FC2D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D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D64"/>
    <w:pPr>
      <w:numPr>
        <w:ilvl w:val="1"/>
      </w:numPr>
      <w:ind w:firstLine="56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D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D64"/>
    <w:pPr>
      <w:spacing w:before="160"/>
      <w:jc w:val="center"/>
    </w:pPr>
    <w:rPr>
      <w:i/>
      <w:iCs/>
      <w:color w:val="404040" w:themeColor="text1" w:themeTint="BF"/>
    </w:rPr>
  </w:style>
  <w:style w:type="character" w:customStyle="1" w:styleId="QuoteChar">
    <w:name w:val="Quote Char"/>
    <w:basedOn w:val="DefaultParagraphFont"/>
    <w:link w:val="Quote"/>
    <w:uiPriority w:val="29"/>
    <w:rsid w:val="00FC2D64"/>
    <w:rPr>
      <w:i/>
      <w:iCs/>
      <w:color w:val="404040" w:themeColor="text1" w:themeTint="BF"/>
    </w:rPr>
  </w:style>
  <w:style w:type="paragraph" w:styleId="ListParagraph">
    <w:name w:val="List Paragraph"/>
    <w:basedOn w:val="Normal"/>
    <w:uiPriority w:val="34"/>
    <w:qFormat/>
    <w:rsid w:val="00FC2D64"/>
    <w:pPr>
      <w:ind w:left="720"/>
      <w:contextualSpacing/>
    </w:pPr>
  </w:style>
  <w:style w:type="character" w:styleId="IntenseEmphasis">
    <w:name w:val="Intense Emphasis"/>
    <w:basedOn w:val="DefaultParagraphFont"/>
    <w:uiPriority w:val="21"/>
    <w:qFormat/>
    <w:rsid w:val="00FC2D64"/>
    <w:rPr>
      <w:i/>
      <w:iCs/>
      <w:color w:val="0F4761" w:themeColor="accent1" w:themeShade="BF"/>
    </w:rPr>
  </w:style>
  <w:style w:type="paragraph" w:styleId="IntenseQuote">
    <w:name w:val="Intense Quote"/>
    <w:basedOn w:val="Normal"/>
    <w:next w:val="Normal"/>
    <w:link w:val="IntenseQuoteChar"/>
    <w:uiPriority w:val="30"/>
    <w:qFormat/>
    <w:rsid w:val="00FC2D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D64"/>
    <w:rPr>
      <w:i/>
      <w:iCs/>
      <w:color w:val="0F4761" w:themeColor="accent1" w:themeShade="BF"/>
    </w:rPr>
  </w:style>
  <w:style w:type="character" w:styleId="IntenseReference">
    <w:name w:val="Intense Reference"/>
    <w:basedOn w:val="DefaultParagraphFont"/>
    <w:uiPriority w:val="32"/>
    <w:qFormat/>
    <w:rsid w:val="00FC2D64"/>
    <w:rPr>
      <w:b/>
      <w:bCs/>
      <w:smallCaps/>
      <w:color w:val="0F4761" w:themeColor="accent1" w:themeShade="BF"/>
      <w:spacing w:val="5"/>
    </w:rPr>
  </w:style>
  <w:style w:type="paragraph" w:styleId="Date">
    <w:name w:val="Date"/>
    <w:basedOn w:val="Normal"/>
    <w:next w:val="Normal"/>
    <w:link w:val="DateChar"/>
    <w:uiPriority w:val="99"/>
    <w:semiHidden/>
    <w:unhideWhenUsed/>
    <w:rsid w:val="00BE2BFF"/>
  </w:style>
  <w:style w:type="character" w:customStyle="1" w:styleId="DateChar">
    <w:name w:val="Date Char"/>
    <w:basedOn w:val="DefaultParagraphFont"/>
    <w:link w:val="Date"/>
    <w:uiPriority w:val="99"/>
    <w:semiHidden/>
    <w:rsid w:val="00BE2BFF"/>
    <w:rPr>
      <w:rFonts w:ascii="Calibri" w:eastAsia="Times New Roman" w:hAnsi="Calibri" w:cs="Times New Roman"/>
      <w:kern w:val="0"/>
      <w:sz w:val="22"/>
      <w:szCs w:val="22"/>
      <w14:ligatures w14:val="none"/>
    </w:rPr>
  </w:style>
  <w:style w:type="character" w:styleId="Hyperlink">
    <w:name w:val="Hyperlink"/>
    <w:basedOn w:val="DefaultParagraphFont"/>
    <w:uiPriority w:val="99"/>
    <w:unhideWhenUsed/>
    <w:rsid w:val="00151E6B"/>
    <w:rPr>
      <w:color w:val="467886" w:themeColor="hyperlink"/>
      <w:u w:val="single"/>
    </w:rPr>
  </w:style>
  <w:style w:type="character" w:styleId="UnresolvedMention">
    <w:name w:val="Unresolved Mention"/>
    <w:basedOn w:val="DefaultParagraphFont"/>
    <w:uiPriority w:val="99"/>
    <w:semiHidden/>
    <w:unhideWhenUsed/>
    <w:rsid w:val="00151E6B"/>
    <w:rPr>
      <w:color w:val="605E5C"/>
      <w:shd w:val="clear" w:color="auto" w:fill="E1DFDD"/>
    </w:rPr>
  </w:style>
  <w:style w:type="table" w:styleId="TableGrid">
    <w:name w:val="Table Grid"/>
    <w:basedOn w:val="TableNormal"/>
    <w:uiPriority w:val="39"/>
    <w:rsid w:val="00EC5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51D9"/>
    <w:pPr>
      <w:tabs>
        <w:tab w:val="center" w:pos="4513"/>
        <w:tab w:val="right" w:pos="9026"/>
      </w:tabs>
      <w:spacing w:line="240" w:lineRule="auto"/>
    </w:pPr>
  </w:style>
  <w:style w:type="character" w:customStyle="1" w:styleId="HeaderChar">
    <w:name w:val="Header Char"/>
    <w:basedOn w:val="DefaultParagraphFont"/>
    <w:link w:val="Header"/>
    <w:uiPriority w:val="99"/>
    <w:rsid w:val="00EC51D9"/>
    <w:rPr>
      <w:rFonts w:ascii="Calibri" w:eastAsia="Times New Roman" w:hAnsi="Calibri" w:cs="Times New Roman"/>
      <w:kern w:val="0"/>
      <w:sz w:val="22"/>
      <w:szCs w:val="22"/>
      <w14:ligatures w14:val="none"/>
    </w:rPr>
  </w:style>
  <w:style w:type="paragraph" w:styleId="Footer">
    <w:name w:val="footer"/>
    <w:basedOn w:val="Normal"/>
    <w:link w:val="FooterChar"/>
    <w:uiPriority w:val="99"/>
    <w:unhideWhenUsed/>
    <w:rsid w:val="00EC51D9"/>
    <w:pPr>
      <w:tabs>
        <w:tab w:val="center" w:pos="4513"/>
        <w:tab w:val="right" w:pos="9026"/>
      </w:tabs>
      <w:spacing w:line="240" w:lineRule="auto"/>
    </w:pPr>
  </w:style>
  <w:style w:type="character" w:customStyle="1" w:styleId="FooterChar">
    <w:name w:val="Footer Char"/>
    <w:basedOn w:val="DefaultParagraphFont"/>
    <w:link w:val="Footer"/>
    <w:uiPriority w:val="99"/>
    <w:rsid w:val="00EC51D9"/>
    <w:rPr>
      <w:rFonts w:ascii="Calibri" w:eastAsia="Times New Roman" w:hAnsi="Calibri" w:cs="Times New Roman"/>
      <w:kern w:val="0"/>
      <w:sz w:val="22"/>
      <w:szCs w:val="22"/>
      <w14:ligatures w14:val="none"/>
    </w:rPr>
  </w:style>
  <w:style w:type="paragraph" w:styleId="NormalWeb">
    <w:name w:val="Normal (Web)"/>
    <w:basedOn w:val="Normal"/>
    <w:uiPriority w:val="99"/>
    <w:semiHidden/>
    <w:unhideWhenUsed/>
    <w:rsid w:val="00D913DC"/>
    <w:pPr>
      <w:spacing w:before="100" w:beforeAutospacing="1" w:after="100" w:afterAutospacing="1" w:line="240" w:lineRule="auto"/>
      <w:ind w:firstLine="0"/>
      <w:jc w:val="left"/>
    </w:pPr>
    <w:rPr>
      <w:rFonts w:ascii="Times New Roman" w:hAnsi="Times New Roman"/>
      <w:sz w:val="24"/>
      <w:szCs w:val="24"/>
      <w:lang w:eastAsia="en-GB"/>
    </w:rPr>
  </w:style>
  <w:style w:type="character" w:styleId="Strong">
    <w:name w:val="Strong"/>
    <w:basedOn w:val="DefaultParagraphFont"/>
    <w:uiPriority w:val="22"/>
    <w:qFormat/>
    <w:rsid w:val="00D913DC"/>
    <w:rPr>
      <w:b/>
      <w:bCs/>
    </w:rPr>
  </w:style>
  <w:style w:type="paragraph" w:styleId="TOCHeading">
    <w:name w:val="TOC Heading"/>
    <w:basedOn w:val="Heading1"/>
    <w:next w:val="Normal"/>
    <w:uiPriority w:val="39"/>
    <w:unhideWhenUsed/>
    <w:qFormat/>
    <w:rsid w:val="0016511C"/>
    <w:pPr>
      <w:spacing w:before="240" w:after="0" w:line="259" w:lineRule="auto"/>
      <w:ind w:firstLine="0"/>
      <w:jc w:val="left"/>
      <w:outlineLvl w:val="9"/>
    </w:pPr>
    <w:rPr>
      <w:sz w:val="32"/>
      <w:szCs w:val="32"/>
      <w:lang w:eastAsia="en-GB"/>
    </w:rPr>
  </w:style>
  <w:style w:type="paragraph" w:styleId="TOC1">
    <w:name w:val="toc 1"/>
    <w:basedOn w:val="Normal"/>
    <w:next w:val="Normal"/>
    <w:autoRedefine/>
    <w:uiPriority w:val="39"/>
    <w:unhideWhenUsed/>
    <w:rsid w:val="0016511C"/>
    <w:pPr>
      <w:spacing w:after="100"/>
    </w:pPr>
  </w:style>
  <w:style w:type="character" w:styleId="FollowedHyperlink">
    <w:name w:val="FollowedHyperlink"/>
    <w:basedOn w:val="DefaultParagraphFont"/>
    <w:uiPriority w:val="99"/>
    <w:semiHidden/>
    <w:unhideWhenUsed/>
    <w:rsid w:val="00C14C8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4745">
      <w:bodyDiv w:val="1"/>
      <w:marLeft w:val="0"/>
      <w:marRight w:val="0"/>
      <w:marTop w:val="0"/>
      <w:marBottom w:val="0"/>
      <w:divBdr>
        <w:top w:val="none" w:sz="0" w:space="0" w:color="auto"/>
        <w:left w:val="none" w:sz="0" w:space="0" w:color="auto"/>
        <w:bottom w:val="none" w:sz="0" w:space="0" w:color="auto"/>
        <w:right w:val="none" w:sz="0" w:space="0" w:color="auto"/>
      </w:divBdr>
    </w:div>
    <w:div w:id="31393801">
      <w:bodyDiv w:val="1"/>
      <w:marLeft w:val="0"/>
      <w:marRight w:val="0"/>
      <w:marTop w:val="0"/>
      <w:marBottom w:val="0"/>
      <w:divBdr>
        <w:top w:val="none" w:sz="0" w:space="0" w:color="auto"/>
        <w:left w:val="none" w:sz="0" w:space="0" w:color="auto"/>
        <w:bottom w:val="none" w:sz="0" w:space="0" w:color="auto"/>
        <w:right w:val="none" w:sz="0" w:space="0" w:color="auto"/>
      </w:divBdr>
    </w:div>
    <w:div w:id="51120418">
      <w:bodyDiv w:val="1"/>
      <w:marLeft w:val="0"/>
      <w:marRight w:val="0"/>
      <w:marTop w:val="0"/>
      <w:marBottom w:val="0"/>
      <w:divBdr>
        <w:top w:val="none" w:sz="0" w:space="0" w:color="auto"/>
        <w:left w:val="none" w:sz="0" w:space="0" w:color="auto"/>
        <w:bottom w:val="none" w:sz="0" w:space="0" w:color="auto"/>
        <w:right w:val="none" w:sz="0" w:space="0" w:color="auto"/>
      </w:divBdr>
    </w:div>
    <w:div w:id="70010046">
      <w:bodyDiv w:val="1"/>
      <w:marLeft w:val="0"/>
      <w:marRight w:val="0"/>
      <w:marTop w:val="0"/>
      <w:marBottom w:val="0"/>
      <w:divBdr>
        <w:top w:val="none" w:sz="0" w:space="0" w:color="auto"/>
        <w:left w:val="none" w:sz="0" w:space="0" w:color="auto"/>
        <w:bottom w:val="none" w:sz="0" w:space="0" w:color="auto"/>
        <w:right w:val="none" w:sz="0" w:space="0" w:color="auto"/>
      </w:divBdr>
    </w:div>
    <w:div w:id="107547651">
      <w:bodyDiv w:val="1"/>
      <w:marLeft w:val="0"/>
      <w:marRight w:val="0"/>
      <w:marTop w:val="0"/>
      <w:marBottom w:val="0"/>
      <w:divBdr>
        <w:top w:val="none" w:sz="0" w:space="0" w:color="auto"/>
        <w:left w:val="none" w:sz="0" w:space="0" w:color="auto"/>
        <w:bottom w:val="none" w:sz="0" w:space="0" w:color="auto"/>
        <w:right w:val="none" w:sz="0" w:space="0" w:color="auto"/>
      </w:divBdr>
    </w:div>
    <w:div w:id="142429047">
      <w:bodyDiv w:val="1"/>
      <w:marLeft w:val="0"/>
      <w:marRight w:val="0"/>
      <w:marTop w:val="0"/>
      <w:marBottom w:val="0"/>
      <w:divBdr>
        <w:top w:val="none" w:sz="0" w:space="0" w:color="auto"/>
        <w:left w:val="none" w:sz="0" w:space="0" w:color="auto"/>
        <w:bottom w:val="none" w:sz="0" w:space="0" w:color="auto"/>
        <w:right w:val="none" w:sz="0" w:space="0" w:color="auto"/>
      </w:divBdr>
    </w:div>
    <w:div w:id="192812263">
      <w:bodyDiv w:val="1"/>
      <w:marLeft w:val="0"/>
      <w:marRight w:val="0"/>
      <w:marTop w:val="0"/>
      <w:marBottom w:val="0"/>
      <w:divBdr>
        <w:top w:val="none" w:sz="0" w:space="0" w:color="auto"/>
        <w:left w:val="none" w:sz="0" w:space="0" w:color="auto"/>
        <w:bottom w:val="none" w:sz="0" w:space="0" w:color="auto"/>
        <w:right w:val="none" w:sz="0" w:space="0" w:color="auto"/>
      </w:divBdr>
    </w:div>
    <w:div w:id="315454866">
      <w:bodyDiv w:val="1"/>
      <w:marLeft w:val="0"/>
      <w:marRight w:val="0"/>
      <w:marTop w:val="0"/>
      <w:marBottom w:val="0"/>
      <w:divBdr>
        <w:top w:val="none" w:sz="0" w:space="0" w:color="auto"/>
        <w:left w:val="none" w:sz="0" w:space="0" w:color="auto"/>
        <w:bottom w:val="none" w:sz="0" w:space="0" w:color="auto"/>
        <w:right w:val="none" w:sz="0" w:space="0" w:color="auto"/>
      </w:divBdr>
    </w:div>
    <w:div w:id="365299777">
      <w:bodyDiv w:val="1"/>
      <w:marLeft w:val="0"/>
      <w:marRight w:val="0"/>
      <w:marTop w:val="0"/>
      <w:marBottom w:val="0"/>
      <w:divBdr>
        <w:top w:val="none" w:sz="0" w:space="0" w:color="auto"/>
        <w:left w:val="none" w:sz="0" w:space="0" w:color="auto"/>
        <w:bottom w:val="none" w:sz="0" w:space="0" w:color="auto"/>
        <w:right w:val="none" w:sz="0" w:space="0" w:color="auto"/>
      </w:divBdr>
    </w:div>
    <w:div w:id="408699138">
      <w:bodyDiv w:val="1"/>
      <w:marLeft w:val="0"/>
      <w:marRight w:val="0"/>
      <w:marTop w:val="0"/>
      <w:marBottom w:val="0"/>
      <w:divBdr>
        <w:top w:val="none" w:sz="0" w:space="0" w:color="auto"/>
        <w:left w:val="none" w:sz="0" w:space="0" w:color="auto"/>
        <w:bottom w:val="none" w:sz="0" w:space="0" w:color="auto"/>
        <w:right w:val="none" w:sz="0" w:space="0" w:color="auto"/>
      </w:divBdr>
    </w:div>
    <w:div w:id="427165812">
      <w:bodyDiv w:val="1"/>
      <w:marLeft w:val="0"/>
      <w:marRight w:val="0"/>
      <w:marTop w:val="0"/>
      <w:marBottom w:val="0"/>
      <w:divBdr>
        <w:top w:val="none" w:sz="0" w:space="0" w:color="auto"/>
        <w:left w:val="none" w:sz="0" w:space="0" w:color="auto"/>
        <w:bottom w:val="none" w:sz="0" w:space="0" w:color="auto"/>
        <w:right w:val="none" w:sz="0" w:space="0" w:color="auto"/>
      </w:divBdr>
    </w:div>
    <w:div w:id="428935604">
      <w:bodyDiv w:val="1"/>
      <w:marLeft w:val="0"/>
      <w:marRight w:val="0"/>
      <w:marTop w:val="0"/>
      <w:marBottom w:val="0"/>
      <w:divBdr>
        <w:top w:val="none" w:sz="0" w:space="0" w:color="auto"/>
        <w:left w:val="none" w:sz="0" w:space="0" w:color="auto"/>
        <w:bottom w:val="none" w:sz="0" w:space="0" w:color="auto"/>
        <w:right w:val="none" w:sz="0" w:space="0" w:color="auto"/>
      </w:divBdr>
    </w:div>
    <w:div w:id="480268574">
      <w:bodyDiv w:val="1"/>
      <w:marLeft w:val="0"/>
      <w:marRight w:val="0"/>
      <w:marTop w:val="0"/>
      <w:marBottom w:val="0"/>
      <w:divBdr>
        <w:top w:val="none" w:sz="0" w:space="0" w:color="auto"/>
        <w:left w:val="none" w:sz="0" w:space="0" w:color="auto"/>
        <w:bottom w:val="none" w:sz="0" w:space="0" w:color="auto"/>
        <w:right w:val="none" w:sz="0" w:space="0" w:color="auto"/>
      </w:divBdr>
    </w:div>
    <w:div w:id="509176110">
      <w:bodyDiv w:val="1"/>
      <w:marLeft w:val="0"/>
      <w:marRight w:val="0"/>
      <w:marTop w:val="0"/>
      <w:marBottom w:val="0"/>
      <w:divBdr>
        <w:top w:val="none" w:sz="0" w:space="0" w:color="auto"/>
        <w:left w:val="none" w:sz="0" w:space="0" w:color="auto"/>
        <w:bottom w:val="none" w:sz="0" w:space="0" w:color="auto"/>
        <w:right w:val="none" w:sz="0" w:space="0" w:color="auto"/>
      </w:divBdr>
    </w:div>
    <w:div w:id="538471836">
      <w:bodyDiv w:val="1"/>
      <w:marLeft w:val="0"/>
      <w:marRight w:val="0"/>
      <w:marTop w:val="0"/>
      <w:marBottom w:val="0"/>
      <w:divBdr>
        <w:top w:val="none" w:sz="0" w:space="0" w:color="auto"/>
        <w:left w:val="none" w:sz="0" w:space="0" w:color="auto"/>
        <w:bottom w:val="none" w:sz="0" w:space="0" w:color="auto"/>
        <w:right w:val="none" w:sz="0" w:space="0" w:color="auto"/>
      </w:divBdr>
    </w:div>
    <w:div w:id="539516060">
      <w:bodyDiv w:val="1"/>
      <w:marLeft w:val="0"/>
      <w:marRight w:val="0"/>
      <w:marTop w:val="0"/>
      <w:marBottom w:val="0"/>
      <w:divBdr>
        <w:top w:val="none" w:sz="0" w:space="0" w:color="auto"/>
        <w:left w:val="none" w:sz="0" w:space="0" w:color="auto"/>
        <w:bottom w:val="none" w:sz="0" w:space="0" w:color="auto"/>
        <w:right w:val="none" w:sz="0" w:space="0" w:color="auto"/>
      </w:divBdr>
    </w:div>
    <w:div w:id="558977195">
      <w:bodyDiv w:val="1"/>
      <w:marLeft w:val="0"/>
      <w:marRight w:val="0"/>
      <w:marTop w:val="0"/>
      <w:marBottom w:val="0"/>
      <w:divBdr>
        <w:top w:val="none" w:sz="0" w:space="0" w:color="auto"/>
        <w:left w:val="none" w:sz="0" w:space="0" w:color="auto"/>
        <w:bottom w:val="none" w:sz="0" w:space="0" w:color="auto"/>
        <w:right w:val="none" w:sz="0" w:space="0" w:color="auto"/>
      </w:divBdr>
    </w:div>
    <w:div w:id="628167138">
      <w:bodyDiv w:val="1"/>
      <w:marLeft w:val="0"/>
      <w:marRight w:val="0"/>
      <w:marTop w:val="0"/>
      <w:marBottom w:val="0"/>
      <w:divBdr>
        <w:top w:val="none" w:sz="0" w:space="0" w:color="auto"/>
        <w:left w:val="none" w:sz="0" w:space="0" w:color="auto"/>
        <w:bottom w:val="none" w:sz="0" w:space="0" w:color="auto"/>
        <w:right w:val="none" w:sz="0" w:space="0" w:color="auto"/>
      </w:divBdr>
    </w:div>
    <w:div w:id="662706547">
      <w:bodyDiv w:val="1"/>
      <w:marLeft w:val="0"/>
      <w:marRight w:val="0"/>
      <w:marTop w:val="0"/>
      <w:marBottom w:val="0"/>
      <w:divBdr>
        <w:top w:val="none" w:sz="0" w:space="0" w:color="auto"/>
        <w:left w:val="none" w:sz="0" w:space="0" w:color="auto"/>
        <w:bottom w:val="none" w:sz="0" w:space="0" w:color="auto"/>
        <w:right w:val="none" w:sz="0" w:space="0" w:color="auto"/>
      </w:divBdr>
    </w:div>
    <w:div w:id="690884651">
      <w:bodyDiv w:val="1"/>
      <w:marLeft w:val="0"/>
      <w:marRight w:val="0"/>
      <w:marTop w:val="0"/>
      <w:marBottom w:val="0"/>
      <w:divBdr>
        <w:top w:val="none" w:sz="0" w:space="0" w:color="auto"/>
        <w:left w:val="none" w:sz="0" w:space="0" w:color="auto"/>
        <w:bottom w:val="none" w:sz="0" w:space="0" w:color="auto"/>
        <w:right w:val="none" w:sz="0" w:space="0" w:color="auto"/>
      </w:divBdr>
    </w:div>
    <w:div w:id="750008238">
      <w:bodyDiv w:val="1"/>
      <w:marLeft w:val="0"/>
      <w:marRight w:val="0"/>
      <w:marTop w:val="0"/>
      <w:marBottom w:val="0"/>
      <w:divBdr>
        <w:top w:val="none" w:sz="0" w:space="0" w:color="auto"/>
        <w:left w:val="none" w:sz="0" w:space="0" w:color="auto"/>
        <w:bottom w:val="none" w:sz="0" w:space="0" w:color="auto"/>
        <w:right w:val="none" w:sz="0" w:space="0" w:color="auto"/>
      </w:divBdr>
    </w:div>
    <w:div w:id="770273918">
      <w:bodyDiv w:val="1"/>
      <w:marLeft w:val="0"/>
      <w:marRight w:val="0"/>
      <w:marTop w:val="0"/>
      <w:marBottom w:val="0"/>
      <w:divBdr>
        <w:top w:val="none" w:sz="0" w:space="0" w:color="auto"/>
        <w:left w:val="none" w:sz="0" w:space="0" w:color="auto"/>
        <w:bottom w:val="none" w:sz="0" w:space="0" w:color="auto"/>
        <w:right w:val="none" w:sz="0" w:space="0" w:color="auto"/>
      </w:divBdr>
    </w:div>
    <w:div w:id="771316157">
      <w:bodyDiv w:val="1"/>
      <w:marLeft w:val="0"/>
      <w:marRight w:val="0"/>
      <w:marTop w:val="0"/>
      <w:marBottom w:val="0"/>
      <w:divBdr>
        <w:top w:val="none" w:sz="0" w:space="0" w:color="auto"/>
        <w:left w:val="none" w:sz="0" w:space="0" w:color="auto"/>
        <w:bottom w:val="none" w:sz="0" w:space="0" w:color="auto"/>
        <w:right w:val="none" w:sz="0" w:space="0" w:color="auto"/>
      </w:divBdr>
    </w:div>
    <w:div w:id="780534522">
      <w:bodyDiv w:val="1"/>
      <w:marLeft w:val="0"/>
      <w:marRight w:val="0"/>
      <w:marTop w:val="0"/>
      <w:marBottom w:val="0"/>
      <w:divBdr>
        <w:top w:val="none" w:sz="0" w:space="0" w:color="auto"/>
        <w:left w:val="none" w:sz="0" w:space="0" w:color="auto"/>
        <w:bottom w:val="none" w:sz="0" w:space="0" w:color="auto"/>
        <w:right w:val="none" w:sz="0" w:space="0" w:color="auto"/>
      </w:divBdr>
    </w:div>
    <w:div w:id="813639868">
      <w:bodyDiv w:val="1"/>
      <w:marLeft w:val="0"/>
      <w:marRight w:val="0"/>
      <w:marTop w:val="0"/>
      <w:marBottom w:val="0"/>
      <w:divBdr>
        <w:top w:val="none" w:sz="0" w:space="0" w:color="auto"/>
        <w:left w:val="none" w:sz="0" w:space="0" w:color="auto"/>
        <w:bottom w:val="none" w:sz="0" w:space="0" w:color="auto"/>
        <w:right w:val="none" w:sz="0" w:space="0" w:color="auto"/>
      </w:divBdr>
    </w:div>
    <w:div w:id="889458326">
      <w:bodyDiv w:val="1"/>
      <w:marLeft w:val="0"/>
      <w:marRight w:val="0"/>
      <w:marTop w:val="0"/>
      <w:marBottom w:val="0"/>
      <w:divBdr>
        <w:top w:val="none" w:sz="0" w:space="0" w:color="auto"/>
        <w:left w:val="none" w:sz="0" w:space="0" w:color="auto"/>
        <w:bottom w:val="none" w:sz="0" w:space="0" w:color="auto"/>
        <w:right w:val="none" w:sz="0" w:space="0" w:color="auto"/>
      </w:divBdr>
    </w:div>
    <w:div w:id="920142653">
      <w:bodyDiv w:val="1"/>
      <w:marLeft w:val="0"/>
      <w:marRight w:val="0"/>
      <w:marTop w:val="0"/>
      <w:marBottom w:val="0"/>
      <w:divBdr>
        <w:top w:val="none" w:sz="0" w:space="0" w:color="auto"/>
        <w:left w:val="none" w:sz="0" w:space="0" w:color="auto"/>
        <w:bottom w:val="none" w:sz="0" w:space="0" w:color="auto"/>
        <w:right w:val="none" w:sz="0" w:space="0" w:color="auto"/>
      </w:divBdr>
    </w:div>
    <w:div w:id="923414419">
      <w:bodyDiv w:val="1"/>
      <w:marLeft w:val="0"/>
      <w:marRight w:val="0"/>
      <w:marTop w:val="0"/>
      <w:marBottom w:val="0"/>
      <w:divBdr>
        <w:top w:val="none" w:sz="0" w:space="0" w:color="auto"/>
        <w:left w:val="none" w:sz="0" w:space="0" w:color="auto"/>
        <w:bottom w:val="none" w:sz="0" w:space="0" w:color="auto"/>
        <w:right w:val="none" w:sz="0" w:space="0" w:color="auto"/>
      </w:divBdr>
    </w:div>
    <w:div w:id="970944512">
      <w:bodyDiv w:val="1"/>
      <w:marLeft w:val="0"/>
      <w:marRight w:val="0"/>
      <w:marTop w:val="0"/>
      <w:marBottom w:val="0"/>
      <w:divBdr>
        <w:top w:val="none" w:sz="0" w:space="0" w:color="auto"/>
        <w:left w:val="none" w:sz="0" w:space="0" w:color="auto"/>
        <w:bottom w:val="none" w:sz="0" w:space="0" w:color="auto"/>
        <w:right w:val="none" w:sz="0" w:space="0" w:color="auto"/>
      </w:divBdr>
    </w:div>
    <w:div w:id="980380219">
      <w:bodyDiv w:val="1"/>
      <w:marLeft w:val="0"/>
      <w:marRight w:val="0"/>
      <w:marTop w:val="0"/>
      <w:marBottom w:val="0"/>
      <w:divBdr>
        <w:top w:val="none" w:sz="0" w:space="0" w:color="auto"/>
        <w:left w:val="none" w:sz="0" w:space="0" w:color="auto"/>
        <w:bottom w:val="none" w:sz="0" w:space="0" w:color="auto"/>
        <w:right w:val="none" w:sz="0" w:space="0" w:color="auto"/>
      </w:divBdr>
    </w:div>
    <w:div w:id="1033842530">
      <w:bodyDiv w:val="1"/>
      <w:marLeft w:val="0"/>
      <w:marRight w:val="0"/>
      <w:marTop w:val="0"/>
      <w:marBottom w:val="0"/>
      <w:divBdr>
        <w:top w:val="none" w:sz="0" w:space="0" w:color="auto"/>
        <w:left w:val="none" w:sz="0" w:space="0" w:color="auto"/>
        <w:bottom w:val="none" w:sz="0" w:space="0" w:color="auto"/>
        <w:right w:val="none" w:sz="0" w:space="0" w:color="auto"/>
      </w:divBdr>
    </w:div>
    <w:div w:id="1139883663">
      <w:bodyDiv w:val="1"/>
      <w:marLeft w:val="0"/>
      <w:marRight w:val="0"/>
      <w:marTop w:val="0"/>
      <w:marBottom w:val="0"/>
      <w:divBdr>
        <w:top w:val="none" w:sz="0" w:space="0" w:color="auto"/>
        <w:left w:val="none" w:sz="0" w:space="0" w:color="auto"/>
        <w:bottom w:val="none" w:sz="0" w:space="0" w:color="auto"/>
        <w:right w:val="none" w:sz="0" w:space="0" w:color="auto"/>
      </w:divBdr>
    </w:div>
    <w:div w:id="1236013959">
      <w:bodyDiv w:val="1"/>
      <w:marLeft w:val="0"/>
      <w:marRight w:val="0"/>
      <w:marTop w:val="0"/>
      <w:marBottom w:val="0"/>
      <w:divBdr>
        <w:top w:val="none" w:sz="0" w:space="0" w:color="auto"/>
        <w:left w:val="none" w:sz="0" w:space="0" w:color="auto"/>
        <w:bottom w:val="none" w:sz="0" w:space="0" w:color="auto"/>
        <w:right w:val="none" w:sz="0" w:space="0" w:color="auto"/>
      </w:divBdr>
    </w:div>
    <w:div w:id="1269852125">
      <w:bodyDiv w:val="1"/>
      <w:marLeft w:val="0"/>
      <w:marRight w:val="0"/>
      <w:marTop w:val="0"/>
      <w:marBottom w:val="0"/>
      <w:divBdr>
        <w:top w:val="none" w:sz="0" w:space="0" w:color="auto"/>
        <w:left w:val="none" w:sz="0" w:space="0" w:color="auto"/>
        <w:bottom w:val="none" w:sz="0" w:space="0" w:color="auto"/>
        <w:right w:val="none" w:sz="0" w:space="0" w:color="auto"/>
      </w:divBdr>
    </w:div>
    <w:div w:id="1274478879">
      <w:bodyDiv w:val="1"/>
      <w:marLeft w:val="0"/>
      <w:marRight w:val="0"/>
      <w:marTop w:val="0"/>
      <w:marBottom w:val="0"/>
      <w:divBdr>
        <w:top w:val="none" w:sz="0" w:space="0" w:color="auto"/>
        <w:left w:val="none" w:sz="0" w:space="0" w:color="auto"/>
        <w:bottom w:val="none" w:sz="0" w:space="0" w:color="auto"/>
        <w:right w:val="none" w:sz="0" w:space="0" w:color="auto"/>
      </w:divBdr>
    </w:div>
    <w:div w:id="1298216857">
      <w:bodyDiv w:val="1"/>
      <w:marLeft w:val="0"/>
      <w:marRight w:val="0"/>
      <w:marTop w:val="0"/>
      <w:marBottom w:val="0"/>
      <w:divBdr>
        <w:top w:val="none" w:sz="0" w:space="0" w:color="auto"/>
        <w:left w:val="none" w:sz="0" w:space="0" w:color="auto"/>
        <w:bottom w:val="none" w:sz="0" w:space="0" w:color="auto"/>
        <w:right w:val="none" w:sz="0" w:space="0" w:color="auto"/>
      </w:divBdr>
    </w:div>
    <w:div w:id="1339770231">
      <w:bodyDiv w:val="1"/>
      <w:marLeft w:val="0"/>
      <w:marRight w:val="0"/>
      <w:marTop w:val="0"/>
      <w:marBottom w:val="0"/>
      <w:divBdr>
        <w:top w:val="none" w:sz="0" w:space="0" w:color="auto"/>
        <w:left w:val="none" w:sz="0" w:space="0" w:color="auto"/>
        <w:bottom w:val="none" w:sz="0" w:space="0" w:color="auto"/>
        <w:right w:val="none" w:sz="0" w:space="0" w:color="auto"/>
      </w:divBdr>
    </w:div>
    <w:div w:id="1364479273">
      <w:bodyDiv w:val="1"/>
      <w:marLeft w:val="0"/>
      <w:marRight w:val="0"/>
      <w:marTop w:val="0"/>
      <w:marBottom w:val="0"/>
      <w:divBdr>
        <w:top w:val="none" w:sz="0" w:space="0" w:color="auto"/>
        <w:left w:val="none" w:sz="0" w:space="0" w:color="auto"/>
        <w:bottom w:val="none" w:sz="0" w:space="0" w:color="auto"/>
        <w:right w:val="none" w:sz="0" w:space="0" w:color="auto"/>
      </w:divBdr>
    </w:div>
    <w:div w:id="1390885620">
      <w:bodyDiv w:val="1"/>
      <w:marLeft w:val="0"/>
      <w:marRight w:val="0"/>
      <w:marTop w:val="0"/>
      <w:marBottom w:val="0"/>
      <w:divBdr>
        <w:top w:val="none" w:sz="0" w:space="0" w:color="auto"/>
        <w:left w:val="none" w:sz="0" w:space="0" w:color="auto"/>
        <w:bottom w:val="none" w:sz="0" w:space="0" w:color="auto"/>
        <w:right w:val="none" w:sz="0" w:space="0" w:color="auto"/>
      </w:divBdr>
    </w:div>
    <w:div w:id="1405296847">
      <w:bodyDiv w:val="1"/>
      <w:marLeft w:val="0"/>
      <w:marRight w:val="0"/>
      <w:marTop w:val="0"/>
      <w:marBottom w:val="0"/>
      <w:divBdr>
        <w:top w:val="none" w:sz="0" w:space="0" w:color="auto"/>
        <w:left w:val="none" w:sz="0" w:space="0" w:color="auto"/>
        <w:bottom w:val="none" w:sz="0" w:space="0" w:color="auto"/>
        <w:right w:val="none" w:sz="0" w:space="0" w:color="auto"/>
      </w:divBdr>
    </w:div>
    <w:div w:id="1451704711">
      <w:bodyDiv w:val="1"/>
      <w:marLeft w:val="0"/>
      <w:marRight w:val="0"/>
      <w:marTop w:val="0"/>
      <w:marBottom w:val="0"/>
      <w:divBdr>
        <w:top w:val="none" w:sz="0" w:space="0" w:color="auto"/>
        <w:left w:val="none" w:sz="0" w:space="0" w:color="auto"/>
        <w:bottom w:val="none" w:sz="0" w:space="0" w:color="auto"/>
        <w:right w:val="none" w:sz="0" w:space="0" w:color="auto"/>
      </w:divBdr>
    </w:div>
    <w:div w:id="1455564475">
      <w:bodyDiv w:val="1"/>
      <w:marLeft w:val="0"/>
      <w:marRight w:val="0"/>
      <w:marTop w:val="0"/>
      <w:marBottom w:val="0"/>
      <w:divBdr>
        <w:top w:val="none" w:sz="0" w:space="0" w:color="auto"/>
        <w:left w:val="none" w:sz="0" w:space="0" w:color="auto"/>
        <w:bottom w:val="none" w:sz="0" w:space="0" w:color="auto"/>
        <w:right w:val="none" w:sz="0" w:space="0" w:color="auto"/>
      </w:divBdr>
    </w:div>
    <w:div w:id="1480918186">
      <w:bodyDiv w:val="1"/>
      <w:marLeft w:val="0"/>
      <w:marRight w:val="0"/>
      <w:marTop w:val="0"/>
      <w:marBottom w:val="0"/>
      <w:divBdr>
        <w:top w:val="none" w:sz="0" w:space="0" w:color="auto"/>
        <w:left w:val="none" w:sz="0" w:space="0" w:color="auto"/>
        <w:bottom w:val="none" w:sz="0" w:space="0" w:color="auto"/>
        <w:right w:val="none" w:sz="0" w:space="0" w:color="auto"/>
      </w:divBdr>
    </w:div>
    <w:div w:id="1489906975">
      <w:bodyDiv w:val="1"/>
      <w:marLeft w:val="0"/>
      <w:marRight w:val="0"/>
      <w:marTop w:val="0"/>
      <w:marBottom w:val="0"/>
      <w:divBdr>
        <w:top w:val="none" w:sz="0" w:space="0" w:color="auto"/>
        <w:left w:val="none" w:sz="0" w:space="0" w:color="auto"/>
        <w:bottom w:val="none" w:sz="0" w:space="0" w:color="auto"/>
        <w:right w:val="none" w:sz="0" w:space="0" w:color="auto"/>
      </w:divBdr>
    </w:div>
    <w:div w:id="1542937663">
      <w:bodyDiv w:val="1"/>
      <w:marLeft w:val="0"/>
      <w:marRight w:val="0"/>
      <w:marTop w:val="0"/>
      <w:marBottom w:val="0"/>
      <w:divBdr>
        <w:top w:val="none" w:sz="0" w:space="0" w:color="auto"/>
        <w:left w:val="none" w:sz="0" w:space="0" w:color="auto"/>
        <w:bottom w:val="none" w:sz="0" w:space="0" w:color="auto"/>
        <w:right w:val="none" w:sz="0" w:space="0" w:color="auto"/>
      </w:divBdr>
    </w:div>
    <w:div w:id="1568538795">
      <w:bodyDiv w:val="1"/>
      <w:marLeft w:val="0"/>
      <w:marRight w:val="0"/>
      <w:marTop w:val="0"/>
      <w:marBottom w:val="0"/>
      <w:divBdr>
        <w:top w:val="none" w:sz="0" w:space="0" w:color="auto"/>
        <w:left w:val="none" w:sz="0" w:space="0" w:color="auto"/>
        <w:bottom w:val="none" w:sz="0" w:space="0" w:color="auto"/>
        <w:right w:val="none" w:sz="0" w:space="0" w:color="auto"/>
      </w:divBdr>
    </w:div>
    <w:div w:id="1637179688">
      <w:bodyDiv w:val="1"/>
      <w:marLeft w:val="0"/>
      <w:marRight w:val="0"/>
      <w:marTop w:val="0"/>
      <w:marBottom w:val="0"/>
      <w:divBdr>
        <w:top w:val="none" w:sz="0" w:space="0" w:color="auto"/>
        <w:left w:val="none" w:sz="0" w:space="0" w:color="auto"/>
        <w:bottom w:val="none" w:sz="0" w:space="0" w:color="auto"/>
        <w:right w:val="none" w:sz="0" w:space="0" w:color="auto"/>
      </w:divBdr>
    </w:div>
    <w:div w:id="1658025743">
      <w:bodyDiv w:val="1"/>
      <w:marLeft w:val="0"/>
      <w:marRight w:val="0"/>
      <w:marTop w:val="0"/>
      <w:marBottom w:val="0"/>
      <w:divBdr>
        <w:top w:val="none" w:sz="0" w:space="0" w:color="auto"/>
        <w:left w:val="none" w:sz="0" w:space="0" w:color="auto"/>
        <w:bottom w:val="none" w:sz="0" w:space="0" w:color="auto"/>
        <w:right w:val="none" w:sz="0" w:space="0" w:color="auto"/>
      </w:divBdr>
    </w:div>
    <w:div w:id="1692297114">
      <w:bodyDiv w:val="1"/>
      <w:marLeft w:val="0"/>
      <w:marRight w:val="0"/>
      <w:marTop w:val="0"/>
      <w:marBottom w:val="0"/>
      <w:divBdr>
        <w:top w:val="none" w:sz="0" w:space="0" w:color="auto"/>
        <w:left w:val="none" w:sz="0" w:space="0" w:color="auto"/>
        <w:bottom w:val="none" w:sz="0" w:space="0" w:color="auto"/>
        <w:right w:val="none" w:sz="0" w:space="0" w:color="auto"/>
      </w:divBdr>
    </w:div>
    <w:div w:id="1736588698">
      <w:bodyDiv w:val="1"/>
      <w:marLeft w:val="0"/>
      <w:marRight w:val="0"/>
      <w:marTop w:val="0"/>
      <w:marBottom w:val="0"/>
      <w:divBdr>
        <w:top w:val="none" w:sz="0" w:space="0" w:color="auto"/>
        <w:left w:val="none" w:sz="0" w:space="0" w:color="auto"/>
        <w:bottom w:val="none" w:sz="0" w:space="0" w:color="auto"/>
        <w:right w:val="none" w:sz="0" w:space="0" w:color="auto"/>
      </w:divBdr>
    </w:div>
    <w:div w:id="1821770241">
      <w:bodyDiv w:val="1"/>
      <w:marLeft w:val="0"/>
      <w:marRight w:val="0"/>
      <w:marTop w:val="0"/>
      <w:marBottom w:val="0"/>
      <w:divBdr>
        <w:top w:val="none" w:sz="0" w:space="0" w:color="auto"/>
        <w:left w:val="none" w:sz="0" w:space="0" w:color="auto"/>
        <w:bottom w:val="none" w:sz="0" w:space="0" w:color="auto"/>
        <w:right w:val="none" w:sz="0" w:space="0" w:color="auto"/>
      </w:divBdr>
    </w:div>
    <w:div w:id="1839073254">
      <w:bodyDiv w:val="1"/>
      <w:marLeft w:val="0"/>
      <w:marRight w:val="0"/>
      <w:marTop w:val="0"/>
      <w:marBottom w:val="0"/>
      <w:divBdr>
        <w:top w:val="none" w:sz="0" w:space="0" w:color="auto"/>
        <w:left w:val="none" w:sz="0" w:space="0" w:color="auto"/>
        <w:bottom w:val="none" w:sz="0" w:space="0" w:color="auto"/>
        <w:right w:val="none" w:sz="0" w:space="0" w:color="auto"/>
      </w:divBdr>
    </w:div>
    <w:div w:id="1851096983">
      <w:bodyDiv w:val="1"/>
      <w:marLeft w:val="0"/>
      <w:marRight w:val="0"/>
      <w:marTop w:val="0"/>
      <w:marBottom w:val="0"/>
      <w:divBdr>
        <w:top w:val="none" w:sz="0" w:space="0" w:color="auto"/>
        <w:left w:val="none" w:sz="0" w:space="0" w:color="auto"/>
        <w:bottom w:val="none" w:sz="0" w:space="0" w:color="auto"/>
        <w:right w:val="none" w:sz="0" w:space="0" w:color="auto"/>
      </w:divBdr>
    </w:div>
    <w:div w:id="1873104632">
      <w:bodyDiv w:val="1"/>
      <w:marLeft w:val="0"/>
      <w:marRight w:val="0"/>
      <w:marTop w:val="0"/>
      <w:marBottom w:val="0"/>
      <w:divBdr>
        <w:top w:val="none" w:sz="0" w:space="0" w:color="auto"/>
        <w:left w:val="none" w:sz="0" w:space="0" w:color="auto"/>
        <w:bottom w:val="none" w:sz="0" w:space="0" w:color="auto"/>
        <w:right w:val="none" w:sz="0" w:space="0" w:color="auto"/>
      </w:divBdr>
    </w:div>
    <w:div w:id="1885285155">
      <w:bodyDiv w:val="1"/>
      <w:marLeft w:val="0"/>
      <w:marRight w:val="0"/>
      <w:marTop w:val="0"/>
      <w:marBottom w:val="0"/>
      <w:divBdr>
        <w:top w:val="none" w:sz="0" w:space="0" w:color="auto"/>
        <w:left w:val="none" w:sz="0" w:space="0" w:color="auto"/>
        <w:bottom w:val="none" w:sz="0" w:space="0" w:color="auto"/>
        <w:right w:val="none" w:sz="0" w:space="0" w:color="auto"/>
      </w:divBdr>
    </w:div>
    <w:div w:id="1929381556">
      <w:bodyDiv w:val="1"/>
      <w:marLeft w:val="0"/>
      <w:marRight w:val="0"/>
      <w:marTop w:val="0"/>
      <w:marBottom w:val="0"/>
      <w:divBdr>
        <w:top w:val="none" w:sz="0" w:space="0" w:color="auto"/>
        <w:left w:val="none" w:sz="0" w:space="0" w:color="auto"/>
        <w:bottom w:val="none" w:sz="0" w:space="0" w:color="auto"/>
        <w:right w:val="none" w:sz="0" w:space="0" w:color="auto"/>
      </w:divBdr>
    </w:div>
    <w:div w:id="1938751813">
      <w:bodyDiv w:val="1"/>
      <w:marLeft w:val="0"/>
      <w:marRight w:val="0"/>
      <w:marTop w:val="0"/>
      <w:marBottom w:val="0"/>
      <w:divBdr>
        <w:top w:val="none" w:sz="0" w:space="0" w:color="auto"/>
        <w:left w:val="none" w:sz="0" w:space="0" w:color="auto"/>
        <w:bottom w:val="none" w:sz="0" w:space="0" w:color="auto"/>
        <w:right w:val="none" w:sz="0" w:space="0" w:color="auto"/>
      </w:divBdr>
    </w:div>
    <w:div w:id="1939676618">
      <w:bodyDiv w:val="1"/>
      <w:marLeft w:val="0"/>
      <w:marRight w:val="0"/>
      <w:marTop w:val="0"/>
      <w:marBottom w:val="0"/>
      <w:divBdr>
        <w:top w:val="none" w:sz="0" w:space="0" w:color="auto"/>
        <w:left w:val="none" w:sz="0" w:space="0" w:color="auto"/>
        <w:bottom w:val="none" w:sz="0" w:space="0" w:color="auto"/>
        <w:right w:val="none" w:sz="0" w:space="0" w:color="auto"/>
      </w:divBdr>
    </w:div>
    <w:div w:id="1990865842">
      <w:bodyDiv w:val="1"/>
      <w:marLeft w:val="0"/>
      <w:marRight w:val="0"/>
      <w:marTop w:val="0"/>
      <w:marBottom w:val="0"/>
      <w:divBdr>
        <w:top w:val="none" w:sz="0" w:space="0" w:color="auto"/>
        <w:left w:val="none" w:sz="0" w:space="0" w:color="auto"/>
        <w:bottom w:val="none" w:sz="0" w:space="0" w:color="auto"/>
        <w:right w:val="none" w:sz="0" w:space="0" w:color="auto"/>
      </w:divBdr>
    </w:div>
    <w:div w:id="2022198492">
      <w:bodyDiv w:val="1"/>
      <w:marLeft w:val="0"/>
      <w:marRight w:val="0"/>
      <w:marTop w:val="0"/>
      <w:marBottom w:val="0"/>
      <w:divBdr>
        <w:top w:val="none" w:sz="0" w:space="0" w:color="auto"/>
        <w:left w:val="none" w:sz="0" w:space="0" w:color="auto"/>
        <w:bottom w:val="none" w:sz="0" w:space="0" w:color="auto"/>
        <w:right w:val="none" w:sz="0" w:space="0" w:color="auto"/>
      </w:divBdr>
    </w:div>
    <w:div w:id="2057271128">
      <w:bodyDiv w:val="1"/>
      <w:marLeft w:val="0"/>
      <w:marRight w:val="0"/>
      <w:marTop w:val="0"/>
      <w:marBottom w:val="0"/>
      <w:divBdr>
        <w:top w:val="none" w:sz="0" w:space="0" w:color="auto"/>
        <w:left w:val="none" w:sz="0" w:space="0" w:color="auto"/>
        <w:bottom w:val="none" w:sz="0" w:space="0" w:color="auto"/>
        <w:right w:val="none" w:sz="0" w:space="0" w:color="auto"/>
      </w:divBdr>
    </w:div>
    <w:div w:id="2071725738">
      <w:bodyDiv w:val="1"/>
      <w:marLeft w:val="0"/>
      <w:marRight w:val="0"/>
      <w:marTop w:val="0"/>
      <w:marBottom w:val="0"/>
      <w:divBdr>
        <w:top w:val="none" w:sz="0" w:space="0" w:color="auto"/>
        <w:left w:val="none" w:sz="0" w:space="0" w:color="auto"/>
        <w:bottom w:val="none" w:sz="0" w:space="0" w:color="auto"/>
        <w:right w:val="none" w:sz="0" w:space="0" w:color="auto"/>
      </w:divBdr>
    </w:div>
    <w:div w:id="2083286667">
      <w:bodyDiv w:val="1"/>
      <w:marLeft w:val="0"/>
      <w:marRight w:val="0"/>
      <w:marTop w:val="0"/>
      <w:marBottom w:val="0"/>
      <w:divBdr>
        <w:top w:val="none" w:sz="0" w:space="0" w:color="auto"/>
        <w:left w:val="none" w:sz="0" w:space="0" w:color="auto"/>
        <w:bottom w:val="none" w:sz="0" w:space="0" w:color="auto"/>
        <w:right w:val="none" w:sz="0" w:space="0" w:color="auto"/>
      </w:divBdr>
    </w:div>
    <w:div w:id="2087530490">
      <w:bodyDiv w:val="1"/>
      <w:marLeft w:val="0"/>
      <w:marRight w:val="0"/>
      <w:marTop w:val="0"/>
      <w:marBottom w:val="0"/>
      <w:divBdr>
        <w:top w:val="none" w:sz="0" w:space="0" w:color="auto"/>
        <w:left w:val="none" w:sz="0" w:space="0" w:color="auto"/>
        <w:bottom w:val="none" w:sz="0" w:space="0" w:color="auto"/>
        <w:right w:val="none" w:sz="0" w:space="0" w:color="auto"/>
      </w:divBdr>
    </w:div>
    <w:div w:id="212823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iabetes.org.uk/about-diabetes/managing-your-diabetes" TargetMode="External"/><Relationship Id="rId18" Type="http://schemas.openxmlformats.org/officeDocument/2006/relationships/hyperlink" Target="https://www.nice.org.uk/guidance/ng2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hf.org.uk/informationsupport/heart-matters-magazine/medical/how-your-heart-works" TargetMode="External"/><Relationship Id="rId17" Type="http://schemas.openxmlformats.org/officeDocument/2006/relationships/hyperlink" Target="https://www.nice.org.uk/guidance/ng28" TargetMode="External"/><Relationship Id="rId2" Type="http://schemas.openxmlformats.org/officeDocument/2006/relationships/numbering" Target="numbering.xml"/><Relationship Id="rId16" Type="http://schemas.openxmlformats.org/officeDocument/2006/relationships/hyperlink" Target="https://www.nice.org.uk/guidance/ng28/chapter/Blood-glucose-managemen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abetesjournals.org/care/issue/47/Supplement_1" TargetMode="External"/><Relationship Id="rId5" Type="http://schemas.openxmlformats.org/officeDocument/2006/relationships/webSettings" Target="webSettings.xml"/><Relationship Id="rId15" Type="http://schemas.openxmlformats.org/officeDocument/2006/relationships/hyperlink" Target="https://www.ncbi.nlm.nih.gov/books/NBK553175/" TargetMode="External"/><Relationship Id="rId10" Type="http://schemas.openxmlformats.org/officeDocument/2006/relationships/image" Target="media/image3.png"/><Relationship Id="rId19" Type="http://schemas.openxmlformats.org/officeDocument/2006/relationships/hyperlink" Target="https://openstax.org/books/biology-2e/pages/7-2-glycolys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lsevier.com/books/guyton-and-hall-textbook-of-medical-physiology/978032379005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B01F7-ADFC-4038-BCC4-A03D6D346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12</Pages>
  <Words>2836</Words>
  <Characters>16169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Hazra Bibi</dc:creator>
  <cp:keywords/>
  <dc:description/>
  <cp:lastModifiedBy>Ivilina Atanasova</cp:lastModifiedBy>
  <cp:revision>197</cp:revision>
  <dcterms:created xsi:type="dcterms:W3CDTF">2025-07-14T14:42:00Z</dcterms:created>
  <dcterms:modified xsi:type="dcterms:W3CDTF">2026-06-26T10:12:00Z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ccba0303-e523-4925-8860-7a63d09b10a3</vt:lpwstr>
  </property>
</Properties>
</file>