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43CDF7" w14:textId="77777777" w:rsidR="00E067A8" w:rsidRDefault="00ED5964">
      <w:r>
        <w:rPr>
          <w:noProof/>
          <w:sz w:val="22"/>
        </w:rPr>
        <w:drawing>
          <wp:inline distT="0" distB="0" distL="0" distR="0" wp14:anchorId="4CBDC492" wp14:editId="272AF70C">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724132C0" w14:textId="77777777" w:rsidR="00ED5964" w:rsidRDefault="00ED5964"/>
    <w:p w14:paraId="4A44EE87" w14:textId="77777777" w:rsidR="00ED5964" w:rsidRDefault="00ED5964"/>
    <w:p w14:paraId="61524F6C" w14:textId="77777777" w:rsidR="0011161E" w:rsidRDefault="0011161E"/>
    <w:p w14:paraId="517F97C5" w14:textId="77777777" w:rsidR="006A5CFC" w:rsidRDefault="006A5CFC"/>
    <w:p w14:paraId="26EE3B88" w14:textId="77777777" w:rsidR="006A5CFC" w:rsidRDefault="006A5CFC"/>
    <w:p w14:paraId="1C6E9784" w14:textId="77777777" w:rsidR="00ED5964" w:rsidRPr="00E434BD" w:rsidRDefault="00ED5964">
      <w:pPr>
        <w:rPr>
          <w:rFonts w:ascii="Arial" w:hAnsi="Arial" w:cs="Arial"/>
          <w:sz w:val="22"/>
        </w:rPr>
      </w:pPr>
    </w:p>
    <w:p w14:paraId="59B764E4" w14:textId="4F08B277" w:rsidR="00ED5964" w:rsidRPr="00E434BD" w:rsidRDefault="00ED5964" w:rsidP="00ED5964">
      <w:pPr>
        <w:jc w:val="both"/>
        <w:rPr>
          <w:rFonts w:ascii="Arial" w:hAnsi="Arial" w:cs="Arial"/>
          <w:sz w:val="22"/>
        </w:rPr>
      </w:pPr>
      <w:r w:rsidRPr="00E434BD">
        <w:rPr>
          <w:rFonts w:ascii="Arial" w:hAnsi="Arial" w:cs="Arial"/>
          <w:sz w:val="22"/>
        </w:rPr>
        <w:t xml:space="preserve">Name: </w:t>
      </w:r>
      <w:proofErr w:type="spellStart"/>
      <w:r w:rsidR="006D37C1">
        <w:rPr>
          <w:rFonts w:ascii="Arial" w:hAnsi="Arial" w:cs="Arial"/>
          <w:sz w:val="22"/>
        </w:rPr>
        <w:t>Adumi</w:t>
      </w:r>
      <w:proofErr w:type="spellEnd"/>
      <w:r w:rsidR="006D37C1">
        <w:rPr>
          <w:rFonts w:ascii="Arial" w:hAnsi="Arial" w:cs="Arial"/>
          <w:sz w:val="22"/>
        </w:rPr>
        <w:t xml:space="preserve"> George Wallace</w:t>
      </w:r>
    </w:p>
    <w:p w14:paraId="6BA652AC" w14:textId="163A908D" w:rsidR="00ED5964" w:rsidRPr="00E434BD" w:rsidRDefault="00ED5964" w:rsidP="00ED5964">
      <w:pPr>
        <w:jc w:val="both"/>
        <w:rPr>
          <w:rFonts w:ascii="Arial" w:hAnsi="Arial" w:cs="Arial"/>
          <w:sz w:val="22"/>
        </w:rPr>
      </w:pPr>
      <w:r w:rsidRPr="00E434BD">
        <w:rPr>
          <w:rFonts w:ascii="Arial" w:hAnsi="Arial" w:cs="Arial"/>
          <w:sz w:val="22"/>
        </w:rPr>
        <w:t xml:space="preserve">Student ID: </w:t>
      </w:r>
      <w:r w:rsidR="00544A01" w:rsidRPr="00E434BD">
        <w:rPr>
          <w:rFonts w:ascii="Arial" w:hAnsi="Arial" w:cs="Arial"/>
          <w:sz w:val="22"/>
        </w:rPr>
        <w:t>25</w:t>
      </w:r>
      <w:r w:rsidR="006D37C1">
        <w:rPr>
          <w:rFonts w:ascii="Arial" w:hAnsi="Arial" w:cs="Arial"/>
          <w:sz w:val="22"/>
        </w:rPr>
        <w:t>44</w:t>
      </w:r>
    </w:p>
    <w:p w14:paraId="66BE7423" w14:textId="77777777" w:rsidR="00ED5964" w:rsidRPr="00E434BD" w:rsidRDefault="00ED5964" w:rsidP="00ED5964">
      <w:pPr>
        <w:jc w:val="both"/>
        <w:rPr>
          <w:rFonts w:ascii="Arial" w:hAnsi="Arial" w:cs="Arial"/>
          <w:sz w:val="22"/>
        </w:rPr>
      </w:pPr>
      <w:r w:rsidRPr="00E434BD">
        <w:rPr>
          <w:rFonts w:ascii="Arial" w:hAnsi="Arial" w:cs="Arial"/>
          <w:sz w:val="22"/>
        </w:rPr>
        <w:t xml:space="preserve">Module Code: </w:t>
      </w:r>
    </w:p>
    <w:p w14:paraId="337A5309" w14:textId="77777777" w:rsidR="00ED5964" w:rsidRPr="00E434BD" w:rsidRDefault="00ED5964" w:rsidP="00ED5964">
      <w:pPr>
        <w:jc w:val="both"/>
        <w:rPr>
          <w:rFonts w:ascii="Arial" w:hAnsi="Arial" w:cs="Arial"/>
          <w:sz w:val="22"/>
        </w:rPr>
      </w:pPr>
      <w:r w:rsidRPr="00E434BD">
        <w:rPr>
          <w:rFonts w:ascii="Arial" w:hAnsi="Arial" w:cs="Arial"/>
          <w:sz w:val="22"/>
        </w:rPr>
        <w:t xml:space="preserve">Module: </w:t>
      </w:r>
    </w:p>
    <w:p w14:paraId="76D03E75" w14:textId="3601491A" w:rsidR="00ED5964" w:rsidRPr="00E434BD" w:rsidRDefault="00ED5964" w:rsidP="00ED5964">
      <w:pPr>
        <w:jc w:val="both"/>
        <w:rPr>
          <w:rFonts w:ascii="Arial" w:hAnsi="Arial" w:cs="Arial"/>
          <w:sz w:val="22"/>
        </w:rPr>
      </w:pPr>
      <w:r w:rsidRPr="00E434BD">
        <w:rPr>
          <w:rFonts w:ascii="Arial" w:hAnsi="Arial" w:cs="Arial"/>
          <w:sz w:val="22"/>
        </w:rPr>
        <w:t xml:space="preserve">Lecturer: </w:t>
      </w:r>
      <w:r w:rsidR="00E434BD">
        <w:rPr>
          <w:rFonts w:ascii="Arial" w:hAnsi="Arial" w:cs="Arial"/>
          <w:sz w:val="22"/>
        </w:rPr>
        <w:t>Koushik Modak</w:t>
      </w:r>
    </w:p>
    <w:p w14:paraId="080494CB" w14:textId="379B6C99" w:rsidR="00ED5964" w:rsidRPr="00E434BD" w:rsidRDefault="00ED5964" w:rsidP="00ED5964">
      <w:pPr>
        <w:jc w:val="both"/>
        <w:rPr>
          <w:rFonts w:ascii="Arial" w:hAnsi="Arial" w:cs="Arial"/>
          <w:sz w:val="22"/>
        </w:rPr>
      </w:pPr>
      <w:r w:rsidRPr="00E434BD">
        <w:rPr>
          <w:rFonts w:ascii="Arial" w:hAnsi="Arial" w:cs="Arial"/>
          <w:sz w:val="22"/>
        </w:rPr>
        <w:t xml:space="preserve">Submitted on:    </w:t>
      </w:r>
    </w:p>
    <w:p w14:paraId="32CCE5D8" w14:textId="77777777" w:rsidR="00ED5964" w:rsidRPr="00E434BD" w:rsidRDefault="00ED5964" w:rsidP="00ED5964">
      <w:pPr>
        <w:jc w:val="both"/>
        <w:rPr>
          <w:rFonts w:ascii="Arial" w:hAnsi="Arial" w:cs="Arial"/>
          <w:sz w:val="22"/>
        </w:rPr>
      </w:pPr>
    </w:p>
    <w:p w14:paraId="799A6ED9" w14:textId="77777777" w:rsidR="00ED5964" w:rsidRPr="00E434BD" w:rsidRDefault="00ED5964" w:rsidP="00ED5964">
      <w:pPr>
        <w:jc w:val="both"/>
        <w:rPr>
          <w:rFonts w:ascii="Arial" w:hAnsi="Arial" w:cs="Arial"/>
          <w:sz w:val="22"/>
        </w:rPr>
      </w:pPr>
    </w:p>
    <w:p w14:paraId="3D22ED8D" w14:textId="77777777" w:rsidR="006D37C1" w:rsidRPr="006D37C1" w:rsidRDefault="006D37C1" w:rsidP="006D37C1">
      <w:pPr>
        <w:spacing w:before="480"/>
        <w:jc w:val="center"/>
        <w:rPr>
          <w:rFonts w:ascii="Arial" w:hAnsi="Arial" w:cs="Arial"/>
          <w:sz w:val="22"/>
        </w:rPr>
      </w:pPr>
      <w:r w:rsidRPr="006D37C1">
        <w:rPr>
          <w:rFonts w:ascii="Arial" w:hAnsi="Arial" w:cs="Arial"/>
          <w:b/>
          <w:sz w:val="22"/>
        </w:rPr>
        <w:t>Individual Report: Organisational Resilience in Scottish Care Homes</w:t>
      </w:r>
    </w:p>
    <w:p w14:paraId="000002AF" w14:textId="77777777" w:rsidR="006D37C1" w:rsidRPr="006D37C1" w:rsidRDefault="006D37C1" w:rsidP="006D37C1">
      <w:pPr>
        <w:rPr>
          <w:rFonts w:ascii="Arial" w:hAnsi="Arial" w:cs="Arial"/>
          <w:sz w:val="22"/>
        </w:rPr>
      </w:pPr>
      <w:r w:rsidRPr="006D37C1">
        <w:rPr>
          <w:rFonts w:ascii="Arial" w:hAnsi="Arial" w:cs="Arial"/>
          <w:sz w:val="22"/>
        </w:rPr>
        <w:br w:type="page"/>
      </w:r>
    </w:p>
    <w:p w14:paraId="1B73997E" w14:textId="77777777" w:rsidR="006D37C1" w:rsidRPr="006D37C1" w:rsidRDefault="006D37C1" w:rsidP="006D37C1">
      <w:pPr>
        <w:pStyle w:val="Heading1"/>
        <w:spacing w:before="200" w:after="100"/>
        <w:rPr>
          <w:rFonts w:ascii="Arial" w:hAnsi="Arial" w:cs="Arial"/>
          <w:sz w:val="22"/>
          <w:szCs w:val="22"/>
        </w:rPr>
      </w:pPr>
      <w:r w:rsidRPr="006D37C1">
        <w:rPr>
          <w:rFonts w:ascii="Arial" w:hAnsi="Arial" w:cs="Arial"/>
          <w:sz w:val="22"/>
          <w:szCs w:val="22"/>
        </w:rPr>
        <w:lastRenderedPageBreak/>
        <w:t>Section 1: Introducing the Research Paper and Topic Development</w:t>
      </w:r>
    </w:p>
    <w:p w14:paraId="3CD426CE" w14:textId="77777777" w:rsidR="006D37C1" w:rsidRPr="006D37C1" w:rsidRDefault="006D37C1" w:rsidP="006D37C1">
      <w:pPr>
        <w:pStyle w:val="Heading2"/>
        <w:spacing w:before="200" w:after="100"/>
        <w:rPr>
          <w:rFonts w:ascii="Arial" w:hAnsi="Arial" w:cs="Arial"/>
          <w:sz w:val="22"/>
          <w:szCs w:val="22"/>
        </w:rPr>
      </w:pPr>
      <w:r w:rsidRPr="006D37C1">
        <w:rPr>
          <w:rFonts w:ascii="Arial" w:hAnsi="Arial" w:cs="Arial"/>
          <w:b/>
          <w:sz w:val="22"/>
          <w:szCs w:val="22"/>
        </w:rPr>
        <w:t>1.1 Paper Details (Title, Author(s) and Year of Publication)</w:t>
      </w:r>
    </w:p>
    <w:p w14:paraId="31E17EA9" w14:textId="77777777" w:rsidR="006D37C1" w:rsidRPr="006D37C1" w:rsidRDefault="006D37C1" w:rsidP="006D37C1">
      <w:pPr>
        <w:spacing w:after="120" w:line="276" w:lineRule="auto"/>
        <w:rPr>
          <w:rFonts w:ascii="Arial" w:hAnsi="Arial" w:cs="Arial"/>
          <w:sz w:val="22"/>
        </w:rPr>
      </w:pPr>
      <w:r w:rsidRPr="006D37C1">
        <w:rPr>
          <w:rFonts w:ascii="Arial" w:hAnsi="Arial" w:cs="Arial"/>
          <w:sz w:val="22"/>
        </w:rPr>
        <w:t xml:space="preserve">This report examines ‘A qualitative study of organisational resilience in care homes in Scotland’ by Ross, Anderson, </w:t>
      </w:r>
      <w:proofErr w:type="spellStart"/>
      <w:r w:rsidRPr="006D37C1">
        <w:rPr>
          <w:rFonts w:ascii="Arial" w:hAnsi="Arial" w:cs="Arial"/>
          <w:sz w:val="22"/>
        </w:rPr>
        <w:t>Selveindran</w:t>
      </w:r>
      <w:proofErr w:type="spellEnd"/>
      <w:r w:rsidRPr="006D37C1">
        <w:rPr>
          <w:rFonts w:ascii="Arial" w:hAnsi="Arial" w:cs="Arial"/>
          <w:sz w:val="22"/>
        </w:rPr>
        <w:t xml:space="preserve">, MacBride, Bowie, Sherriff, Young, </w:t>
      </w:r>
      <w:proofErr w:type="spellStart"/>
      <w:r w:rsidRPr="006D37C1">
        <w:rPr>
          <w:rFonts w:ascii="Arial" w:hAnsi="Arial" w:cs="Arial"/>
          <w:sz w:val="22"/>
        </w:rPr>
        <w:t>Fioratou</w:t>
      </w:r>
      <w:proofErr w:type="spellEnd"/>
      <w:r w:rsidRPr="006D37C1">
        <w:rPr>
          <w:rFonts w:ascii="Arial" w:hAnsi="Arial" w:cs="Arial"/>
          <w:sz w:val="22"/>
        </w:rPr>
        <w:t>, Roddy, Edwards, Dewar and Macpherson (2022). The paper reports findings from the I-SCOPE (Improving Systems of Care for the Older person) project and was published in PLOS ONE.</w:t>
      </w:r>
    </w:p>
    <w:p w14:paraId="32C4DA5C" w14:textId="77777777" w:rsidR="006D37C1" w:rsidRPr="006D37C1" w:rsidRDefault="006D37C1" w:rsidP="006D37C1">
      <w:pPr>
        <w:pStyle w:val="Heading2"/>
        <w:spacing w:before="200" w:after="100"/>
        <w:rPr>
          <w:rFonts w:ascii="Arial" w:hAnsi="Arial" w:cs="Arial"/>
          <w:sz w:val="22"/>
          <w:szCs w:val="22"/>
        </w:rPr>
      </w:pPr>
      <w:r w:rsidRPr="006D37C1">
        <w:rPr>
          <w:rFonts w:ascii="Arial" w:hAnsi="Arial" w:cs="Arial"/>
          <w:b/>
          <w:sz w:val="22"/>
          <w:szCs w:val="22"/>
        </w:rPr>
        <w:t>1.2 Main Topic or Problem Explored in the Paper</w:t>
      </w:r>
    </w:p>
    <w:p w14:paraId="44F9C168" w14:textId="77777777" w:rsidR="006D37C1" w:rsidRPr="006D37C1" w:rsidRDefault="006D37C1" w:rsidP="006D37C1">
      <w:pPr>
        <w:spacing w:after="120" w:line="276" w:lineRule="auto"/>
        <w:rPr>
          <w:rFonts w:ascii="Arial" w:hAnsi="Arial" w:cs="Arial"/>
          <w:sz w:val="22"/>
        </w:rPr>
      </w:pPr>
      <w:r w:rsidRPr="006D37C1">
        <w:rPr>
          <w:rFonts w:ascii="Arial" w:hAnsi="Arial" w:cs="Arial"/>
          <w:sz w:val="22"/>
        </w:rPr>
        <w:t>The paper explores how care homes manage the complexity of everyday care and how staff, teams and organisations adapt when demands do not match available capacity. Resilience is treated as something demonstrated through everyday work, rather than simply recovery after a crisis. The researchers use Resilient Healthcare theory and the CARE model to examine the difference between ‘work-as-imagined’, represented by formal plans and procedures, and ‘work-as-done’, meaning what staff actually do in changing circumstances. The study addresses a central problem in care homes: staff must respond to changing resident needs, staffing pressures, information requirements, regulations and competing priorities while maintaining good care.</w:t>
      </w:r>
    </w:p>
    <w:p w14:paraId="3C7D7F49" w14:textId="77777777" w:rsidR="006D37C1" w:rsidRPr="006D37C1" w:rsidRDefault="006D37C1" w:rsidP="006D37C1">
      <w:pPr>
        <w:pStyle w:val="Heading2"/>
        <w:spacing w:before="200" w:after="100"/>
        <w:rPr>
          <w:rFonts w:ascii="Arial" w:hAnsi="Arial" w:cs="Arial"/>
          <w:sz w:val="22"/>
          <w:szCs w:val="22"/>
        </w:rPr>
      </w:pPr>
      <w:r w:rsidRPr="006D37C1">
        <w:rPr>
          <w:rFonts w:ascii="Arial" w:hAnsi="Arial" w:cs="Arial"/>
          <w:b/>
          <w:sz w:val="22"/>
          <w:szCs w:val="22"/>
        </w:rPr>
        <w:t>1.3 Who Is the Research About?</w:t>
      </w:r>
    </w:p>
    <w:p w14:paraId="3588D874" w14:textId="77777777" w:rsidR="006D37C1" w:rsidRPr="006D37C1" w:rsidRDefault="006D37C1" w:rsidP="006D37C1">
      <w:pPr>
        <w:spacing w:after="120" w:line="276" w:lineRule="auto"/>
        <w:rPr>
          <w:rFonts w:ascii="Arial" w:hAnsi="Arial" w:cs="Arial"/>
          <w:sz w:val="22"/>
        </w:rPr>
      </w:pPr>
      <w:r w:rsidRPr="006D37C1">
        <w:rPr>
          <w:rFonts w:ascii="Arial" w:hAnsi="Arial" w:cs="Arial"/>
          <w:sz w:val="22"/>
        </w:rPr>
        <w:t>The research focuses mainly on Scottish care-home staff, while also including inspectors, multidisciplinary professionals, residents and family members. There were 32 care staff and one senior inspector interviewed individually, three focus groups involving 19 participants, five round-table discussions involving 31 participants, and interviews with eight residents or family members. Researchers also completed 68 hours of non-participant observation and shadowed staff. This range of perspectives is important because organisational resilience develops through interactions between residents, staff, managers, professionals, families, information systems, equipment and the physical environment.</w:t>
      </w:r>
    </w:p>
    <w:p w14:paraId="5DE4B82D" w14:textId="77777777" w:rsidR="006D37C1" w:rsidRPr="006D37C1" w:rsidRDefault="006D37C1" w:rsidP="006D37C1">
      <w:pPr>
        <w:pStyle w:val="Heading2"/>
        <w:spacing w:before="200" w:after="100"/>
        <w:rPr>
          <w:rFonts w:ascii="Arial" w:hAnsi="Arial" w:cs="Arial"/>
          <w:sz w:val="22"/>
          <w:szCs w:val="22"/>
        </w:rPr>
      </w:pPr>
      <w:r w:rsidRPr="006D37C1">
        <w:rPr>
          <w:rFonts w:ascii="Arial" w:hAnsi="Arial" w:cs="Arial"/>
          <w:b/>
          <w:sz w:val="22"/>
          <w:szCs w:val="22"/>
        </w:rPr>
        <w:t>1.4 Why Is This Topic Important in UK Health and Social Care?</w:t>
      </w:r>
    </w:p>
    <w:p w14:paraId="2A7A6E9D" w14:textId="77777777" w:rsidR="006D37C1" w:rsidRPr="006D37C1" w:rsidRDefault="006D37C1" w:rsidP="006D37C1">
      <w:pPr>
        <w:spacing w:after="120" w:line="276" w:lineRule="auto"/>
        <w:rPr>
          <w:rFonts w:ascii="Arial" w:hAnsi="Arial" w:cs="Arial"/>
          <w:sz w:val="22"/>
        </w:rPr>
      </w:pPr>
      <w:r w:rsidRPr="006D37C1">
        <w:rPr>
          <w:rFonts w:ascii="Arial" w:hAnsi="Arial" w:cs="Arial"/>
          <w:sz w:val="22"/>
        </w:rPr>
        <w:t xml:space="preserve">Organisational resilience matters because care homes support older people who may have complex and changing needs. Staff must maintain safe, person-centred care while managing staffing, administrative, financial and regulatory pressures. The importance of resilience became especially visible during COVID-19. A national Scottish study found 1,313 outbreaks involving residents across 1,092 care homes between March 2020 and October 2021, showing the scale of disruption faced by the sector (McGowan et al., 2024). Resilient healthcare research argues that care should be understood as a complex system in which outcomes depend on interactions between people, technology, resources and organisational conditions (Hollnagel, Braithwaite and Wears, 2013). Ross et al. (2022) </w:t>
      </w:r>
      <w:proofErr w:type="gramStart"/>
      <w:r w:rsidRPr="006D37C1">
        <w:rPr>
          <w:rFonts w:ascii="Arial" w:hAnsi="Arial" w:cs="Arial"/>
          <w:sz w:val="22"/>
        </w:rPr>
        <w:t>are</w:t>
      </w:r>
      <w:proofErr w:type="gramEnd"/>
      <w:r w:rsidRPr="006D37C1">
        <w:rPr>
          <w:rFonts w:ascii="Arial" w:hAnsi="Arial" w:cs="Arial"/>
          <w:sz w:val="22"/>
        </w:rPr>
        <w:t xml:space="preserve"> therefore relevant to UK health and social care because their findings encourage improvement based on how work actually occurs rather than focusing only on whether staff followed written procedures.</w:t>
      </w:r>
    </w:p>
    <w:p w14:paraId="35F255D3" w14:textId="77777777" w:rsidR="006D37C1" w:rsidRPr="006D37C1" w:rsidRDefault="006D37C1" w:rsidP="006D37C1">
      <w:pPr>
        <w:pStyle w:val="Heading1"/>
        <w:spacing w:before="200" w:after="100"/>
        <w:rPr>
          <w:rFonts w:ascii="Arial" w:hAnsi="Arial" w:cs="Arial"/>
          <w:sz w:val="22"/>
          <w:szCs w:val="22"/>
        </w:rPr>
      </w:pPr>
      <w:r w:rsidRPr="006D37C1">
        <w:rPr>
          <w:rFonts w:ascii="Arial" w:hAnsi="Arial" w:cs="Arial"/>
          <w:sz w:val="22"/>
          <w:szCs w:val="22"/>
        </w:rPr>
        <w:lastRenderedPageBreak/>
        <w:t>Section 2: Understanding the Purpose and Research Question</w:t>
      </w:r>
    </w:p>
    <w:p w14:paraId="2CD362DC" w14:textId="77777777" w:rsidR="006D37C1" w:rsidRPr="006D37C1" w:rsidRDefault="006D37C1" w:rsidP="006D37C1">
      <w:pPr>
        <w:pStyle w:val="Heading2"/>
        <w:spacing w:before="200" w:after="100"/>
        <w:rPr>
          <w:rFonts w:ascii="Arial" w:hAnsi="Arial" w:cs="Arial"/>
          <w:sz w:val="22"/>
          <w:szCs w:val="22"/>
        </w:rPr>
      </w:pPr>
      <w:r w:rsidRPr="006D37C1">
        <w:rPr>
          <w:rFonts w:ascii="Arial" w:hAnsi="Arial" w:cs="Arial"/>
          <w:b/>
          <w:sz w:val="22"/>
          <w:szCs w:val="22"/>
        </w:rPr>
        <w:t>2.1 Research Question(s) or Objectives</w:t>
      </w:r>
    </w:p>
    <w:p w14:paraId="44845848" w14:textId="77777777" w:rsidR="006D37C1" w:rsidRPr="006D37C1" w:rsidRDefault="006D37C1" w:rsidP="006D37C1">
      <w:pPr>
        <w:spacing w:after="120" w:line="276" w:lineRule="auto"/>
        <w:rPr>
          <w:rFonts w:ascii="Arial" w:hAnsi="Arial" w:cs="Arial"/>
          <w:sz w:val="22"/>
        </w:rPr>
      </w:pPr>
      <w:r w:rsidRPr="006D37C1">
        <w:rPr>
          <w:rFonts w:ascii="Arial" w:hAnsi="Arial" w:cs="Arial"/>
          <w:sz w:val="22"/>
        </w:rPr>
        <w:t>The study aimed to understand how everyday work is performed in care homes and how staff, teams and organisations adapt to complex and changing demands. It sought to identify features of resilient performance and consider how resilience could be strengthened. Particular attention was given to demand and capacity, staff adaptations, outcomes, information use, coordination, flexible working, the care environment and relationships with families.</w:t>
      </w:r>
    </w:p>
    <w:p w14:paraId="243B8B23" w14:textId="77777777" w:rsidR="006D37C1" w:rsidRPr="006D37C1" w:rsidRDefault="006D37C1" w:rsidP="006D37C1">
      <w:pPr>
        <w:pStyle w:val="Heading1"/>
        <w:spacing w:before="200" w:after="100"/>
        <w:rPr>
          <w:rFonts w:ascii="Arial" w:hAnsi="Arial" w:cs="Arial"/>
          <w:sz w:val="22"/>
          <w:szCs w:val="22"/>
        </w:rPr>
      </w:pPr>
      <w:r w:rsidRPr="006D37C1">
        <w:rPr>
          <w:rFonts w:ascii="Arial" w:hAnsi="Arial" w:cs="Arial"/>
          <w:sz w:val="22"/>
          <w:szCs w:val="22"/>
        </w:rPr>
        <w:t>Section 3: Understanding the Research Methods</w:t>
      </w:r>
    </w:p>
    <w:p w14:paraId="1B559469" w14:textId="77777777" w:rsidR="006D37C1" w:rsidRPr="006D37C1" w:rsidRDefault="006D37C1" w:rsidP="006D37C1">
      <w:pPr>
        <w:pStyle w:val="Heading2"/>
        <w:spacing w:before="200" w:after="100"/>
        <w:rPr>
          <w:rFonts w:ascii="Arial" w:hAnsi="Arial" w:cs="Arial"/>
          <w:sz w:val="22"/>
          <w:szCs w:val="22"/>
        </w:rPr>
      </w:pPr>
      <w:r w:rsidRPr="006D37C1">
        <w:rPr>
          <w:rFonts w:ascii="Arial" w:hAnsi="Arial" w:cs="Arial"/>
          <w:b/>
          <w:sz w:val="22"/>
          <w:szCs w:val="22"/>
        </w:rPr>
        <w:t>3.1 Overview of Quantitative, Qualitative, and Mixed-Methods Research</w:t>
      </w:r>
    </w:p>
    <w:p w14:paraId="3D2B39B1" w14:textId="77777777" w:rsidR="006D37C1" w:rsidRPr="006D37C1" w:rsidRDefault="006D37C1" w:rsidP="006D37C1">
      <w:pPr>
        <w:spacing w:after="120" w:line="276" w:lineRule="auto"/>
        <w:rPr>
          <w:rFonts w:ascii="Arial" w:hAnsi="Arial" w:cs="Arial"/>
          <w:sz w:val="22"/>
        </w:rPr>
      </w:pPr>
      <w:r w:rsidRPr="006D37C1">
        <w:rPr>
          <w:rFonts w:ascii="Arial" w:hAnsi="Arial" w:cs="Arial"/>
          <w:sz w:val="22"/>
        </w:rPr>
        <w:t>Quantitative research mainly collects numerical data and uses statistical procedures to measure variables, identify patterns or examine relationships. For example, a care-home study could compare staff turnover or infection rates across different facilities. Creswell and Creswell (2018) explain that quantitative designs are appropriate when a research problem requires measurement and statistical examination.</w:t>
      </w:r>
    </w:p>
    <w:p w14:paraId="3E5101F5" w14:textId="77777777" w:rsidR="006D37C1" w:rsidRPr="006D37C1" w:rsidRDefault="006D37C1" w:rsidP="006D37C1">
      <w:pPr>
        <w:spacing w:after="120" w:line="276" w:lineRule="auto"/>
        <w:rPr>
          <w:rFonts w:ascii="Arial" w:hAnsi="Arial" w:cs="Arial"/>
          <w:sz w:val="22"/>
        </w:rPr>
      </w:pPr>
      <w:r w:rsidRPr="006D37C1">
        <w:rPr>
          <w:rFonts w:ascii="Arial" w:hAnsi="Arial" w:cs="Arial"/>
          <w:sz w:val="22"/>
        </w:rPr>
        <w:t>Qualitative research aims to understand experiences, meanings, behaviours and social processes in depth. Interviews, observations, focus groups and documents are commonly used. For example, researchers could interview carers about how they experience staff shortages or observe how teams respond to unexpected changes. Qualitative research is valuable when the context and participants’ perspectives are central to the research question. Braun and Clarke (2006) show how qualitative data can be examined for patterns and themes, making this approach useful for complex experiences.</w:t>
      </w:r>
    </w:p>
    <w:p w14:paraId="44C4F8DB" w14:textId="77777777" w:rsidR="006D37C1" w:rsidRPr="006D37C1" w:rsidRDefault="006D37C1" w:rsidP="006D37C1">
      <w:pPr>
        <w:spacing w:after="120" w:line="276" w:lineRule="auto"/>
        <w:rPr>
          <w:rFonts w:ascii="Arial" w:hAnsi="Arial" w:cs="Arial"/>
          <w:sz w:val="22"/>
        </w:rPr>
      </w:pPr>
      <w:r w:rsidRPr="006D37C1">
        <w:rPr>
          <w:rFonts w:ascii="Arial" w:hAnsi="Arial" w:cs="Arial"/>
          <w:sz w:val="22"/>
        </w:rPr>
        <w:t>Mixed-methods research combines quantitative and qualitative approaches within one study. For example, researchers could measure sickness absence and then interview staff to explore the reasons behind changes in absence. Creswell and Creswell (2018) suggest that combining approaches can provide a wider understanding because numerical evidence can be considered alongside experiences and explanations.</w:t>
      </w:r>
    </w:p>
    <w:p w14:paraId="538BD621" w14:textId="77777777" w:rsidR="006D37C1" w:rsidRPr="006D37C1" w:rsidRDefault="006D37C1" w:rsidP="006D37C1">
      <w:pPr>
        <w:spacing w:after="120" w:line="276" w:lineRule="auto"/>
        <w:rPr>
          <w:rFonts w:ascii="Arial" w:hAnsi="Arial" w:cs="Arial"/>
          <w:sz w:val="22"/>
        </w:rPr>
      </w:pPr>
      <w:r w:rsidRPr="006D37C1">
        <w:rPr>
          <w:rFonts w:ascii="Arial" w:hAnsi="Arial" w:cs="Arial"/>
          <w:sz w:val="22"/>
        </w:rPr>
        <w:t>The approaches are therefore complementary. Quantitative research can show how much or how often something occurs; qualitative research can explore how and why it occurs; and mixed methods can connect both. The research question should determine the most suitable approach. For organisational resilience, qualitative research is particularly appropriate because adaptation, communication, judgement and teamwork are difficult to capture fully through numbers alone.</w:t>
      </w:r>
    </w:p>
    <w:p w14:paraId="36A29165" w14:textId="77777777" w:rsidR="006D37C1" w:rsidRPr="006D37C1" w:rsidRDefault="006D37C1" w:rsidP="006D37C1">
      <w:pPr>
        <w:pStyle w:val="Heading2"/>
        <w:spacing w:before="200" w:after="100"/>
        <w:rPr>
          <w:rFonts w:ascii="Arial" w:hAnsi="Arial" w:cs="Arial"/>
          <w:sz w:val="22"/>
          <w:szCs w:val="22"/>
        </w:rPr>
      </w:pPr>
      <w:r w:rsidRPr="006D37C1">
        <w:rPr>
          <w:rFonts w:ascii="Arial" w:hAnsi="Arial" w:cs="Arial"/>
          <w:b/>
          <w:sz w:val="22"/>
          <w:szCs w:val="22"/>
        </w:rPr>
        <w:t>3.2 Research Methodology Used in the Chosen Paper and Why</w:t>
      </w:r>
    </w:p>
    <w:p w14:paraId="15B0AEA1" w14:textId="77777777" w:rsidR="006D37C1" w:rsidRPr="006D37C1" w:rsidRDefault="006D37C1" w:rsidP="006D37C1">
      <w:pPr>
        <w:spacing w:after="120" w:line="276" w:lineRule="auto"/>
        <w:rPr>
          <w:rFonts w:ascii="Arial" w:hAnsi="Arial" w:cs="Arial"/>
          <w:sz w:val="22"/>
        </w:rPr>
      </w:pPr>
      <w:r w:rsidRPr="006D37C1">
        <w:rPr>
          <w:rFonts w:ascii="Arial" w:hAnsi="Arial" w:cs="Arial"/>
          <w:sz w:val="22"/>
        </w:rPr>
        <w:t>Ross et al. (2022) used a qualitative methodology because the study aimed to describe how everyday work is performed and how people adapt to complex demands. This was appropriate because resilience is not simply a fixed characteristic that can be reduced to a score. It can be seen in the decisions and adjustments staff make when circumstances change.</w:t>
      </w:r>
    </w:p>
    <w:p w14:paraId="36280F49" w14:textId="77777777" w:rsidR="006D37C1" w:rsidRPr="006D37C1" w:rsidRDefault="006D37C1" w:rsidP="006D37C1">
      <w:pPr>
        <w:spacing w:after="120" w:line="276" w:lineRule="auto"/>
        <w:rPr>
          <w:rFonts w:ascii="Arial" w:hAnsi="Arial" w:cs="Arial"/>
          <w:sz w:val="22"/>
        </w:rPr>
      </w:pPr>
      <w:r w:rsidRPr="006D37C1">
        <w:rPr>
          <w:rFonts w:ascii="Arial" w:hAnsi="Arial" w:cs="Arial"/>
          <w:sz w:val="22"/>
        </w:rPr>
        <w:t xml:space="preserve">The research was conducted across multiple sites over 24 months. Data collection included non-participant observation and shadowing, individual interviews, focus groups and round-table discussions. This combination enabled the researchers to compare reported </w:t>
      </w:r>
      <w:r w:rsidRPr="006D37C1">
        <w:rPr>
          <w:rFonts w:ascii="Arial" w:hAnsi="Arial" w:cs="Arial"/>
          <w:sz w:val="22"/>
        </w:rPr>
        <w:lastRenderedPageBreak/>
        <w:t>experiences with practice. Observation could reveal how staff prioritised tasks when several demands occurred at once, while interviews could explore why particular decisions were made.</w:t>
      </w:r>
    </w:p>
    <w:p w14:paraId="39DF3139" w14:textId="77777777" w:rsidR="006D37C1" w:rsidRPr="006D37C1" w:rsidRDefault="006D37C1" w:rsidP="006D37C1">
      <w:pPr>
        <w:spacing w:after="120" w:line="276" w:lineRule="auto"/>
        <w:rPr>
          <w:rFonts w:ascii="Arial" w:hAnsi="Arial" w:cs="Arial"/>
          <w:sz w:val="22"/>
        </w:rPr>
      </w:pPr>
      <w:r w:rsidRPr="006D37C1">
        <w:rPr>
          <w:rFonts w:ascii="Arial" w:hAnsi="Arial" w:cs="Arial"/>
          <w:sz w:val="22"/>
        </w:rPr>
        <w:t>The study was guided by Resilient Healthcare theory and the CARE model. The model focuses on mismatches between demand and capacity, the adaptations made in response, and the intended or unintended outcomes that follow. Anderson et al. (2020) argue that resilience needs to be considered across different levels of healthcare and in relation to social, cultural and organisational factors. This is relevant to care homes because resilience can depend on relationships between frontline workers, managers, families, external professionals and organisational systems.</w:t>
      </w:r>
    </w:p>
    <w:p w14:paraId="4270190B" w14:textId="77777777" w:rsidR="006D37C1" w:rsidRPr="006D37C1" w:rsidRDefault="006D37C1" w:rsidP="006D37C1">
      <w:pPr>
        <w:spacing w:after="120" w:line="276" w:lineRule="auto"/>
        <w:rPr>
          <w:rFonts w:ascii="Arial" w:hAnsi="Arial" w:cs="Arial"/>
          <w:sz w:val="22"/>
        </w:rPr>
      </w:pPr>
      <w:r w:rsidRPr="006D37C1">
        <w:rPr>
          <w:rFonts w:ascii="Arial" w:hAnsi="Arial" w:cs="Arial"/>
          <w:sz w:val="22"/>
        </w:rPr>
        <w:t>The analysis was theory-informed and used two stages. First, the researchers examined ‘work-as-done’, focusing on demand, capacity, adaptations and outcomes. Second, they developed broader themes describing resilient performance. Three main themes were identified: care planning and use of information; coordination of everyday care activity; and providing person-centred care. NVivo 12.0 was used to manage transcripts, observations, notes and care documents. Data collection was finalised using the principle of saturation, when no substantially new themes were emerging.</w:t>
      </w:r>
    </w:p>
    <w:p w14:paraId="617DA3D2" w14:textId="77777777" w:rsidR="006D37C1" w:rsidRPr="006D37C1" w:rsidRDefault="006D37C1" w:rsidP="006D37C1">
      <w:pPr>
        <w:spacing w:after="120" w:line="276" w:lineRule="auto"/>
        <w:rPr>
          <w:rFonts w:ascii="Arial" w:hAnsi="Arial" w:cs="Arial"/>
          <w:sz w:val="22"/>
        </w:rPr>
      </w:pPr>
      <w:r w:rsidRPr="006D37C1">
        <w:rPr>
          <w:rFonts w:ascii="Arial" w:hAnsi="Arial" w:cs="Arial"/>
          <w:sz w:val="22"/>
        </w:rPr>
        <w:t>A major strength is the ability to understand resilience in its real setting. Using different methods and participant groups also provides a richer account than relying on one source. However, qualitative findings are context-dependent and should not be statistically generalised to every care home. The multi-site design and varied perspectives nevertheless strengthen the credibility and usefulness of the findings.</w:t>
      </w:r>
    </w:p>
    <w:p w14:paraId="2C028D8D" w14:textId="77777777" w:rsidR="006D37C1" w:rsidRPr="006D37C1" w:rsidRDefault="006D37C1" w:rsidP="006D37C1">
      <w:pPr>
        <w:pStyle w:val="Heading2"/>
        <w:spacing w:before="200" w:after="100"/>
        <w:rPr>
          <w:rFonts w:ascii="Arial" w:hAnsi="Arial" w:cs="Arial"/>
          <w:sz w:val="22"/>
          <w:szCs w:val="22"/>
        </w:rPr>
      </w:pPr>
      <w:r w:rsidRPr="006D37C1">
        <w:rPr>
          <w:rFonts w:ascii="Arial" w:hAnsi="Arial" w:cs="Arial"/>
          <w:b/>
          <w:sz w:val="22"/>
          <w:szCs w:val="22"/>
        </w:rPr>
        <w:t>3.3 Primary and Secondary Data: Definitions, Differences, and Application to the Paper</w:t>
      </w:r>
    </w:p>
    <w:p w14:paraId="78FD2107" w14:textId="77777777" w:rsidR="006D37C1" w:rsidRPr="006D37C1" w:rsidRDefault="006D37C1" w:rsidP="006D37C1">
      <w:pPr>
        <w:spacing w:after="120" w:line="276" w:lineRule="auto"/>
        <w:rPr>
          <w:rFonts w:ascii="Arial" w:hAnsi="Arial" w:cs="Arial"/>
          <w:sz w:val="22"/>
        </w:rPr>
      </w:pPr>
      <w:r w:rsidRPr="006D37C1">
        <w:rPr>
          <w:rFonts w:ascii="Arial" w:hAnsi="Arial" w:cs="Arial"/>
          <w:sz w:val="22"/>
        </w:rPr>
        <w:t>Primary data are collected directly by researchers for a particular research purpose, such as through interviews, observations, questionnaires or focus groups. Secondary data already exist and were originally collected by another person or organisation, often for a different purpose (</w:t>
      </w:r>
      <w:proofErr w:type="spellStart"/>
      <w:r w:rsidRPr="006D37C1">
        <w:rPr>
          <w:rFonts w:ascii="Arial" w:hAnsi="Arial" w:cs="Arial"/>
          <w:sz w:val="22"/>
        </w:rPr>
        <w:t>Boslaugh</w:t>
      </w:r>
      <w:proofErr w:type="spellEnd"/>
      <w:r w:rsidRPr="006D37C1">
        <w:rPr>
          <w:rFonts w:ascii="Arial" w:hAnsi="Arial" w:cs="Arial"/>
          <w:sz w:val="22"/>
        </w:rPr>
        <w:t>, 2007). Examples include administrative records, previous research, inspection information and national statistics.</w:t>
      </w:r>
    </w:p>
    <w:p w14:paraId="21E8FC56" w14:textId="77777777" w:rsidR="006D37C1" w:rsidRPr="006D37C1" w:rsidRDefault="006D37C1" w:rsidP="006D37C1">
      <w:pPr>
        <w:spacing w:after="120" w:line="276" w:lineRule="auto"/>
        <w:rPr>
          <w:rFonts w:ascii="Arial" w:hAnsi="Arial" w:cs="Arial"/>
          <w:sz w:val="22"/>
        </w:rPr>
      </w:pPr>
      <w:r w:rsidRPr="006D37C1">
        <w:rPr>
          <w:rFonts w:ascii="Arial" w:hAnsi="Arial" w:cs="Arial"/>
          <w:sz w:val="22"/>
        </w:rPr>
        <w:t>The Ross et al. (2022) study mainly used primary qualitative data. The researchers directly collected observations, interview recordings, focus-group discussions, round-table discussions and resident or family accounts for the I-SCOPE project. They also examined care documents and other artefacts within the care-home setting. These sources helped researchers understand how everyday work was organised and adapted.</w:t>
      </w:r>
    </w:p>
    <w:p w14:paraId="02252D36" w14:textId="77777777" w:rsidR="006D37C1" w:rsidRPr="006D37C1" w:rsidRDefault="006D37C1" w:rsidP="006D37C1">
      <w:pPr>
        <w:spacing w:after="120" w:line="276" w:lineRule="auto"/>
        <w:rPr>
          <w:rFonts w:ascii="Arial" w:hAnsi="Arial" w:cs="Arial"/>
          <w:sz w:val="22"/>
        </w:rPr>
      </w:pPr>
      <w:r w:rsidRPr="006D37C1">
        <w:rPr>
          <w:rFonts w:ascii="Arial" w:hAnsi="Arial" w:cs="Arial"/>
          <w:sz w:val="22"/>
        </w:rPr>
        <w:t>The data were recorded, transcribed and managed in NVivo 12.0. Analysis examined the relationship between demand and capacity, staff adaptations and outcomes before developing higher-level themes. This enabled the researchers to move from detailed examples of everyday care to a broader explanation of organisational resilience.</w:t>
      </w:r>
    </w:p>
    <w:p w14:paraId="67442C68" w14:textId="77777777" w:rsidR="006D37C1" w:rsidRPr="006D37C1" w:rsidRDefault="006D37C1" w:rsidP="006D37C1">
      <w:pPr>
        <w:spacing w:after="120" w:line="276" w:lineRule="auto"/>
        <w:rPr>
          <w:rFonts w:ascii="Arial" w:hAnsi="Arial" w:cs="Arial"/>
          <w:sz w:val="22"/>
        </w:rPr>
      </w:pPr>
      <w:r w:rsidRPr="006D37C1">
        <w:rPr>
          <w:rFonts w:ascii="Arial" w:hAnsi="Arial" w:cs="Arial"/>
          <w:sz w:val="22"/>
        </w:rPr>
        <w:t>The distinction between primary and secondary data is important because each has different strengths. Primary data can be closely matched to the research question, but collection is often time-consuming and resource-intensive. Secondary data can provide useful existing information, but researchers have less control over how it was originally collected (</w:t>
      </w:r>
      <w:proofErr w:type="spellStart"/>
      <w:r w:rsidRPr="006D37C1">
        <w:rPr>
          <w:rFonts w:ascii="Arial" w:hAnsi="Arial" w:cs="Arial"/>
          <w:sz w:val="22"/>
        </w:rPr>
        <w:t>Boslaugh</w:t>
      </w:r>
      <w:proofErr w:type="spellEnd"/>
      <w:r w:rsidRPr="006D37C1">
        <w:rPr>
          <w:rFonts w:ascii="Arial" w:hAnsi="Arial" w:cs="Arial"/>
          <w:sz w:val="22"/>
        </w:rPr>
        <w:t xml:space="preserve">, 2007). Primary data were particularly suitable for this study because understanding </w:t>
      </w:r>
      <w:r w:rsidRPr="006D37C1">
        <w:rPr>
          <w:rFonts w:ascii="Arial" w:hAnsi="Arial" w:cs="Arial"/>
          <w:sz w:val="22"/>
        </w:rPr>
        <w:lastRenderedPageBreak/>
        <w:t>resilience required detailed knowledge of what staff actually did, rather than relying only on existing records or numerical indicators.</w:t>
      </w:r>
    </w:p>
    <w:p w14:paraId="3D68900A" w14:textId="77777777" w:rsidR="006D37C1" w:rsidRPr="006D37C1" w:rsidRDefault="006D37C1" w:rsidP="006D37C1">
      <w:pPr>
        <w:pStyle w:val="Heading1"/>
        <w:spacing w:before="200" w:after="100"/>
        <w:rPr>
          <w:rFonts w:ascii="Arial" w:hAnsi="Arial" w:cs="Arial"/>
          <w:sz w:val="22"/>
          <w:szCs w:val="22"/>
        </w:rPr>
      </w:pPr>
      <w:r w:rsidRPr="006D37C1">
        <w:rPr>
          <w:rFonts w:ascii="Arial" w:hAnsi="Arial" w:cs="Arial"/>
          <w:sz w:val="22"/>
          <w:szCs w:val="22"/>
        </w:rPr>
        <w:t>Section 4: Conclusion</w:t>
      </w:r>
    </w:p>
    <w:p w14:paraId="6F6A9C95" w14:textId="77777777" w:rsidR="006D37C1" w:rsidRPr="006D37C1" w:rsidRDefault="006D37C1" w:rsidP="006D37C1">
      <w:pPr>
        <w:pStyle w:val="Heading2"/>
        <w:spacing w:before="200" w:after="100"/>
        <w:rPr>
          <w:rFonts w:ascii="Arial" w:hAnsi="Arial" w:cs="Arial"/>
          <w:sz w:val="22"/>
          <w:szCs w:val="22"/>
        </w:rPr>
      </w:pPr>
      <w:r w:rsidRPr="006D37C1">
        <w:rPr>
          <w:rFonts w:ascii="Arial" w:hAnsi="Arial" w:cs="Arial"/>
          <w:b/>
          <w:sz w:val="22"/>
          <w:szCs w:val="22"/>
        </w:rPr>
        <w:t>Conclusion</w:t>
      </w:r>
    </w:p>
    <w:p w14:paraId="6805EEDF" w14:textId="77777777" w:rsidR="006D37C1" w:rsidRPr="006D37C1" w:rsidRDefault="006D37C1" w:rsidP="006D37C1">
      <w:pPr>
        <w:spacing w:after="120" w:line="276" w:lineRule="auto"/>
        <w:rPr>
          <w:rFonts w:ascii="Arial" w:hAnsi="Arial" w:cs="Arial"/>
          <w:sz w:val="22"/>
        </w:rPr>
      </w:pPr>
      <w:r w:rsidRPr="006D37C1">
        <w:rPr>
          <w:rFonts w:ascii="Arial" w:hAnsi="Arial" w:cs="Arial"/>
          <w:sz w:val="22"/>
        </w:rPr>
        <w:t xml:space="preserve">Ross et al. (2022) </w:t>
      </w:r>
      <w:proofErr w:type="gramStart"/>
      <w:r w:rsidRPr="006D37C1">
        <w:rPr>
          <w:rFonts w:ascii="Arial" w:hAnsi="Arial" w:cs="Arial"/>
          <w:sz w:val="22"/>
        </w:rPr>
        <w:t>provide</w:t>
      </w:r>
      <w:proofErr w:type="gramEnd"/>
      <w:r w:rsidRPr="006D37C1">
        <w:rPr>
          <w:rFonts w:ascii="Arial" w:hAnsi="Arial" w:cs="Arial"/>
          <w:sz w:val="22"/>
        </w:rPr>
        <w:t xml:space="preserve"> a useful example of qualitative research into organisational resilience in Scottish care homes. The study shows that resilience is connected to the everyday ability of staff, teams and organisations to adapt to changing demands while maintaining safe and person-centred care. Observation, interviews, focus groups, round-table discussions and resident or family perspectives provided a detailed account of care-home work.</w:t>
      </w:r>
    </w:p>
    <w:p w14:paraId="46A9CCD5" w14:textId="77777777" w:rsidR="006D37C1" w:rsidRPr="006D37C1" w:rsidRDefault="006D37C1" w:rsidP="006D37C1">
      <w:pPr>
        <w:spacing w:after="120" w:line="276" w:lineRule="auto"/>
        <w:rPr>
          <w:rFonts w:ascii="Arial" w:hAnsi="Arial" w:cs="Arial"/>
          <w:sz w:val="22"/>
        </w:rPr>
      </w:pPr>
      <w:r w:rsidRPr="006D37C1">
        <w:rPr>
          <w:rFonts w:ascii="Arial" w:hAnsi="Arial" w:cs="Arial"/>
          <w:sz w:val="22"/>
        </w:rPr>
        <w:t>The report has also considered quantitative, qualitative and mixed-methods research. Quantitative methods are useful for measurement, qualitative methods provide depth and context, and mixed methods can combine both forms of evidence. For the research question addressed by Ross et al. (2022), qualitative methodology was appropriate because resilience involves human judgement, communication, relationships and adaptation. The CARE model gave the researchers a structured way of examining demand, capacity, adaptation and outcomes.</w:t>
      </w:r>
    </w:p>
    <w:p w14:paraId="7B23EFD3" w14:textId="77777777" w:rsidR="006D37C1" w:rsidRPr="006D37C1" w:rsidRDefault="006D37C1" w:rsidP="006D37C1">
      <w:pPr>
        <w:spacing w:after="120" w:line="276" w:lineRule="auto"/>
        <w:rPr>
          <w:rFonts w:ascii="Arial" w:hAnsi="Arial" w:cs="Arial"/>
          <w:sz w:val="22"/>
        </w:rPr>
      </w:pPr>
      <w:r w:rsidRPr="006D37C1">
        <w:rPr>
          <w:rFonts w:ascii="Arial" w:hAnsi="Arial" w:cs="Arial"/>
          <w:sz w:val="22"/>
        </w:rPr>
        <w:t>A key research-skills lesson is that methods should be selected according to the research question. The distinction between primary and secondary data is also important: the chosen study relied mainly on primary data collected specifically to understand everyday work. This review demonstrates how research methods can support evidence-based health and social care practice by making staff experiences and organisational processes visible alongside more measurable outcomes.</w:t>
      </w:r>
    </w:p>
    <w:p w14:paraId="2CB479CC" w14:textId="77777777" w:rsidR="006D37C1" w:rsidRPr="006D37C1" w:rsidRDefault="006D37C1" w:rsidP="006D37C1">
      <w:pPr>
        <w:pStyle w:val="Heading1"/>
        <w:rPr>
          <w:rFonts w:ascii="Arial" w:hAnsi="Arial" w:cs="Arial"/>
          <w:sz w:val="22"/>
          <w:szCs w:val="22"/>
        </w:rPr>
      </w:pPr>
      <w:r w:rsidRPr="006D37C1">
        <w:rPr>
          <w:rFonts w:ascii="Arial" w:hAnsi="Arial" w:cs="Arial"/>
          <w:sz w:val="22"/>
          <w:szCs w:val="22"/>
        </w:rPr>
        <w:t>References</w:t>
      </w:r>
    </w:p>
    <w:p w14:paraId="22B16299" w14:textId="77777777" w:rsidR="006D37C1" w:rsidRPr="006D37C1" w:rsidRDefault="006D37C1" w:rsidP="006D37C1">
      <w:pPr>
        <w:spacing w:after="80" w:line="276" w:lineRule="auto"/>
        <w:ind w:left="360" w:hanging="360"/>
        <w:rPr>
          <w:rFonts w:ascii="Arial" w:hAnsi="Arial" w:cs="Arial"/>
          <w:sz w:val="22"/>
        </w:rPr>
      </w:pPr>
      <w:r w:rsidRPr="006D37C1">
        <w:rPr>
          <w:rFonts w:ascii="Arial" w:hAnsi="Arial" w:cs="Arial"/>
          <w:sz w:val="22"/>
        </w:rPr>
        <w:t>Anderson, J.E., Ross, A.J., Macrae, C. and Wiig, S. (2020) ‘Defining adaptive capacity in healthcare: a new framework for researching resilient performance’, Applied Ergonomics, 87, 103111.</w:t>
      </w:r>
    </w:p>
    <w:p w14:paraId="0A20591C" w14:textId="77777777" w:rsidR="006D37C1" w:rsidRPr="006D37C1" w:rsidRDefault="006D37C1" w:rsidP="006D37C1">
      <w:pPr>
        <w:spacing w:after="80" w:line="276" w:lineRule="auto"/>
        <w:ind w:left="360" w:hanging="360"/>
        <w:rPr>
          <w:rFonts w:ascii="Arial" w:hAnsi="Arial" w:cs="Arial"/>
          <w:sz w:val="22"/>
        </w:rPr>
      </w:pPr>
      <w:r w:rsidRPr="006D37C1">
        <w:rPr>
          <w:rFonts w:ascii="Arial" w:hAnsi="Arial" w:cs="Arial"/>
          <w:sz w:val="22"/>
        </w:rPr>
        <w:t>Braun, V. and Clarke, V. (2006) ‘Using thematic analysis in psychology’, Qualitative Research in Psychology, 3(2), pp. 77–101.</w:t>
      </w:r>
    </w:p>
    <w:p w14:paraId="16072C44" w14:textId="77777777" w:rsidR="006D37C1" w:rsidRPr="006D37C1" w:rsidRDefault="006D37C1" w:rsidP="006D37C1">
      <w:pPr>
        <w:spacing w:after="80" w:line="276" w:lineRule="auto"/>
        <w:ind w:left="360" w:hanging="360"/>
        <w:rPr>
          <w:rFonts w:ascii="Arial" w:hAnsi="Arial" w:cs="Arial"/>
          <w:sz w:val="22"/>
        </w:rPr>
      </w:pPr>
      <w:proofErr w:type="spellStart"/>
      <w:r w:rsidRPr="006D37C1">
        <w:rPr>
          <w:rFonts w:ascii="Arial" w:hAnsi="Arial" w:cs="Arial"/>
          <w:sz w:val="22"/>
        </w:rPr>
        <w:t>Boslaugh</w:t>
      </w:r>
      <w:proofErr w:type="spellEnd"/>
      <w:r w:rsidRPr="006D37C1">
        <w:rPr>
          <w:rFonts w:ascii="Arial" w:hAnsi="Arial" w:cs="Arial"/>
          <w:sz w:val="22"/>
        </w:rPr>
        <w:t>, S. (2007) Secondary Data Sources for Public Health: A Practical Guide. Cambridge: Cambridge University Press.</w:t>
      </w:r>
    </w:p>
    <w:p w14:paraId="2C39DCCF" w14:textId="77777777" w:rsidR="006D37C1" w:rsidRPr="006D37C1" w:rsidRDefault="006D37C1" w:rsidP="006D37C1">
      <w:pPr>
        <w:spacing w:after="80" w:line="276" w:lineRule="auto"/>
        <w:ind w:left="360" w:hanging="360"/>
        <w:rPr>
          <w:rFonts w:ascii="Arial" w:hAnsi="Arial" w:cs="Arial"/>
          <w:sz w:val="22"/>
        </w:rPr>
      </w:pPr>
      <w:r w:rsidRPr="006D37C1">
        <w:rPr>
          <w:rFonts w:ascii="Arial" w:hAnsi="Arial" w:cs="Arial"/>
          <w:sz w:val="22"/>
        </w:rPr>
        <w:t>Creswell, J.W. and Creswell, J.D. (2018) Research Design: Qualitative, Quantitative, and Mixed Methods Approaches. 5th edn. Thousand Oaks, CA: SAGE.</w:t>
      </w:r>
    </w:p>
    <w:p w14:paraId="42D8BC34" w14:textId="77777777" w:rsidR="006D37C1" w:rsidRPr="006D37C1" w:rsidRDefault="006D37C1" w:rsidP="006D37C1">
      <w:pPr>
        <w:spacing w:after="80" w:line="276" w:lineRule="auto"/>
        <w:ind w:left="360" w:hanging="360"/>
        <w:rPr>
          <w:rFonts w:ascii="Arial" w:hAnsi="Arial" w:cs="Arial"/>
          <w:sz w:val="22"/>
        </w:rPr>
      </w:pPr>
      <w:r w:rsidRPr="006D37C1">
        <w:rPr>
          <w:rFonts w:ascii="Arial" w:hAnsi="Arial" w:cs="Arial"/>
          <w:sz w:val="22"/>
        </w:rPr>
        <w:t>Hollnagel, E., Braithwaite, J. and Wears, R.L. (eds) (2013) Resilient Health Care. Farnham: Ashgate.</w:t>
      </w:r>
    </w:p>
    <w:p w14:paraId="0FB8E9EA" w14:textId="77777777" w:rsidR="006D37C1" w:rsidRPr="006D37C1" w:rsidRDefault="006D37C1" w:rsidP="006D37C1">
      <w:pPr>
        <w:spacing w:after="80" w:line="276" w:lineRule="auto"/>
        <w:ind w:left="360" w:hanging="360"/>
        <w:rPr>
          <w:rFonts w:ascii="Arial" w:hAnsi="Arial" w:cs="Arial"/>
          <w:sz w:val="22"/>
        </w:rPr>
      </w:pPr>
      <w:r w:rsidRPr="006D37C1">
        <w:rPr>
          <w:rFonts w:ascii="Arial" w:hAnsi="Arial" w:cs="Arial"/>
          <w:sz w:val="22"/>
        </w:rPr>
        <w:t>McGowan, A., et al. (2024) ‘Analysis of the impact of COVID-19 on Scotland’s care-homes from March 2020 to October 2021: national linked data cohort analysis’, Age and Ageing, 53(2), afae015.</w:t>
      </w:r>
    </w:p>
    <w:p w14:paraId="43F27360" w14:textId="77777777" w:rsidR="006D37C1" w:rsidRPr="006D37C1" w:rsidRDefault="006D37C1" w:rsidP="006D37C1">
      <w:pPr>
        <w:spacing w:after="80" w:line="276" w:lineRule="auto"/>
        <w:ind w:left="360" w:hanging="360"/>
        <w:rPr>
          <w:rFonts w:ascii="Arial" w:hAnsi="Arial" w:cs="Arial"/>
          <w:sz w:val="22"/>
        </w:rPr>
      </w:pPr>
      <w:r w:rsidRPr="006D37C1">
        <w:rPr>
          <w:rFonts w:ascii="Arial" w:hAnsi="Arial" w:cs="Arial"/>
          <w:sz w:val="22"/>
        </w:rPr>
        <w:t xml:space="preserve">Ross, A., Anderson, J.E., </w:t>
      </w:r>
      <w:proofErr w:type="spellStart"/>
      <w:r w:rsidRPr="006D37C1">
        <w:rPr>
          <w:rFonts w:ascii="Arial" w:hAnsi="Arial" w:cs="Arial"/>
          <w:sz w:val="22"/>
        </w:rPr>
        <w:t>Selveindran</w:t>
      </w:r>
      <w:proofErr w:type="spellEnd"/>
      <w:r w:rsidRPr="006D37C1">
        <w:rPr>
          <w:rFonts w:ascii="Arial" w:hAnsi="Arial" w:cs="Arial"/>
          <w:sz w:val="22"/>
        </w:rPr>
        <w:t xml:space="preserve">, S., MacBride, T., Bowie, P., Sherriff, A., Young, L., </w:t>
      </w:r>
      <w:proofErr w:type="spellStart"/>
      <w:r w:rsidRPr="006D37C1">
        <w:rPr>
          <w:rFonts w:ascii="Arial" w:hAnsi="Arial" w:cs="Arial"/>
          <w:sz w:val="22"/>
        </w:rPr>
        <w:t>Fioratou</w:t>
      </w:r>
      <w:proofErr w:type="spellEnd"/>
      <w:r w:rsidRPr="006D37C1">
        <w:rPr>
          <w:rFonts w:ascii="Arial" w:hAnsi="Arial" w:cs="Arial"/>
          <w:sz w:val="22"/>
        </w:rPr>
        <w:t>, E., Roddy, E., Edwards, H., Dewar, B. and Macpherson, L.M. (2022) ‘A qualitative study of organisational resilience in care homes in Scotland’, PLOS ONE, 17(12), e0279376.</w:t>
      </w:r>
    </w:p>
    <w:p w14:paraId="2A063F79" w14:textId="60A20A8A" w:rsidR="003C7AE0" w:rsidRPr="0011161E" w:rsidRDefault="003C7AE0"/>
    <w:sectPr w:rsidR="003C7AE0" w:rsidRPr="0011161E"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50C9C5" w14:textId="77777777" w:rsidR="008D77A2" w:rsidRDefault="008D77A2" w:rsidP="003C7C97">
      <w:pPr>
        <w:spacing w:after="0" w:line="240" w:lineRule="auto"/>
      </w:pPr>
      <w:r>
        <w:separator/>
      </w:r>
    </w:p>
  </w:endnote>
  <w:endnote w:type="continuationSeparator" w:id="0">
    <w:p w14:paraId="0377349F" w14:textId="77777777" w:rsidR="008D77A2" w:rsidRDefault="008D77A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781630" w14:textId="77777777" w:rsidR="008D77A2" w:rsidRDefault="008D77A2" w:rsidP="003C7C97">
      <w:pPr>
        <w:spacing w:after="0" w:line="240" w:lineRule="auto"/>
      </w:pPr>
      <w:r>
        <w:separator/>
      </w:r>
    </w:p>
  </w:footnote>
  <w:footnote w:type="continuationSeparator" w:id="0">
    <w:p w14:paraId="41824CAF" w14:textId="77777777" w:rsidR="008D77A2" w:rsidRDefault="008D77A2"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85892932"/>
      <w:docPartObj>
        <w:docPartGallery w:val="Page Numbers (Top of Page)"/>
        <w:docPartUnique/>
      </w:docPartObj>
    </w:sdtPr>
    <w:sdtContent>
      <w:p w14:paraId="120C5E46" w14:textId="77777777"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sidR="00000000">
          <w:rPr>
            <w:rStyle w:val="PageNumber"/>
          </w:rPr>
          <w:fldChar w:fldCharType="separate"/>
        </w:r>
        <w:r>
          <w:rPr>
            <w:rStyle w:val="PageNumber"/>
          </w:rPr>
          <w:fldChar w:fldCharType="end"/>
        </w:r>
      </w:p>
    </w:sdtContent>
  </w:sdt>
  <w:p w14:paraId="7F896B22"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79713788"/>
      <w:docPartObj>
        <w:docPartGallery w:val="Page Numbers (Top of Page)"/>
        <w:docPartUnique/>
      </w:docPartObj>
    </w:sdtPr>
    <w:sdtContent>
      <w:p w14:paraId="0B2EBF83" w14:textId="77777777"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B75C4E2"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D0E6A788"/>
    <w:lvl w:ilvl="0" w:tplc="BCCC5174">
      <w:start w:val="1"/>
      <w:numFmt w:val="bullet"/>
      <w:lvlText w:val=""/>
      <w:lvlJc w:val="left"/>
      <w:pPr>
        <w:ind w:left="720" w:hanging="360"/>
      </w:pPr>
      <w:rPr>
        <w:rFonts w:ascii="Symbol" w:hAnsi="Symbol" w:hint="default"/>
      </w:rPr>
    </w:lvl>
    <w:lvl w:ilvl="1" w:tplc="507405BA">
      <w:start w:val="1"/>
      <w:numFmt w:val="bullet"/>
      <w:lvlText w:val="o"/>
      <w:lvlJc w:val="left"/>
      <w:pPr>
        <w:ind w:left="1440" w:hanging="360"/>
      </w:pPr>
      <w:rPr>
        <w:rFonts w:ascii="Courier New" w:hAnsi="Courier New" w:hint="default"/>
      </w:rPr>
    </w:lvl>
    <w:lvl w:ilvl="2" w:tplc="281AF0B6">
      <w:start w:val="1"/>
      <w:numFmt w:val="bullet"/>
      <w:lvlText w:val=""/>
      <w:lvlJc w:val="left"/>
      <w:pPr>
        <w:ind w:left="2160" w:hanging="360"/>
      </w:pPr>
      <w:rPr>
        <w:rFonts w:ascii="Wingdings" w:hAnsi="Wingdings" w:hint="default"/>
      </w:rPr>
    </w:lvl>
    <w:lvl w:ilvl="3" w:tplc="3F38ACA2">
      <w:start w:val="1"/>
      <w:numFmt w:val="bullet"/>
      <w:lvlText w:val=""/>
      <w:lvlJc w:val="left"/>
      <w:pPr>
        <w:ind w:left="2880" w:hanging="360"/>
      </w:pPr>
      <w:rPr>
        <w:rFonts w:ascii="Symbol" w:hAnsi="Symbol" w:hint="default"/>
      </w:rPr>
    </w:lvl>
    <w:lvl w:ilvl="4" w:tplc="3A16C4E0">
      <w:start w:val="1"/>
      <w:numFmt w:val="bullet"/>
      <w:lvlText w:val="o"/>
      <w:lvlJc w:val="left"/>
      <w:pPr>
        <w:ind w:left="3600" w:hanging="360"/>
      </w:pPr>
      <w:rPr>
        <w:rFonts w:ascii="Courier New" w:hAnsi="Courier New" w:hint="default"/>
      </w:rPr>
    </w:lvl>
    <w:lvl w:ilvl="5" w:tplc="4988689E">
      <w:start w:val="1"/>
      <w:numFmt w:val="bullet"/>
      <w:lvlText w:val=""/>
      <w:lvlJc w:val="left"/>
      <w:pPr>
        <w:ind w:left="4320" w:hanging="360"/>
      </w:pPr>
      <w:rPr>
        <w:rFonts w:ascii="Wingdings" w:hAnsi="Wingdings" w:hint="default"/>
      </w:rPr>
    </w:lvl>
    <w:lvl w:ilvl="6" w:tplc="1390E166">
      <w:start w:val="1"/>
      <w:numFmt w:val="bullet"/>
      <w:lvlText w:val=""/>
      <w:lvlJc w:val="left"/>
      <w:pPr>
        <w:ind w:left="5040" w:hanging="360"/>
      </w:pPr>
      <w:rPr>
        <w:rFonts w:ascii="Symbol" w:hAnsi="Symbol" w:hint="default"/>
      </w:rPr>
    </w:lvl>
    <w:lvl w:ilvl="7" w:tplc="8142303E">
      <w:start w:val="1"/>
      <w:numFmt w:val="bullet"/>
      <w:lvlText w:val="o"/>
      <w:lvlJc w:val="left"/>
      <w:pPr>
        <w:ind w:left="5760" w:hanging="360"/>
      </w:pPr>
      <w:rPr>
        <w:rFonts w:ascii="Courier New" w:hAnsi="Courier New" w:hint="default"/>
      </w:rPr>
    </w:lvl>
    <w:lvl w:ilvl="8" w:tplc="0598F73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3489460"/>
    <w:lvl w:ilvl="0" w:tplc="D1A06548">
      <w:start w:val="1"/>
      <w:numFmt w:val="bullet"/>
      <w:lvlText w:val=""/>
      <w:lvlJc w:val="left"/>
      <w:pPr>
        <w:ind w:left="720" w:hanging="360"/>
      </w:pPr>
      <w:rPr>
        <w:rFonts w:ascii="Symbol" w:hAnsi="Symbol" w:hint="default"/>
      </w:rPr>
    </w:lvl>
    <w:lvl w:ilvl="1" w:tplc="F6BE858E">
      <w:start w:val="1"/>
      <w:numFmt w:val="bullet"/>
      <w:lvlText w:val="o"/>
      <w:lvlJc w:val="left"/>
      <w:pPr>
        <w:ind w:left="1440" w:hanging="360"/>
      </w:pPr>
      <w:rPr>
        <w:rFonts w:ascii="Courier New" w:hAnsi="Courier New" w:hint="default"/>
      </w:rPr>
    </w:lvl>
    <w:lvl w:ilvl="2" w:tplc="3A30CE1A">
      <w:start w:val="1"/>
      <w:numFmt w:val="bullet"/>
      <w:lvlText w:val=""/>
      <w:lvlJc w:val="left"/>
      <w:pPr>
        <w:ind w:left="2160" w:hanging="360"/>
      </w:pPr>
      <w:rPr>
        <w:rFonts w:ascii="Wingdings" w:hAnsi="Wingdings" w:hint="default"/>
      </w:rPr>
    </w:lvl>
    <w:lvl w:ilvl="3" w:tplc="3F6A139C">
      <w:start w:val="1"/>
      <w:numFmt w:val="bullet"/>
      <w:lvlText w:val=""/>
      <w:lvlJc w:val="left"/>
      <w:pPr>
        <w:ind w:left="2880" w:hanging="360"/>
      </w:pPr>
      <w:rPr>
        <w:rFonts w:ascii="Symbol" w:hAnsi="Symbol" w:hint="default"/>
      </w:rPr>
    </w:lvl>
    <w:lvl w:ilvl="4" w:tplc="BD4226F8">
      <w:start w:val="1"/>
      <w:numFmt w:val="bullet"/>
      <w:lvlText w:val="o"/>
      <w:lvlJc w:val="left"/>
      <w:pPr>
        <w:ind w:left="3600" w:hanging="360"/>
      </w:pPr>
      <w:rPr>
        <w:rFonts w:ascii="Courier New" w:hAnsi="Courier New" w:hint="default"/>
      </w:rPr>
    </w:lvl>
    <w:lvl w:ilvl="5" w:tplc="4F04A308">
      <w:start w:val="1"/>
      <w:numFmt w:val="bullet"/>
      <w:lvlText w:val=""/>
      <w:lvlJc w:val="left"/>
      <w:pPr>
        <w:ind w:left="4320" w:hanging="360"/>
      </w:pPr>
      <w:rPr>
        <w:rFonts w:ascii="Wingdings" w:hAnsi="Wingdings" w:hint="default"/>
      </w:rPr>
    </w:lvl>
    <w:lvl w:ilvl="6" w:tplc="FE0CB49C">
      <w:start w:val="1"/>
      <w:numFmt w:val="bullet"/>
      <w:lvlText w:val=""/>
      <w:lvlJc w:val="left"/>
      <w:pPr>
        <w:ind w:left="5040" w:hanging="360"/>
      </w:pPr>
      <w:rPr>
        <w:rFonts w:ascii="Symbol" w:hAnsi="Symbol" w:hint="default"/>
      </w:rPr>
    </w:lvl>
    <w:lvl w:ilvl="7" w:tplc="64349B12">
      <w:start w:val="1"/>
      <w:numFmt w:val="bullet"/>
      <w:lvlText w:val="o"/>
      <w:lvlJc w:val="left"/>
      <w:pPr>
        <w:ind w:left="5760" w:hanging="360"/>
      </w:pPr>
      <w:rPr>
        <w:rFonts w:ascii="Courier New" w:hAnsi="Courier New" w:hint="default"/>
      </w:rPr>
    </w:lvl>
    <w:lvl w:ilvl="8" w:tplc="95F6A2C8">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D918EC0C"/>
    <w:lvl w:ilvl="0" w:tplc="32462E88">
      <w:start w:val="1"/>
      <w:numFmt w:val="bullet"/>
      <w:lvlText w:val=""/>
      <w:lvlJc w:val="left"/>
      <w:pPr>
        <w:ind w:left="720" w:hanging="360"/>
      </w:pPr>
      <w:rPr>
        <w:rFonts w:ascii="Symbol" w:hAnsi="Symbol" w:hint="default"/>
      </w:rPr>
    </w:lvl>
    <w:lvl w:ilvl="1" w:tplc="7E54D748">
      <w:start w:val="1"/>
      <w:numFmt w:val="bullet"/>
      <w:lvlText w:val="o"/>
      <w:lvlJc w:val="left"/>
      <w:pPr>
        <w:ind w:left="1440" w:hanging="360"/>
      </w:pPr>
      <w:rPr>
        <w:rFonts w:ascii="Courier New" w:hAnsi="Courier New" w:hint="default"/>
      </w:rPr>
    </w:lvl>
    <w:lvl w:ilvl="2" w:tplc="8A60E842">
      <w:start w:val="1"/>
      <w:numFmt w:val="bullet"/>
      <w:lvlText w:val=""/>
      <w:lvlJc w:val="left"/>
      <w:pPr>
        <w:ind w:left="2160" w:hanging="360"/>
      </w:pPr>
      <w:rPr>
        <w:rFonts w:ascii="Wingdings" w:hAnsi="Wingdings" w:hint="default"/>
      </w:rPr>
    </w:lvl>
    <w:lvl w:ilvl="3" w:tplc="DFB81258">
      <w:start w:val="1"/>
      <w:numFmt w:val="bullet"/>
      <w:lvlText w:val=""/>
      <w:lvlJc w:val="left"/>
      <w:pPr>
        <w:ind w:left="2880" w:hanging="360"/>
      </w:pPr>
      <w:rPr>
        <w:rFonts w:ascii="Symbol" w:hAnsi="Symbol" w:hint="default"/>
      </w:rPr>
    </w:lvl>
    <w:lvl w:ilvl="4" w:tplc="FF424948">
      <w:start w:val="1"/>
      <w:numFmt w:val="bullet"/>
      <w:lvlText w:val="o"/>
      <w:lvlJc w:val="left"/>
      <w:pPr>
        <w:ind w:left="3600" w:hanging="360"/>
      </w:pPr>
      <w:rPr>
        <w:rFonts w:ascii="Courier New" w:hAnsi="Courier New" w:hint="default"/>
      </w:rPr>
    </w:lvl>
    <w:lvl w:ilvl="5" w:tplc="DB7A8728">
      <w:start w:val="1"/>
      <w:numFmt w:val="bullet"/>
      <w:lvlText w:val=""/>
      <w:lvlJc w:val="left"/>
      <w:pPr>
        <w:ind w:left="4320" w:hanging="360"/>
      </w:pPr>
      <w:rPr>
        <w:rFonts w:ascii="Wingdings" w:hAnsi="Wingdings" w:hint="default"/>
      </w:rPr>
    </w:lvl>
    <w:lvl w:ilvl="6" w:tplc="A298281E">
      <w:start w:val="1"/>
      <w:numFmt w:val="bullet"/>
      <w:lvlText w:val=""/>
      <w:lvlJc w:val="left"/>
      <w:pPr>
        <w:ind w:left="5040" w:hanging="360"/>
      </w:pPr>
      <w:rPr>
        <w:rFonts w:ascii="Symbol" w:hAnsi="Symbol" w:hint="default"/>
      </w:rPr>
    </w:lvl>
    <w:lvl w:ilvl="7" w:tplc="6BFE6D44">
      <w:start w:val="1"/>
      <w:numFmt w:val="bullet"/>
      <w:lvlText w:val="o"/>
      <w:lvlJc w:val="left"/>
      <w:pPr>
        <w:ind w:left="5760" w:hanging="360"/>
      </w:pPr>
      <w:rPr>
        <w:rFonts w:ascii="Courier New" w:hAnsi="Courier New" w:hint="default"/>
      </w:rPr>
    </w:lvl>
    <w:lvl w:ilvl="8" w:tplc="439AE28A">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D41CB2FE"/>
    <w:lvl w:ilvl="0" w:tplc="528EA354">
      <w:start w:val="1"/>
      <w:numFmt w:val="bullet"/>
      <w:lvlText w:val=""/>
      <w:lvlJc w:val="left"/>
      <w:pPr>
        <w:ind w:left="720" w:hanging="360"/>
      </w:pPr>
      <w:rPr>
        <w:rFonts w:ascii="Symbol" w:hAnsi="Symbol" w:hint="default"/>
      </w:rPr>
    </w:lvl>
    <w:lvl w:ilvl="1" w:tplc="577A6A12">
      <w:start w:val="1"/>
      <w:numFmt w:val="bullet"/>
      <w:lvlText w:val="o"/>
      <w:lvlJc w:val="left"/>
      <w:pPr>
        <w:ind w:left="1440" w:hanging="360"/>
      </w:pPr>
      <w:rPr>
        <w:rFonts w:ascii="Courier New" w:hAnsi="Courier New" w:hint="default"/>
      </w:rPr>
    </w:lvl>
    <w:lvl w:ilvl="2" w:tplc="AB123E66">
      <w:start w:val="1"/>
      <w:numFmt w:val="bullet"/>
      <w:lvlText w:val=""/>
      <w:lvlJc w:val="left"/>
      <w:pPr>
        <w:ind w:left="2160" w:hanging="360"/>
      </w:pPr>
      <w:rPr>
        <w:rFonts w:ascii="Wingdings" w:hAnsi="Wingdings" w:hint="default"/>
      </w:rPr>
    </w:lvl>
    <w:lvl w:ilvl="3" w:tplc="3C98F876">
      <w:start w:val="1"/>
      <w:numFmt w:val="bullet"/>
      <w:lvlText w:val=""/>
      <w:lvlJc w:val="left"/>
      <w:pPr>
        <w:ind w:left="2880" w:hanging="360"/>
      </w:pPr>
      <w:rPr>
        <w:rFonts w:ascii="Symbol" w:hAnsi="Symbol" w:hint="default"/>
      </w:rPr>
    </w:lvl>
    <w:lvl w:ilvl="4" w:tplc="5DFAD7B8">
      <w:start w:val="1"/>
      <w:numFmt w:val="bullet"/>
      <w:lvlText w:val="o"/>
      <w:lvlJc w:val="left"/>
      <w:pPr>
        <w:ind w:left="3600" w:hanging="360"/>
      </w:pPr>
      <w:rPr>
        <w:rFonts w:ascii="Courier New" w:hAnsi="Courier New" w:hint="default"/>
      </w:rPr>
    </w:lvl>
    <w:lvl w:ilvl="5" w:tplc="25802C32">
      <w:start w:val="1"/>
      <w:numFmt w:val="bullet"/>
      <w:lvlText w:val=""/>
      <w:lvlJc w:val="left"/>
      <w:pPr>
        <w:ind w:left="4320" w:hanging="360"/>
      </w:pPr>
      <w:rPr>
        <w:rFonts w:ascii="Wingdings" w:hAnsi="Wingdings" w:hint="default"/>
      </w:rPr>
    </w:lvl>
    <w:lvl w:ilvl="6" w:tplc="D3D658C0">
      <w:start w:val="1"/>
      <w:numFmt w:val="bullet"/>
      <w:lvlText w:val=""/>
      <w:lvlJc w:val="left"/>
      <w:pPr>
        <w:ind w:left="5040" w:hanging="360"/>
      </w:pPr>
      <w:rPr>
        <w:rFonts w:ascii="Symbol" w:hAnsi="Symbol" w:hint="default"/>
      </w:rPr>
    </w:lvl>
    <w:lvl w:ilvl="7" w:tplc="38CC5764">
      <w:start w:val="1"/>
      <w:numFmt w:val="bullet"/>
      <w:lvlText w:val="o"/>
      <w:lvlJc w:val="left"/>
      <w:pPr>
        <w:ind w:left="5760" w:hanging="360"/>
      </w:pPr>
      <w:rPr>
        <w:rFonts w:ascii="Courier New" w:hAnsi="Courier New" w:hint="default"/>
      </w:rPr>
    </w:lvl>
    <w:lvl w:ilvl="8" w:tplc="3410ADE0">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12AA7470"/>
    <w:lvl w:ilvl="0" w:tplc="62CA64E6">
      <w:start w:val="1"/>
      <w:numFmt w:val="bullet"/>
      <w:lvlText w:val=""/>
      <w:lvlJc w:val="left"/>
      <w:pPr>
        <w:ind w:left="720" w:hanging="360"/>
      </w:pPr>
      <w:rPr>
        <w:rFonts w:ascii="Symbol" w:hAnsi="Symbol" w:hint="default"/>
      </w:rPr>
    </w:lvl>
    <w:lvl w:ilvl="1" w:tplc="4C48B48C">
      <w:start w:val="1"/>
      <w:numFmt w:val="bullet"/>
      <w:lvlText w:val="o"/>
      <w:lvlJc w:val="left"/>
      <w:pPr>
        <w:ind w:left="1440" w:hanging="360"/>
      </w:pPr>
      <w:rPr>
        <w:rFonts w:ascii="Courier New" w:hAnsi="Courier New" w:hint="default"/>
      </w:rPr>
    </w:lvl>
    <w:lvl w:ilvl="2" w:tplc="1068C940">
      <w:start w:val="1"/>
      <w:numFmt w:val="bullet"/>
      <w:lvlText w:val=""/>
      <w:lvlJc w:val="left"/>
      <w:pPr>
        <w:ind w:left="2160" w:hanging="360"/>
      </w:pPr>
      <w:rPr>
        <w:rFonts w:ascii="Wingdings" w:hAnsi="Wingdings" w:hint="default"/>
      </w:rPr>
    </w:lvl>
    <w:lvl w:ilvl="3" w:tplc="29D4FFF6">
      <w:start w:val="1"/>
      <w:numFmt w:val="bullet"/>
      <w:lvlText w:val=""/>
      <w:lvlJc w:val="left"/>
      <w:pPr>
        <w:ind w:left="2880" w:hanging="360"/>
      </w:pPr>
      <w:rPr>
        <w:rFonts w:ascii="Symbol" w:hAnsi="Symbol" w:hint="default"/>
      </w:rPr>
    </w:lvl>
    <w:lvl w:ilvl="4" w:tplc="371CAB28">
      <w:start w:val="1"/>
      <w:numFmt w:val="bullet"/>
      <w:lvlText w:val="o"/>
      <w:lvlJc w:val="left"/>
      <w:pPr>
        <w:ind w:left="3600" w:hanging="360"/>
      </w:pPr>
      <w:rPr>
        <w:rFonts w:ascii="Courier New" w:hAnsi="Courier New" w:hint="default"/>
      </w:rPr>
    </w:lvl>
    <w:lvl w:ilvl="5" w:tplc="B412C45A">
      <w:start w:val="1"/>
      <w:numFmt w:val="bullet"/>
      <w:lvlText w:val=""/>
      <w:lvlJc w:val="left"/>
      <w:pPr>
        <w:ind w:left="4320" w:hanging="360"/>
      </w:pPr>
      <w:rPr>
        <w:rFonts w:ascii="Wingdings" w:hAnsi="Wingdings" w:hint="default"/>
      </w:rPr>
    </w:lvl>
    <w:lvl w:ilvl="6" w:tplc="28ACA776">
      <w:start w:val="1"/>
      <w:numFmt w:val="bullet"/>
      <w:lvlText w:val=""/>
      <w:lvlJc w:val="left"/>
      <w:pPr>
        <w:ind w:left="5040" w:hanging="360"/>
      </w:pPr>
      <w:rPr>
        <w:rFonts w:ascii="Symbol" w:hAnsi="Symbol" w:hint="default"/>
      </w:rPr>
    </w:lvl>
    <w:lvl w:ilvl="7" w:tplc="0B8A08D2">
      <w:start w:val="1"/>
      <w:numFmt w:val="bullet"/>
      <w:lvlText w:val="o"/>
      <w:lvlJc w:val="left"/>
      <w:pPr>
        <w:ind w:left="5760" w:hanging="360"/>
      </w:pPr>
      <w:rPr>
        <w:rFonts w:ascii="Courier New" w:hAnsi="Courier New" w:hint="default"/>
      </w:rPr>
    </w:lvl>
    <w:lvl w:ilvl="8" w:tplc="D5A011DE">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43ACA9B8"/>
    <w:lvl w:ilvl="0" w:tplc="8A4C205C">
      <w:start w:val="1"/>
      <w:numFmt w:val="bullet"/>
      <w:lvlText w:val=""/>
      <w:lvlJc w:val="left"/>
      <w:pPr>
        <w:ind w:left="720" w:hanging="360"/>
      </w:pPr>
      <w:rPr>
        <w:rFonts w:ascii="Symbol" w:hAnsi="Symbol" w:hint="default"/>
      </w:rPr>
    </w:lvl>
    <w:lvl w:ilvl="1" w:tplc="BAFC081C">
      <w:start w:val="1"/>
      <w:numFmt w:val="bullet"/>
      <w:lvlText w:val="o"/>
      <w:lvlJc w:val="left"/>
      <w:pPr>
        <w:ind w:left="1440" w:hanging="360"/>
      </w:pPr>
      <w:rPr>
        <w:rFonts w:ascii="Courier New" w:hAnsi="Courier New" w:hint="default"/>
      </w:rPr>
    </w:lvl>
    <w:lvl w:ilvl="2" w:tplc="852A1C84">
      <w:start w:val="1"/>
      <w:numFmt w:val="bullet"/>
      <w:lvlText w:val=""/>
      <w:lvlJc w:val="left"/>
      <w:pPr>
        <w:ind w:left="2160" w:hanging="360"/>
      </w:pPr>
      <w:rPr>
        <w:rFonts w:ascii="Wingdings" w:hAnsi="Wingdings" w:hint="default"/>
      </w:rPr>
    </w:lvl>
    <w:lvl w:ilvl="3" w:tplc="4D10D27E">
      <w:start w:val="1"/>
      <w:numFmt w:val="bullet"/>
      <w:lvlText w:val=""/>
      <w:lvlJc w:val="left"/>
      <w:pPr>
        <w:ind w:left="2880" w:hanging="360"/>
      </w:pPr>
      <w:rPr>
        <w:rFonts w:ascii="Symbol" w:hAnsi="Symbol" w:hint="default"/>
      </w:rPr>
    </w:lvl>
    <w:lvl w:ilvl="4" w:tplc="C50843D2">
      <w:start w:val="1"/>
      <w:numFmt w:val="bullet"/>
      <w:lvlText w:val="o"/>
      <w:lvlJc w:val="left"/>
      <w:pPr>
        <w:ind w:left="3600" w:hanging="360"/>
      </w:pPr>
      <w:rPr>
        <w:rFonts w:ascii="Courier New" w:hAnsi="Courier New" w:hint="default"/>
      </w:rPr>
    </w:lvl>
    <w:lvl w:ilvl="5" w:tplc="34F05B46">
      <w:start w:val="1"/>
      <w:numFmt w:val="bullet"/>
      <w:lvlText w:val=""/>
      <w:lvlJc w:val="left"/>
      <w:pPr>
        <w:ind w:left="4320" w:hanging="360"/>
      </w:pPr>
      <w:rPr>
        <w:rFonts w:ascii="Wingdings" w:hAnsi="Wingdings" w:hint="default"/>
      </w:rPr>
    </w:lvl>
    <w:lvl w:ilvl="6" w:tplc="2592B4F4">
      <w:start w:val="1"/>
      <w:numFmt w:val="bullet"/>
      <w:lvlText w:val=""/>
      <w:lvlJc w:val="left"/>
      <w:pPr>
        <w:ind w:left="5040" w:hanging="360"/>
      </w:pPr>
      <w:rPr>
        <w:rFonts w:ascii="Symbol" w:hAnsi="Symbol" w:hint="default"/>
      </w:rPr>
    </w:lvl>
    <w:lvl w:ilvl="7" w:tplc="AA3EBA56">
      <w:start w:val="1"/>
      <w:numFmt w:val="bullet"/>
      <w:lvlText w:val="o"/>
      <w:lvlJc w:val="left"/>
      <w:pPr>
        <w:ind w:left="5760" w:hanging="360"/>
      </w:pPr>
      <w:rPr>
        <w:rFonts w:ascii="Courier New" w:hAnsi="Courier New" w:hint="default"/>
      </w:rPr>
    </w:lvl>
    <w:lvl w:ilvl="8" w:tplc="F266D966">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0023467">
    <w:abstractNumId w:val="11"/>
  </w:num>
  <w:num w:numId="2" w16cid:durableId="819730796">
    <w:abstractNumId w:val="12"/>
  </w:num>
  <w:num w:numId="3" w16cid:durableId="59184145">
    <w:abstractNumId w:val="1"/>
  </w:num>
  <w:num w:numId="4" w16cid:durableId="537858655">
    <w:abstractNumId w:val="3"/>
  </w:num>
  <w:num w:numId="5" w16cid:durableId="1602568057">
    <w:abstractNumId w:val="15"/>
  </w:num>
  <w:num w:numId="6" w16cid:durableId="1401833545">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1161E"/>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E7DEE"/>
    <w:rsid w:val="002F5066"/>
    <w:rsid w:val="003003FD"/>
    <w:rsid w:val="00310245"/>
    <w:rsid w:val="00316C95"/>
    <w:rsid w:val="003458DB"/>
    <w:rsid w:val="003523D3"/>
    <w:rsid w:val="00364C35"/>
    <w:rsid w:val="00396F60"/>
    <w:rsid w:val="003A51D6"/>
    <w:rsid w:val="003B125E"/>
    <w:rsid w:val="003B2A5E"/>
    <w:rsid w:val="003C7AE0"/>
    <w:rsid w:val="003C7C97"/>
    <w:rsid w:val="00406B8D"/>
    <w:rsid w:val="00410068"/>
    <w:rsid w:val="0041618E"/>
    <w:rsid w:val="0042295C"/>
    <w:rsid w:val="00426EEC"/>
    <w:rsid w:val="004466C3"/>
    <w:rsid w:val="004552CE"/>
    <w:rsid w:val="00481FF7"/>
    <w:rsid w:val="00500295"/>
    <w:rsid w:val="00501AAF"/>
    <w:rsid w:val="00527AFA"/>
    <w:rsid w:val="005419DA"/>
    <w:rsid w:val="00544A01"/>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D37C1"/>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C58B0"/>
    <w:rsid w:val="008C591B"/>
    <w:rsid w:val="008C6182"/>
    <w:rsid w:val="008D77A2"/>
    <w:rsid w:val="0090779E"/>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D3240"/>
    <w:rsid w:val="00AE35BF"/>
    <w:rsid w:val="00B1067E"/>
    <w:rsid w:val="00B51649"/>
    <w:rsid w:val="00B81790"/>
    <w:rsid w:val="00B81BBC"/>
    <w:rsid w:val="00BD03D5"/>
    <w:rsid w:val="00BF4F7E"/>
    <w:rsid w:val="00C3215E"/>
    <w:rsid w:val="00C45272"/>
    <w:rsid w:val="00C47770"/>
    <w:rsid w:val="00C75856"/>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434BD"/>
    <w:rsid w:val="00E53E5E"/>
    <w:rsid w:val="00E64325"/>
    <w:rsid w:val="00E673C5"/>
    <w:rsid w:val="00E67967"/>
    <w:rsid w:val="00E82723"/>
    <w:rsid w:val="00EA29A5"/>
    <w:rsid w:val="00EA78D1"/>
    <w:rsid w:val="00EC107C"/>
    <w:rsid w:val="00EC7EBE"/>
    <w:rsid w:val="00EC7FD2"/>
    <w:rsid w:val="00ED5964"/>
    <w:rsid w:val="00F1720B"/>
    <w:rsid w:val="00F36ADC"/>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8E47AC"/>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1886</Words>
  <Characters>10752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Lenovo</cp:lastModifiedBy>
  <cp:revision>2</cp:revision>
  <dcterms:created xsi:type="dcterms:W3CDTF">2026-08-18T12:14:00Z</dcterms:created>
  <dcterms:modified xsi:type="dcterms:W3CDTF">2026-08-18T12:14:00Z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