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B5EF4" w14:textId="77777777" w:rsidR="00746546" w:rsidRDefault="00746546" w:rsidP="00746546">
      <w:pPr>
        <w:jc w:val="center"/>
        <w:rPr>
          <w:b/>
          <w:bCs/>
          <w:sz w:val="24"/>
          <w:szCs w:val="24"/>
        </w:rPr>
      </w:pPr>
      <w:r>
        <w:rPr>
          <w:b/>
          <w:bCs/>
          <w:sz w:val="24"/>
          <w:szCs w:val="24"/>
        </w:rPr>
        <w:t>Principles of analytics (BMPD3001)</w:t>
      </w:r>
    </w:p>
    <w:p w14:paraId="2A6F4538" w14:textId="77777777" w:rsidR="0066122C" w:rsidRDefault="0066122C" w:rsidP="0066122C">
      <w:pPr>
        <w:spacing w:after="0" w:line="240" w:lineRule="auto"/>
        <w:contextualSpacing/>
      </w:pPr>
    </w:p>
    <w:p w14:paraId="6112018C" w14:textId="260300BA" w:rsidR="0066122C" w:rsidRDefault="00746546" w:rsidP="00F70E0B">
      <w:pPr>
        <w:spacing w:after="0" w:line="240" w:lineRule="auto"/>
        <w:contextualSpacing/>
        <w:rPr>
          <w:b/>
          <w:bCs/>
        </w:rPr>
      </w:pPr>
      <w:r w:rsidRPr="00746546">
        <w:rPr>
          <w:b/>
          <w:bCs/>
        </w:rPr>
        <w:t>Explain what evidence-based practice is and how it might be applied within an organisation.</w:t>
      </w:r>
      <w:r w:rsidRPr="00746546">
        <w:rPr>
          <w:b/>
          <w:bCs/>
        </w:rPr>
        <w:t xml:space="preserve"> </w:t>
      </w:r>
      <w:r w:rsidR="0066122C" w:rsidRPr="0066122C">
        <w:rPr>
          <w:b/>
          <w:bCs/>
        </w:rPr>
        <w:t>(AC 1.1)</w:t>
      </w:r>
    </w:p>
    <w:p w14:paraId="3E71F483" w14:textId="1F051C29" w:rsidR="008736B9" w:rsidRPr="00D4530E" w:rsidRDefault="008736B9" w:rsidP="00F70E0B">
      <w:pPr>
        <w:spacing w:after="0" w:line="240" w:lineRule="auto"/>
        <w:contextualSpacing/>
        <w:rPr>
          <w:rFonts w:cstheme="minorHAnsi"/>
        </w:rPr>
      </w:pPr>
      <w:r w:rsidRPr="00D4530E">
        <w:rPr>
          <w:rFonts w:cstheme="minorHAnsi"/>
        </w:rPr>
        <w:t xml:space="preserve">The purpose of using evidence-based practice, is to make </w:t>
      </w:r>
      <w:r w:rsidR="00DD2255" w:rsidRPr="00D4530E">
        <w:rPr>
          <w:rFonts w:cstheme="minorHAnsi"/>
        </w:rPr>
        <w:t xml:space="preserve">good, justified decisions using a range of different data sources that has been accurately collected to </w:t>
      </w:r>
      <w:proofErr w:type="spellStart"/>
      <w:r w:rsidR="00DD2255" w:rsidRPr="00D4530E">
        <w:rPr>
          <w:rFonts w:cstheme="minorHAnsi"/>
        </w:rPr>
        <w:t>backup</w:t>
      </w:r>
      <w:proofErr w:type="spellEnd"/>
      <w:r w:rsidR="00DD2255" w:rsidRPr="00D4530E">
        <w:rPr>
          <w:rFonts w:cstheme="minorHAnsi"/>
        </w:rPr>
        <w:t xml:space="preserve"> your decision</w:t>
      </w:r>
      <w:r w:rsidR="00B94400">
        <w:rPr>
          <w:rFonts w:cstheme="minorHAnsi"/>
        </w:rPr>
        <w:t>s</w:t>
      </w:r>
      <w:r w:rsidR="00DD2255" w:rsidRPr="00D4530E">
        <w:rPr>
          <w:rFonts w:cstheme="minorHAnsi"/>
        </w:rPr>
        <w:t xml:space="preserve">. When making decisions from different evidence sources, it is important to use critical thinking, to </w:t>
      </w:r>
      <w:r w:rsidR="000421D8" w:rsidRPr="00D4530E">
        <w:rPr>
          <w:rFonts w:cstheme="minorHAnsi"/>
        </w:rPr>
        <w:t xml:space="preserve">determine whether the evidence you are using is the best data available to you, making sure it has been collected accurately, and to avoid falling into the trap of using natural bias, short-term </w:t>
      </w:r>
      <w:proofErr w:type="gramStart"/>
      <w:r w:rsidR="000421D8" w:rsidRPr="00D4530E">
        <w:rPr>
          <w:rFonts w:cstheme="minorHAnsi"/>
        </w:rPr>
        <w:t>fads</w:t>
      </w:r>
      <w:proofErr w:type="gramEnd"/>
      <w:r w:rsidR="000421D8" w:rsidRPr="00D4530E">
        <w:rPr>
          <w:rFonts w:cstheme="minorHAnsi"/>
        </w:rPr>
        <w:t xml:space="preserve"> and outdated insights. (CIPD, 2023)</w:t>
      </w:r>
    </w:p>
    <w:p w14:paraId="556263DE" w14:textId="3D989F1C" w:rsidR="0010704C" w:rsidRPr="00D4530E" w:rsidRDefault="0010704C" w:rsidP="00F70E0B">
      <w:pPr>
        <w:pStyle w:val="NormalWeb"/>
        <w:spacing w:before="0" w:beforeAutospacing="0" w:after="0" w:afterAutospacing="0"/>
        <w:rPr>
          <w:rFonts w:asciiTheme="minorHAnsi" w:hAnsiTheme="minorHAnsi" w:cstheme="minorHAnsi"/>
          <w:sz w:val="22"/>
          <w:szCs w:val="22"/>
        </w:rPr>
      </w:pPr>
      <w:r w:rsidRPr="00D4530E">
        <w:rPr>
          <w:rFonts w:asciiTheme="minorHAnsi" w:hAnsiTheme="minorHAnsi" w:cstheme="minorHAnsi"/>
          <w:sz w:val="22"/>
          <w:szCs w:val="22"/>
        </w:rPr>
        <w:t>Organisations</w:t>
      </w:r>
      <w:r w:rsidR="000F1C2A" w:rsidRPr="00D4530E">
        <w:rPr>
          <w:rFonts w:asciiTheme="minorHAnsi" w:hAnsiTheme="minorHAnsi" w:cstheme="minorHAnsi"/>
          <w:sz w:val="22"/>
          <w:szCs w:val="22"/>
        </w:rPr>
        <w:t xml:space="preserve"> should consider four sources of evidence before </w:t>
      </w:r>
      <w:r w:rsidRPr="00D4530E">
        <w:rPr>
          <w:rFonts w:asciiTheme="minorHAnsi" w:hAnsiTheme="minorHAnsi" w:cstheme="minorHAnsi"/>
          <w:sz w:val="22"/>
          <w:szCs w:val="22"/>
        </w:rPr>
        <w:t>decision making,</w:t>
      </w:r>
      <w:r w:rsidR="000F1C2A" w:rsidRPr="00D4530E">
        <w:rPr>
          <w:rFonts w:asciiTheme="minorHAnsi" w:hAnsiTheme="minorHAnsi" w:cstheme="minorHAnsi"/>
          <w:sz w:val="22"/>
          <w:szCs w:val="22"/>
        </w:rPr>
        <w:t xml:space="preserve"> these are professional expertise, scientific literature, organisational </w:t>
      </w:r>
      <w:proofErr w:type="gramStart"/>
      <w:r w:rsidR="000F1C2A" w:rsidRPr="00D4530E">
        <w:rPr>
          <w:rFonts w:asciiTheme="minorHAnsi" w:hAnsiTheme="minorHAnsi" w:cstheme="minorHAnsi"/>
          <w:sz w:val="22"/>
          <w:szCs w:val="22"/>
        </w:rPr>
        <w:t>data</w:t>
      </w:r>
      <w:proofErr w:type="gramEnd"/>
      <w:r w:rsidR="000F1C2A" w:rsidRPr="00D4530E">
        <w:rPr>
          <w:rFonts w:asciiTheme="minorHAnsi" w:hAnsiTheme="minorHAnsi" w:cstheme="minorHAnsi"/>
          <w:sz w:val="22"/>
          <w:szCs w:val="22"/>
        </w:rPr>
        <w:t xml:space="preserve"> and stakeholder views. </w:t>
      </w:r>
      <w:r w:rsidR="00B94400">
        <w:rPr>
          <w:rFonts w:asciiTheme="minorHAnsi" w:hAnsiTheme="minorHAnsi" w:cstheme="minorHAnsi"/>
          <w:sz w:val="22"/>
          <w:szCs w:val="22"/>
        </w:rPr>
        <w:t>When examining</w:t>
      </w:r>
      <w:r w:rsidR="000F1C2A" w:rsidRPr="00D4530E">
        <w:rPr>
          <w:rFonts w:asciiTheme="minorHAnsi" w:hAnsiTheme="minorHAnsi" w:cstheme="minorHAnsi"/>
          <w:sz w:val="22"/>
          <w:szCs w:val="22"/>
        </w:rPr>
        <w:t xml:space="preserve"> sources of data</w:t>
      </w:r>
      <w:r w:rsidRPr="00D4530E">
        <w:rPr>
          <w:rFonts w:asciiTheme="minorHAnsi" w:hAnsiTheme="minorHAnsi" w:cstheme="minorHAnsi"/>
          <w:sz w:val="22"/>
          <w:szCs w:val="22"/>
        </w:rPr>
        <w:t xml:space="preserve">, they can use the 6 steps of asking, acquiring, appraising, aggregating, </w:t>
      </w:r>
      <w:proofErr w:type="gramStart"/>
      <w:r w:rsidRPr="00D4530E">
        <w:rPr>
          <w:rFonts w:asciiTheme="minorHAnsi" w:hAnsiTheme="minorHAnsi" w:cstheme="minorHAnsi"/>
          <w:sz w:val="22"/>
          <w:szCs w:val="22"/>
        </w:rPr>
        <w:t>applying</w:t>
      </w:r>
      <w:proofErr w:type="gramEnd"/>
      <w:r w:rsidRPr="00D4530E">
        <w:rPr>
          <w:rFonts w:asciiTheme="minorHAnsi" w:hAnsiTheme="minorHAnsi" w:cstheme="minorHAnsi"/>
          <w:sz w:val="22"/>
          <w:szCs w:val="22"/>
        </w:rPr>
        <w:t xml:space="preserve"> and assessing to assist them in making a justified and positive decision. </w:t>
      </w:r>
      <w:r w:rsidR="00D4530E" w:rsidRPr="00D4530E">
        <w:rPr>
          <w:rFonts w:asciiTheme="minorHAnsi" w:hAnsiTheme="minorHAnsi" w:cstheme="minorHAnsi"/>
          <w:sz w:val="22"/>
          <w:szCs w:val="22"/>
          <w:shd w:val="clear" w:color="auto" w:fill="FFFFFF"/>
        </w:rPr>
        <w:t>(Barends, Rousseau and Briner, 2018)</w:t>
      </w:r>
    </w:p>
    <w:p w14:paraId="0C7D6DE7" w14:textId="6D2CD132" w:rsidR="0010704C" w:rsidRDefault="00D4530E" w:rsidP="00F70E0B">
      <w:pPr>
        <w:spacing w:after="0" w:line="240" w:lineRule="auto"/>
        <w:contextualSpacing/>
        <w:rPr>
          <w:rFonts w:cstheme="minorHAnsi"/>
        </w:rPr>
      </w:pPr>
      <w:r>
        <w:rPr>
          <w:rFonts w:cstheme="minorHAnsi"/>
        </w:rPr>
        <w:t xml:space="preserve">An organisation can benefit by evidence-based practice, by looking at the organisational data to review their absence and </w:t>
      </w:r>
      <w:r w:rsidR="00656345">
        <w:rPr>
          <w:rFonts w:cstheme="minorHAnsi"/>
        </w:rPr>
        <w:t>attrition</w:t>
      </w:r>
      <w:r>
        <w:rPr>
          <w:rFonts w:cstheme="minorHAnsi"/>
        </w:rPr>
        <w:t xml:space="preserve"> data, and to act accordingly. If the data shows that their absence rate is high, they may look to implement employee surveys to </w:t>
      </w:r>
      <w:r w:rsidR="00656345">
        <w:rPr>
          <w:rFonts w:cstheme="minorHAnsi"/>
        </w:rPr>
        <w:t xml:space="preserve">gather the stakeholder views on why </w:t>
      </w:r>
      <w:r w:rsidR="00B94400">
        <w:rPr>
          <w:rFonts w:cstheme="minorHAnsi"/>
        </w:rPr>
        <w:t xml:space="preserve">the </w:t>
      </w:r>
      <w:r w:rsidR="00656345">
        <w:rPr>
          <w:rFonts w:cstheme="minorHAnsi"/>
        </w:rPr>
        <w:t>issue is</w:t>
      </w:r>
      <w:r>
        <w:rPr>
          <w:rFonts w:cstheme="minorHAnsi"/>
        </w:rPr>
        <w:t xml:space="preserve">. If for example, the data comes back to show stress as being the highest factor – </w:t>
      </w:r>
      <w:r w:rsidR="00B94400">
        <w:rPr>
          <w:rFonts w:cstheme="minorHAnsi"/>
        </w:rPr>
        <w:t>they</w:t>
      </w:r>
      <w:r>
        <w:rPr>
          <w:rFonts w:cstheme="minorHAnsi"/>
        </w:rPr>
        <w:t xml:space="preserve"> may look improve their </w:t>
      </w:r>
      <w:r w:rsidR="00CF11E0">
        <w:rPr>
          <w:rFonts w:cstheme="minorHAnsi"/>
        </w:rPr>
        <w:t>wellbeing</w:t>
      </w:r>
      <w:r>
        <w:rPr>
          <w:rFonts w:cstheme="minorHAnsi"/>
        </w:rPr>
        <w:t xml:space="preserve"> programme</w:t>
      </w:r>
      <w:r w:rsidR="00656345">
        <w:rPr>
          <w:rFonts w:cstheme="minorHAnsi"/>
        </w:rPr>
        <w:t xml:space="preserve">, which may come as a </w:t>
      </w:r>
      <w:r w:rsidR="00CF11E0">
        <w:rPr>
          <w:rFonts w:cstheme="minorHAnsi"/>
        </w:rPr>
        <w:t>cost,</w:t>
      </w:r>
      <w:r w:rsidR="00656345">
        <w:rPr>
          <w:rFonts w:cstheme="minorHAnsi"/>
        </w:rPr>
        <w:t xml:space="preserve"> but the data collected will help an organisation make a scientifically and professional business case for implementation.</w:t>
      </w:r>
    </w:p>
    <w:p w14:paraId="1C426619" w14:textId="18F207C9" w:rsidR="00D4530E" w:rsidRDefault="00D4530E" w:rsidP="00F70E0B">
      <w:pPr>
        <w:spacing w:after="0" w:line="240" w:lineRule="auto"/>
        <w:contextualSpacing/>
        <w:rPr>
          <w:rFonts w:cstheme="minorHAnsi"/>
        </w:rPr>
      </w:pPr>
    </w:p>
    <w:p w14:paraId="286F5603" w14:textId="2B9B36BE" w:rsidR="00656345" w:rsidRPr="00656345" w:rsidRDefault="00746546" w:rsidP="00F70E0B">
      <w:pPr>
        <w:spacing w:after="0" w:line="240" w:lineRule="auto"/>
        <w:contextualSpacing/>
        <w:rPr>
          <w:rFonts w:cstheme="minorHAnsi"/>
          <w:b/>
          <w:bCs/>
        </w:rPr>
      </w:pPr>
      <w:r w:rsidRPr="00746546">
        <w:rPr>
          <w:rFonts w:cstheme="minorHAnsi"/>
          <w:b/>
          <w:bCs/>
        </w:rPr>
        <w:t xml:space="preserve">Explain the importance of using data in organisations and why it is necessary to ensure that data is accurate when determining problems and issues. </w:t>
      </w:r>
      <w:r w:rsidR="00656345" w:rsidRPr="00656345">
        <w:rPr>
          <w:rFonts w:cstheme="minorHAnsi"/>
          <w:b/>
          <w:bCs/>
        </w:rPr>
        <w:t>(AC 1.2)</w:t>
      </w:r>
    </w:p>
    <w:p w14:paraId="2CD41102" w14:textId="7576DA10" w:rsidR="00270937" w:rsidRDefault="00A736AB" w:rsidP="00A736AB">
      <w:pPr>
        <w:spacing w:after="0" w:line="240" w:lineRule="auto"/>
        <w:contextualSpacing/>
        <w:rPr>
          <w:rFonts w:cstheme="minorHAnsi"/>
        </w:rPr>
      </w:pPr>
      <w:r>
        <w:rPr>
          <w:rFonts w:cstheme="minorHAnsi"/>
        </w:rPr>
        <w:t>It is important to use data in an organisation as it can be a guiding force for effective decision making, performance evaluation and for strategic planning</w:t>
      </w:r>
      <w:r w:rsidR="00270937">
        <w:rPr>
          <w:rFonts w:cstheme="minorHAnsi"/>
        </w:rPr>
        <w:t>. Businesses that</w:t>
      </w:r>
      <w:r w:rsidR="00F846E4">
        <w:rPr>
          <w:rFonts w:cstheme="minorHAnsi"/>
        </w:rPr>
        <w:t xml:space="preserve"> use data effectively, can </w:t>
      </w:r>
      <w:r w:rsidR="001D2EE0">
        <w:rPr>
          <w:rFonts w:cstheme="minorHAnsi"/>
        </w:rPr>
        <w:t>gain an</w:t>
      </w:r>
      <w:r w:rsidR="00F846E4">
        <w:rPr>
          <w:rFonts w:cstheme="minorHAnsi"/>
        </w:rPr>
        <w:t xml:space="preserve"> accurate insight into how they are performing and how their stakeholders feel. By using and understanding how to analyse the data collected, organisations can make better decisions about where they should focus their resources to improve. People analytics is a good </w:t>
      </w:r>
      <w:r w:rsidR="001D2EE0">
        <w:rPr>
          <w:rFonts w:cstheme="minorHAnsi"/>
        </w:rPr>
        <w:t xml:space="preserve">example of using data to improve. Using people analytic data, Financial Times discovered through their qualitative data that even though they have a high retention rate, their employees felt that their career growth was one of the areas they could improve on. Using this data, Financial Times implemented initiatives such as secondments and introduced job structures aimed at providing career path opportunities. The outcome of this was that their employee’s engagement scores have improved by 5%. </w:t>
      </w:r>
      <w:r w:rsidR="001D2EE0" w:rsidRPr="001D2EE0">
        <w:rPr>
          <w:rFonts w:cstheme="minorHAnsi"/>
          <w:i/>
          <w:iCs/>
        </w:rPr>
        <w:t xml:space="preserve">(CIPD | Financial Times, </w:t>
      </w:r>
      <w:proofErr w:type="spellStart"/>
      <w:r w:rsidR="001D2EE0" w:rsidRPr="001D2EE0">
        <w:rPr>
          <w:rFonts w:cstheme="minorHAnsi"/>
          <w:i/>
          <w:iCs/>
        </w:rPr>
        <w:t>nd</w:t>
      </w:r>
      <w:proofErr w:type="spellEnd"/>
      <w:r w:rsidR="001D2EE0" w:rsidRPr="001D2EE0">
        <w:rPr>
          <w:rFonts w:cstheme="minorHAnsi"/>
          <w:i/>
          <w:iCs/>
        </w:rPr>
        <w:t>)</w:t>
      </w:r>
    </w:p>
    <w:p w14:paraId="6204A8BD" w14:textId="5EE94081" w:rsidR="008A6D74" w:rsidRDefault="001D2EE0" w:rsidP="008A6D74">
      <w:pPr>
        <w:spacing w:after="0" w:line="240" w:lineRule="auto"/>
        <w:contextualSpacing/>
        <w:rPr>
          <w:rFonts w:cstheme="minorHAnsi"/>
        </w:rPr>
      </w:pPr>
      <w:r>
        <w:rPr>
          <w:rFonts w:cstheme="minorHAnsi"/>
        </w:rPr>
        <w:t>Ensuring that</w:t>
      </w:r>
      <w:r w:rsidR="00A736AB">
        <w:rPr>
          <w:rFonts w:cstheme="minorHAnsi"/>
        </w:rPr>
        <w:t xml:space="preserve"> data </w:t>
      </w:r>
      <w:r>
        <w:rPr>
          <w:rFonts w:cstheme="minorHAnsi"/>
        </w:rPr>
        <w:t xml:space="preserve">is accurate </w:t>
      </w:r>
      <w:r w:rsidR="00A736AB">
        <w:rPr>
          <w:rFonts w:cstheme="minorHAnsi"/>
        </w:rPr>
        <w:t xml:space="preserve">means that organisations can make decisions using evidence-based practices and enables an organisation to </w:t>
      </w:r>
      <w:r w:rsidR="00270937">
        <w:rPr>
          <w:rFonts w:cstheme="minorHAnsi"/>
        </w:rPr>
        <w:t>implement</w:t>
      </w:r>
      <w:r w:rsidR="00A736AB">
        <w:rPr>
          <w:rFonts w:cstheme="minorHAnsi"/>
        </w:rPr>
        <w:t xml:space="preserve"> effective problem-solving. </w:t>
      </w:r>
      <w:r w:rsidR="00893401">
        <w:rPr>
          <w:rFonts w:cstheme="minorHAnsi"/>
        </w:rPr>
        <w:t xml:space="preserve">Accurate data is essential for correctly identifying problems, which means that an efficient plan can be implemented to resolve them. An example would be when analysing </w:t>
      </w:r>
      <w:r w:rsidR="008A6D74">
        <w:rPr>
          <w:rFonts w:cstheme="minorHAnsi"/>
        </w:rPr>
        <w:t>departmental</w:t>
      </w:r>
      <w:r w:rsidR="00893401">
        <w:rPr>
          <w:rFonts w:cstheme="minorHAnsi"/>
        </w:rPr>
        <w:t xml:space="preserve"> performance, having accurate data gives the </w:t>
      </w:r>
      <w:r w:rsidR="008A6D74">
        <w:rPr>
          <w:rFonts w:cstheme="minorHAnsi"/>
        </w:rPr>
        <w:t>department</w:t>
      </w:r>
      <w:r w:rsidR="00893401">
        <w:rPr>
          <w:rFonts w:cstheme="minorHAnsi"/>
        </w:rPr>
        <w:t xml:space="preserve"> accountability, and an effective performance improvement plan can be implemented. </w:t>
      </w:r>
      <w:r w:rsidR="008A6D74">
        <w:rPr>
          <w:rFonts w:cstheme="minorHAnsi"/>
        </w:rPr>
        <w:t xml:space="preserve">If the data is inaccurate when addressing this, it can cause distrust and demotivation. </w:t>
      </w:r>
    </w:p>
    <w:p w14:paraId="364587E8" w14:textId="389089B6" w:rsidR="008A6D74" w:rsidRPr="008A6D74" w:rsidRDefault="008A6D74" w:rsidP="008A6D74">
      <w:pPr>
        <w:spacing w:after="0" w:line="240" w:lineRule="auto"/>
        <w:contextualSpacing/>
        <w:rPr>
          <w:rFonts w:cstheme="minorHAnsi"/>
          <w:i/>
          <w:iCs/>
        </w:rPr>
      </w:pPr>
      <w:r>
        <w:rPr>
          <w:rFonts w:cstheme="minorHAnsi"/>
        </w:rPr>
        <w:t xml:space="preserve">Inaccuracies in data can have legal implications, which can lead to legal repercussions, damaging the company culture and reputation. An example of this would be the Data Protection Act 2018. </w:t>
      </w:r>
      <w:r w:rsidRPr="008A6D74">
        <w:rPr>
          <w:rFonts w:cstheme="minorHAnsi"/>
          <w:i/>
          <w:iCs/>
        </w:rPr>
        <w:t>(UK Government, 2018)</w:t>
      </w:r>
    </w:p>
    <w:p w14:paraId="0552DFFB" w14:textId="77777777" w:rsidR="0063523B" w:rsidRDefault="0063523B" w:rsidP="00F70E0B">
      <w:pPr>
        <w:spacing w:after="0" w:line="240" w:lineRule="auto"/>
        <w:contextualSpacing/>
        <w:rPr>
          <w:rFonts w:cstheme="minorHAnsi"/>
        </w:rPr>
      </w:pPr>
    </w:p>
    <w:p w14:paraId="579A56F4" w14:textId="77777777" w:rsidR="008A6D74" w:rsidRDefault="008A6D74" w:rsidP="00F70E0B">
      <w:pPr>
        <w:spacing w:after="0" w:line="240" w:lineRule="auto"/>
        <w:contextualSpacing/>
        <w:rPr>
          <w:rFonts w:cstheme="minorHAnsi"/>
        </w:rPr>
      </w:pPr>
    </w:p>
    <w:p w14:paraId="396E1AD5" w14:textId="77777777" w:rsidR="008A6D74" w:rsidRDefault="008A6D74" w:rsidP="00F70E0B">
      <w:pPr>
        <w:spacing w:after="0" w:line="240" w:lineRule="auto"/>
        <w:contextualSpacing/>
        <w:rPr>
          <w:rFonts w:cstheme="minorHAnsi"/>
        </w:rPr>
      </w:pPr>
    </w:p>
    <w:p w14:paraId="673DE560" w14:textId="77777777" w:rsidR="008A6D74" w:rsidRDefault="008A6D74" w:rsidP="00F70E0B">
      <w:pPr>
        <w:spacing w:after="0" w:line="240" w:lineRule="auto"/>
        <w:contextualSpacing/>
        <w:rPr>
          <w:rFonts w:cstheme="minorHAnsi"/>
        </w:rPr>
      </w:pPr>
    </w:p>
    <w:p w14:paraId="1D7641F2" w14:textId="77777777" w:rsidR="008A6D74" w:rsidRDefault="008A6D74" w:rsidP="00F70E0B">
      <w:pPr>
        <w:spacing w:after="0" w:line="240" w:lineRule="auto"/>
        <w:contextualSpacing/>
        <w:rPr>
          <w:rFonts w:cstheme="minorHAnsi"/>
        </w:rPr>
      </w:pPr>
    </w:p>
    <w:p w14:paraId="3187B96E" w14:textId="77777777" w:rsidR="008A6D74" w:rsidRDefault="008A6D74" w:rsidP="00F70E0B">
      <w:pPr>
        <w:spacing w:after="0" w:line="240" w:lineRule="auto"/>
        <w:contextualSpacing/>
        <w:rPr>
          <w:rFonts w:cstheme="minorHAnsi"/>
        </w:rPr>
      </w:pPr>
    </w:p>
    <w:p w14:paraId="23D5F0CF" w14:textId="77777777" w:rsidR="00CF11E0" w:rsidRDefault="00CF11E0" w:rsidP="00F70E0B">
      <w:pPr>
        <w:spacing w:after="0" w:line="240" w:lineRule="auto"/>
        <w:contextualSpacing/>
        <w:rPr>
          <w:rFonts w:cstheme="minorHAnsi"/>
          <w:b/>
          <w:bCs/>
        </w:rPr>
      </w:pPr>
    </w:p>
    <w:p w14:paraId="04743BAB" w14:textId="7178597A" w:rsidR="00F70E0B" w:rsidRPr="00F70E0B" w:rsidRDefault="00746546" w:rsidP="00F70E0B">
      <w:pPr>
        <w:spacing w:after="0" w:line="240" w:lineRule="auto"/>
        <w:contextualSpacing/>
        <w:rPr>
          <w:rFonts w:cstheme="minorHAnsi"/>
          <w:b/>
          <w:bCs/>
        </w:rPr>
      </w:pPr>
      <w:r w:rsidRPr="00746546">
        <w:rPr>
          <w:rFonts w:cstheme="minorHAnsi"/>
          <w:b/>
          <w:bCs/>
        </w:rPr>
        <w:lastRenderedPageBreak/>
        <w:t xml:space="preserve">Explain the different types of data measurements used by people professionals. </w:t>
      </w:r>
      <w:r w:rsidR="00F70E0B" w:rsidRPr="00F70E0B">
        <w:rPr>
          <w:rFonts w:cstheme="minorHAnsi"/>
          <w:b/>
          <w:bCs/>
        </w:rPr>
        <w:t>(AC 1.3)</w:t>
      </w:r>
    </w:p>
    <w:p w14:paraId="7425E793" w14:textId="60044DD9" w:rsidR="00366801" w:rsidRDefault="00CF11E0" w:rsidP="00F70E0B">
      <w:pPr>
        <w:spacing w:after="0" w:line="240" w:lineRule="auto"/>
        <w:contextualSpacing/>
        <w:rPr>
          <w:rFonts w:cstheme="minorHAnsi"/>
        </w:rPr>
      </w:pPr>
      <w:r>
        <w:rPr>
          <w:rFonts w:cstheme="minorHAnsi"/>
        </w:rPr>
        <w:t>P</w:t>
      </w:r>
      <w:r w:rsidR="00366801">
        <w:rPr>
          <w:rFonts w:cstheme="minorHAnsi"/>
        </w:rPr>
        <w:t xml:space="preserve">eople professionals can use different types of data measurements when analysing data. If data you’re collecting can be expressed as </w:t>
      </w:r>
      <w:proofErr w:type="gramStart"/>
      <w:r w:rsidR="00366801">
        <w:rPr>
          <w:rFonts w:cstheme="minorHAnsi"/>
        </w:rPr>
        <w:t>an</w:t>
      </w:r>
      <w:proofErr w:type="gramEnd"/>
      <w:r w:rsidR="00366801">
        <w:rPr>
          <w:rFonts w:cstheme="minorHAnsi"/>
        </w:rPr>
        <w:t xml:space="preserve"> quantity or numerical amount, it can be </w:t>
      </w:r>
      <w:r w:rsidR="006F0747">
        <w:rPr>
          <w:rFonts w:cstheme="minorHAnsi"/>
        </w:rPr>
        <w:t>categorised</w:t>
      </w:r>
      <w:r w:rsidR="00366801">
        <w:rPr>
          <w:rFonts w:cstheme="minorHAnsi"/>
        </w:rPr>
        <w:t xml:space="preserve"> as </w:t>
      </w:r>
      <w:r w:rsidR="006F0747">
        <w:rPr>
          <w:rFonts w:cstheme="minorHAnsi"/>
        </w:rPr>
        <w:t>quantitative data. An example of using quantitative data, is if an organisation wants to calculate their organisation</w:t>
      </w:r>
      <w:r w:rsidR="008840A1">
        <w:rPr>
          <w:rFonts w:cstheme="minorHAnsi"/>
        </w:rPr>
        <w:t>’s</w:t>
      </w:r>
      <w:r w:rsidR="006F0747">
        <w:rPr>
          <w:rFonts w:cstheme="minorHAnsi"/>
        </w:rPr>
        <w:t xml:space="preserve"> diversity data, they can quantify the percentage of </w:t>
      </w:r>
      <w:r w:rsidR="008840A1">
        <w:rPr>
          <w:rFonts w:cstheme="minorHAnsi"/>
        </w:rPr>
        <w:t xml:space="preserve">different </w:t>
      </w:r>
      <w:r w:rsidR="006F0747">
        <w:rPr>
          <w:rFonts w:cstheme="minorHAnsi"/>
        </w:rPr>
        <w:t>genders in their organisation.</w:t>
      </w:r>
      <w:r w:rsidR="005656F8">
        <w:rPr>
          <w:rFonts w:cstheme="minorHAnsi"/>
        </w:rPr>
        <w:t xml:space="preserve"> (CIPD, 2022)</w:t>
      </w:r>
    </w:p>
    <w:p w14:paraId="013870F1" w14:textId="2F5BBD89" w:rsidR="00EE2A4B" w:rsidRDefault="006F0747" w:rsidP="00F70E0B">
      <w:pPr>
        <w:spacing w:after="0" w:line="240" w:lineRule="auto"/>
        <w:contextualSpacing/>
        <w:rPr>
          <w:rFonts w:cstheme="minorHAnsi"/>
        </w:rPr>
      </w:pPr>
      <w:r>
        <w:rPr>
          <w:rFonts w:cstheme="minorHAnsi"/>
        </w:rPr>
        <w:t>Alternatively, if a people professional is</w:t>
      </w:r>
      <w:r w:rsidR="00EE2A4B">
        <w:rPr>
          <w:rFonts w:cstheme="minorHAnsi"/>
        </w:rPr>
        <w:t xml:space="preserve"> t</w:t>
      </w:r>
      <w:r>
        <w:rPr>
          <w:rFonts w:cstheme="minorHAnsi"/>
        </w:rPr>
        <w:t>rying to</w:t>
      </w:r>
      <w:r w:rsidR="00EE2A4B">
        <w:rPr>
          <w:rFonts w:cstheme="minorHAnsi"/>
        </w:rPr>
        <w:t xml:space="preserve"> understand the beliefs and perceptions of how stakeholders feel, they can </w:t>
      </w:r>
      <w:r w:rsidR="00366801">
        <w:rPr>
          <w:rFonts w:cstheme="minorHAnsi"/>
        </w:rPr>
        <w:t xml:space="preserve">use </w:t>
      </w:r>
      <w:r w:rsidR="00EE2A4B">
        <w:rPr>
          <w:rFonts w:cstheme="minorHAnsi"/>
        </w:rPr>
        <w:t>a type of data measurement described as qualitative data.</w:t>
      </w:r>
      <w:r>
        <w:rPr>
          <w:rFonts w:cstheme="minorHAnsi"/>
        </w:rPr>
        <w:t xml:space="preserve"> Qualitative data is used day-to-day by people professionals, reviewing the data collected from employee exit interviews, to understand reasons for leaving. </w:t>
      </w:r>
      <w:r w:rsidR="005656F8">
        <w:rPr>
          <w:rFonts w:cstheme="minorHAnsi"/>
        </w:rPr>
        <w:t>Qualitative</w:t>
      </w:r>
      <w:r>
        <w:rPr>
          <w:rFonts w:cstheme="minorHAnsi"/>
        </w:rPr>
        <w:t xml:space="preserve"> data can be turned into </w:t>
      </w:r>
      <w:r w:rsidR="005656F8">
        <w:rPr>
          <w:rFonts w:cstheme="minorHAnsi"/>
        </w:rPr>
        <w:t>quantitative data – for example, when analysing exit interviews, you can quantify how many leavers have left an organisation, but also finding why an employee felt they have needed to leave. Using these data measurements together, people professionals can get more insight into how stakeholders are feeling with numbers to back up their findings</w:t>
      </w:r>
      <w:r w:rsidR="008840A1">
        <w:rPr>
          <w:rFonts w:cstheme="minorHAnsi"/>
        </w:rPr>
        <w:t>. An</w:t>
      </w:r>
      <w:r w:rsidR="005656F8">
        <w:rPr>
          <w:rFonts w:cstheme="minorHAnsi"/>
        </w:rPr>
        <w:t xml:space="preserve"> organisation can </w:t>
      </w:r>
      <w:r w:rsidR="008840A1">
        <w:rPr>
          <w:rFonts w:cstheme="minorHAnsi"/>
        </w:rPr>
        <w:t xml:space="preserve">then </w:t>
      </w:r>
      <w:r w:rsidR="005656F8">
        <w:rPr>
          <w:rFonts w:cstheme="minorHAnsi"/>
        </w:rPr>
        <w:t xml:space="preserve">act on their findings. For example, if the </w:t>
      </w:r>
      <w:r w:rsidR="008840A1">
        <w:rPr>
          <w:rFonts w:cstheme="minorHAnsi"/>
        </w:rPr>
        <w:t xml:space="preserve">quantitative data is showing they have a high absence rate, they may look to create an employee survey to understand how staff are feeling. By giving the employees a voice, they can then take positive action on the results, </w:t>
      </w:r>
      <w:r w:rsidR="00CF11E0">
        <w:rPr>
          <w:rFonts w:cstheme="minorHAnsi"/>
        </w:rPr>
        <w:t>potentially</w:t>
      </w:r>
      <w:r w:rsidR="008840A1">
        <w:rPr>
          <w:rFonts w:cstheme="minorHAnsi"/>
        </w:rPr>
        <w:t xml:space="preserve"> introducing a new wellbeing plan if the qualitative data shows that a lot of their employees are finding work stressful.</w:t>
      </w:r>
    </w:p>
    <w:p w14:paraId="2F632E4C" w14:textId="77777777" w:rsidR="005F5C57" w:rsidRDefault="005F5C57" w:rsidP="00F70E0B">
      <w:pPr>
        <w:spacing w:after="0" w:line="240" w:lineRule="auto"/>
        <w:contextualSpacing/>
        <w:rPr>
          <w:rFonts w:cstheme="minorHAnsi"/>
        </w:rPr>
      </w:pPr>
    </w:p>
    <w:p w14:paraId="774A17AF" w14:textId="6DB19090" w:rsidR="00267B6F" w:rsidRPr="00267B6F" w:rsidRDefault="00746546" w:rsidP="00267B6F">
      <w:pPr>
        <w:pStyle w:val="NoSpacing"/>
        <w:rPr>
          <w:b/>
          <w:bCs/>
        </w:rPr>
      </w:pPr>
      <w:r w:rsidRPr="00746546">
        <w:rPr>
          <w:b/>
          <w:bCs/>
        </w:rPr>
        <w:t xml:space="preserve">Explain how the application of agreed policies and procedures informs decisions. </w:t>
      </w:r>
      <w:r w:rsidR="00F70E0B" w:rsidRPr="00267B6F">
        <w:rPr>
          <w:b/>
          <w:bCs/>
        </w:rPr>
        <w:t>(AC 1.6)</w:t>
      </w:r>
    </w:p>
    <w:p w14:paraId="133A7EB7" w14:textId="4F9F9CCE" w:rsidR="003918BF" w:rsidRDefault="008840A1" w:rsidP="00693F1C">
      <w:pPr>
        <w:pStyle w:val="NoSpacing"/>
        <w:rPr>
          <w:shd w:val="clear" w:color="auto" w:fill="FFFFFF"/>
        </w:rPr>
      </w:pPr>
      <w:r w:rsidRPr="00267B6F">
        <w:t xml:space="preserve">Policy and procedures set out </w:t>
      </w:r>
      <w:r w:rsidR="004B120E" w:rsidRPr="00267B6F">
        <w:t>the rules</w:t>
      </w:r>
      <w:r w:rsidR="00D075D9">
        <w:t xml:space="preserve"> and</w:t>
      </w:r>
      <w:r w:rsidR="004B120E" w:rsidRPr="00267B6F">
        <w:t xml:space="preserve"> </w:t>
      </w:r>
      <w:r w:rsidR="00267B6F" w:rsidRPr="00267B6F">
        <w:t>processes</w:t>
      </w:r>
      <w:r w:rsidR="004B120E" w:rsidRPr="00267B6F">
        <w:t xml:space="preserve"> to be followed in an organisation. Policies and procedures are established to </w:t>
      </w:r>
      <w:r w:rsidR="00496736" w:rsidRPr="00267B6F">
        <w:t>give clear guidelines,</w:t>
      </w:r>
      <w:r w:rsidR="00267B6F" w:rsidRPr="00267B6F">
        <w:t xml:space="preserve"> with the aim to</w:t>
      </w:r>
      <w:r w:rsidR="00496736" w:rsidRPr="00267B6F">
        <w:t xml:space="preserve"> provide consistent and effective decision making. </w:t>
      </w:r>
      <w:r w:rsidR="00CF11E0">
        <w:t>These policies</w:t>
      </w:r>
      <w:r w:rsidR="00496736" w:rsidRPr="00267B6F">
        <w:t xml:space="preserve"> should </w:t>
      </w:r>
      <w:r w:rsidR="00CF11E0">
        <w:t>collaborate</w:t>
      </w:r>
      <w:r w:rsidR="00496736" w:rsidRPr="00267B6F">
        <w:t xml:space="preserve"> with the business key performance indicators, whilst also outlining the </w:t>
      </w:r>
      <w:r w:rsidR="00267B6F" w:rsidRPr="00267B6F">
        <w:t>companies’</w:t>
      </w:r>
      <w:r w:rsidR="00496736" w:rsidRPr="00267B6F">
        <w:t xml:space="preserve"> expectations and standards, and ensuring compliance with </w:t>
      </w:r>
      <w:r w:rsidR="00267B6F" w:rsidRPr="00267B6F">
        <w:t xml:space="preserve">legislation. </w:t>
      </w:r>
      <w:r w:rsidR="00267B6F" w:rsidRPr="00267B6F">
        <w:rPr>
          <w:shd w:val="clear" w:color="auto" w:fill="FFFFFF"/>
        </w:rPr>
        <w:t>(Waite </w:t>
      </w:r>
      <w:r w:rsidR="00267B6F" w:rsidRPr="00267B6F">
        <w:rPr>
          <w:i/>
          <w:iCs/>
          <w:shd w:val="clear" w:color="auto" w:fill="FFFFFF"/>
        </w:rPr>
        <w:t>et al.</w:t>
      </w:r>
      <w:r w:rsidR="00267B6F" w:rsidRPr="00267B6F">
        <w:rPr>
          <w:shd w:val="clear" w:color="auto" w:fill="FFFFFF"/>
        </w:rPr>
        <w:t>, 2021)</w:t>
      </w:r>
    </w:p>
    <w:p w14:paraId="21D23943" w14:textId="0D4F51D0" w:rsidR="008A2D92" w:rsidRDefault="003918BF" w:rsidP="00693F1C">
      <w:pPr>
        <w:pStyle w:val="NoSpacing"/>
        <w:rPr>
          <w:shd w:val="clear" w:color="auto" w:fill="FFFFFF"/>
        </w:rPr>
      </w:pPr>
      <w:r>
        <w:rPr>
          <w:shd w:val="clear" w:color="auto" w:fill="FFFFFF"/>
        </w:rPr>
        <w:t xml:space="preserve">When developing and applying policies and procedures, the policies need to </w:t>
      </w:r>
      <w:r w:rsidR="005D7A41">
        <w:rPr>
          <w:shd w:val="clear" w:color="auto" w:fill="FFFFFF"/>
        </w:rPr>
        <w:t>create standards, outline an organisation</w:t>
      </w:r>
      <w:r w:rsidR="003D188B">
        <w:rPr>
          <w:shd w:val="clear" w:color="auto" w:fill="FFFFFF"/>
        </w:rPr>
        <w:t>’</w:t>
      </w:r>
      <w:r w:rsidR="005D7A41">
        <w:rPr>
          <w:shd w:val="clear" w:color="auto" w:fill="FFFFFF"/>
        </w:rPr>
        <w:t xml:space="preserve">s </w:t>
      </w:r>
      <w:r w:rsidR="00693F1C">
        <w:rPr>
          <w:shd w:val="clear" w:color="auto" w:fill="FFFFFF"/>
        </w:rPr>
        <w:t>procedures,</w:t>
      </w:r>
      <w:r w:rsidR="005D7A41">
        <w:rPr>
          <w:shd w:val="clear" w:color="auto" w:fill="FFFFFF"/>
        </w:rPr>
        <w:t xml:space="preserve"> and show the actions to be followed if these procedures are not met. An example of a good policy and procedure is a companies’ attendance and absence reporting policy, which should outline how an employee should report </w:t>
      </w:r>
      <w:r w:rsidR="00CF11E0">
        <w:rPr>
          <w:shd w:val="clear" w:color="auto" w:fill="FFFFFF"/>
        </w:rPr>
        <w:t>absences</w:t>
      </w:r>
      <w:r w:rsidR="005D7A41">
        <w:rPr>
          <w:shd w:val="clear" w:color="auto" w:fill="FFFFFF"/>
        </w:rPr>
        <w:t xml:space="preserve">, and </w:t>
      </w:r>
      <w:r w:rsidR="00CF11E0">
        <w:rPr>
          <w:shd w:val="clear" w:color="auto" w:fill="FFFFFF"/>
        </w:rPr>
        <w:t>when disciplinary action is needed</w:t>
      </w:r>
      <w:r w:rsidR="005D7A41">
        <w:rPr>
          <w:shd w:val="clear" w:color="auto" w:fill="FFFFFF"/>
        </w:rPr>
        <w:t>. For example, at Bluestone their absence policy is if an employee is not able to attend work, they must call the business absence line. If an employee is absent for 2 periods within a 12-week period or has 10 days absent within a 12-month period, they are classed as an irregular attendee and can be escalated to a disciplinary.</w:t>
      </w:r>
    </w:p>
    <w:p w14:paraId="378C7BED" w14:textId="59CCD2FE" w:rsidR="00D075D9" w:rsidRDefault="00D075D9" w:rsidP="00693F1C">
      <w:pPr>
        <w:pStyle w:val="NoSpacing"/>
        <w:rPr>
          <w:shd w:val="clear" w:color="auto" w:fill="FFFFFF"/>
        </w:rPr>
      </w:pPr>
      <w:r>
        <w:rPr>
          <w:shd w:val="clear" w:color="auto" w:fill="FFFFFF"/>
        </w:rPr>
        <w:t>Some policy and procedures are legal policies, which businesses must adhere to. An example of a legal policy is the health and safety at work act 1974. This policy sets out the main duties of an employer and an employee</w:t>
      </w:r>
      <w:r w:rsidR="008A2D92">
        <w:rPr>
          <w:shd w:val="clear" w:color="auto" w:fill="FFFFFF"/>
        </w:rPr>
        <w:t xml:space="preserve"> to be compliant with health and safety legislation</w:t>
      </w:r>
      <w:r>
        <w:rPr>
          <w:shd w:val="clear" w:color="auto" w:fill="FFFFFF"/>
        </w:rPr>
        <w:t xml:space="preserve">. If an organisation fails to adhere to this policy, they can be penalised through legal action. </w:t>
      </w:r>
    </w:p>
    <w:p w14:paraId="3F63800D" w14:textId="6C828071" w:rsidR="00D075D9" w:rsidRDefault="00D075D9" w:rsidP="00693F1C">
      <w:pPr>
        <w:pStyle w:val="NoSpacing"/>
        <w:rPr>
          <w:shd w:val="clear" w:color="auto" w:fill="FFFFFF"/>
        </w:rPr>
      </w:pPr>
      <w:r>
        <w:rPr>
          <w:shd w:val="clear" w:color="auto" w:fill="FFFFFF"/>
        </w:rPr>
        <w:t>Policies and procedures need to be reviewed on a regular basis. As businesses and legislations change, their policies need to be updated. These changes need to be communicated out to internal stakeholders, to ensure compliance.</w:t>
      </w:r>
    </w:p>
    <w:p w14:paraId="70C4FD33" w14:textId="0B8BC88F" w:rsidR="00693F1C" w:rsidRPr="00693F1C" w:rsidRDefault="00693F1C" w:rsidP="00693F1C">
      <w:pPr>
        <w:pStyle w:val="NoSpacing"/>
        <w:rPr>
          <w:rFonts w:cstheme="minorHAnsi"/>
        </w:rPr>
      </w:pPr>
      <w:r>
        <w:rPr>
          <w:rFonts w:cstheme="minorHAnsi"/>
        </w:rPr>
        <w:t xml:space="preserve">Having well designed policies can have a positive impact on an organisation. If an organisation has a well-designed onboarding policy, which outlines recruitment requirements, induction and learning and development opportunities – it can create an effective workforce, whilst also having a positive impact on new employees who feel </w:t>
      </w:r>
      <w:r w:rsidR="00CF11E0">
        <w:rPr>
          <w:rFonts w:cstheme="minorHAnsi"/>
        </w:rPr>
        <w:t>valued</w:t>
      </w:r>
      <w:r>
        <w:rPr>
          <w:rFonts w:cstheme="minorHAnsi"/>
        </w:rPr>
        <w:t xml:space="preserve">. Alternatively, having poorly designed policies and procedures which do not collaborate with organisations goals or legal requirements can have a negative impact on a business. For example, if a policy does not have the correct right to work in the UK legislation, which is outlined in employment law – managers may not know the </w:t>
      </w:r>
      <w:r w:rsidR="00746546">
        <w:rPr>
          <w:rFonts w:cstheme="minorHAnsi"/>
        </w:rPr>
        <w:t>legal requirements</w:t>
      </w:r>
      <w:r>
        <w:rPr>
          <w:rFonts w:cstheme="minorHAnsi"/>
        </w:rPr>
        <w:t xml:space="preserve">, causing potential legal action against the company which may result in monetary loss and </w:t>
      </w:r>
      <w:r w:rsidR="00746546">
        <w:rPr>
          <w:rFonts w:cstheme="minorHAnsi"/>
        </w:rPr>
        <w:t>reputational damage</w:t>
      </w:r>
      <w:r>
        <w:rPr>
          <w:rFonts w:cstheme="minorHAnsi"/>
        </w:rPr>
        <w:t>. (Daniels, 2019)</w:t>
      </w:r>
    </w:p>
    <w:p w14:paraId="220890C3" w14:textId="00D9C36E" w:rsidR="00693F1C" w:rsidRDefault="00693F1C" w:rsidP="00693F1C">
      <w:pPr>
        <w:pStyle w:val="NoSpacing"/>
        <w:rPr>
          <w:rFonts w:cstheme="minorHAnsi"/>
        </w:rPr>
      </w:pPr>
      <w:r>
        <w:rPr>
          <w:rFonts w:cstheme="minorHAnsi"/>
        </w:rPr>
        <w:t>In summary, t</w:t>
      </w:r>
      <w:r w:rsidR="003918BF">
        <w:rPr>
          <w:rFonts w:cstheme="minorHAnsi"/>
        </w:rPr>
        <w:t xml:space="preserve">he application of agreed policies and procedures informs decisions by creating standards. These standards promote </w:t>
      </w:r>
      <w:r w:rsidR="00D075D9">
        <w:rPr>
          <w:rFonts w:cstheme="minorHAnsi"/>
        </w:rPr>
        <w:t xml:space="preserve">accountability, </w:t>
      </w:r>
      <w:r w:rsidR="003918BF">
        <w:rPr>
          <w:rFonts w:cstheme="minorHAnsi"/>
        </w:rPr>
        <w:t xml:space="preserve">consistency, compliance, and continuous </w:t>
      </w:r>
      <w:r w:rsidR="003918BF">
        <w:rPr>
          <w:rFonts w:cstheme="minorHAnsi"/>
        </w:rPr>
        <w:lastRenderedPageBreak/>
        <w:t>improvement. Effective policies and procedures collaborate with the business goals and key performance indicators, which in turn will contribute to the overall success of an organisation.</w:t>
      </w:r>
    </w:p>
    <w:p w14:paraId="52D24A37" w14:textId="6CF37CD4" w:rsidR="00516CDB" w:rsidRDefault="00516CDB" w:rsidP="00693F1C">
      <w:pPr>
        <w:pStyle w:val="NoSpacing"/>
        <w:rPr>
          <w:rFonts w:cstheme="minorHAnsi"/>
        </w:rPr>
      </w:pPr>
      <w:r>
        <w:rPr>
          <w:rFonts w:cstheme="minorHAnsi"/>
        </w:rPr>
        <w:t xml:space="preserve">The CIPD’s professional map </w:t>
      </w:r>
      <w:r w:rsidR="00233A90">
        <w:rPr>
          <w:rFonts w:cstheme="minorHAnsi"/>
        </w:rPr>
        <w:t xml:space="preserve">can assist with the </w:t>
      </w:r>
      <w:r w:rsidR="000F6164">
        <w:rPr>
          <w:rFonts w:cstheme="minorHAnsi"/>
        </w:rPr>
        <w:t xml:space="preserve">creation and implementation of organisational policy and procedures, using the model to </w:t>
      </w:r>
      <w:r w:rsidR="00FE4922">
        <w:rPr>
          <w:rFonts w:cstheme="minorHAnsi"/>
        </w:rPr>
        <w:t xml:space="preserve">promote ethical practices. </w:t>
      </w:r>
      <w:r w:rsidR="00AF33DC" w:rsidRPr="00AF33DC">
        <w:rPr>
          <w:rFonts w:cstheme="minorHAnsi"/>
          <w:shd w:val="clear" w:color="auto" w:fill="FFFFFF"/>
        </w:rPr>
        <w:t>(</w:t>
      </w:r>
      <w:r w:rsidR="00AF33DC" w:rsidRPr="00AF33DC">
        <w:rPr>
          <w:rFonts w:cstheme="minorHAnsi"/>
          <w:i/>
          <w:iCs/>
          <w:shd w:val="clear" w:color="auto" w:fill="FFFFFF"/>
        </w:rPr>
        <w:t>CIPD | How to use the Profession Map</w:t>
      </w:r>
      <w:r w:rsidR="00AF33DC" w:rsidRPr="00AF33DC">
        <w:rPr>
          <w:rFonts w:cstheme="minorHAnsi"/>
          <w:shd w:val="clear" w:color="auto" w:fill="FFFFFF"/>
        </w:rPr>
        <w:t>, no date)</w:t>
      </w:r>
    </w:p>
    <w:p w14:paraId="515B5166" w14:textId="77777777" w:rsidR="00FE4922" w:rsidRDefault="00FE4922" w:rsidP="00D075D9">
      <w:pPr>
        <w:pStyle w:val="NoSpacing"/>
        <w:rPr>
          <w:b/>
          <w:bCs/>
        </w:rPr>
      </w:pPr>
    </w:p>
    <w:p w14:paraId="58343BDE" w14:textId="17DD5669" w:rsidR="00D075D9" w:rsidRPr="00D075D9" w:rsidRDefault="00746546" w:rsidP="00D075D9">
      <w:pPr>
        <w:pStyle w:val="NoSpacing"/>
        <w:rPr>
          <w:b/>
          <w:bCs/>
        </w:rPr>
      </w:pPr>
      <w:r w:rsidRPr="00746546">
        <w:rPr>
          <w:b/>
          <w:bCs/>
        </w:rPr>
        <w:t xml:space="preserve">Explain how people professionals create value for people, </w:t>
      </w:r>
      <w:proofErr w:type="gramStart"/>
      <w:r w:rsidRPr="00746546">
        <w:rPr>
          <w:b/>
          <w:bCs/>
        </w:rPr>
        <w:t>organisations</w:t>
      </w:r>
      <w:proofErr w:type="gramEnd"/>
      <w:r w:rsidRPr="00746546">
        <w:rPr>
          <w:b/>
          <w:bCs/>
        </w:rPr>
        <w:t xml:space="preserve"> and wider stakeholders. </w:t>
      </w:r>
      <w:r w:rsidR="00F70E0B" w:rsidRPr="00D075D9">
        <w:rPr>
          <w:b/>
          <w:bCs/>
        </w:rPr>
        <w:t>(AC 2.1)</w:t>
      </w:r>
      <w:r w:rsidR="008840A1" w:rsidRPr="00D075D9">
        <w:rPr>
          <w:b/>
          <w:bCs/>
        </w:rPr>
        <w:tab/>
      </w:r>
    </w:p>
    <w:p w14:paraId="0B8BF3C4" w14:textId="0C99DFAF" w:rsidR="00F70E0B" w:rsidRDefault="00C02A46" w:rsidP="00D075D9">
      <w:pPr>
        <w:pStyle w:val="NoSpacing"/>
      </w:pPr>
      <w:r>
        <w:t xml:space="preserve">People professions </w:t>
      </w:r>
      <w:r w:rsidR="002C5F8A">
        <w:t xml:space="preserve">contribute </w:t>
      </w:r>
      <w:r w:rsidR="00373C08">
        <w:t>valued to an organisation</w:t>
      </w:r>
      <w:r w:rsidR="002C5F8A">
        <w:t xml:space="preserve">, by </w:t>
      </w:r>
      <w:r w:rsidR="00373C08">
        <w:t xml:space="preserve">developing the structural capital and human capital of an organisation. Structural capital is the development of systems which an organisation uses, focusing on the procedures and processes that contribute to the implementation of organisational objectives, whereas human capital focuses on the development of </w:t>
      </w:r>
      <w:r w:rsidR="00023BB5">
        <w:t>people, analysing their</w:t>
      </w:r>
      <w:r w:rsidR="00373C08">
        <w:t xml:space="preserve"> skills</w:t>
      </w:r>
      <w:r w:rsidR="00023BB5">
        <w:t xml:space="preserve">, </w:t>
      </w:r>
      <w:proofErr w:type="gramStart"/>
      <w:r w:rsidR="00023BB5">
        <w:t>abilities</w:t>
      </w:r>
      <w:proofErr w:type="gramEnd"/>
      <w:r w:rsidR="00023BB5">
        <w:t xml:space="preserve"> and wellbeing of employees</w:t>
      </w:r>
      <w:r w:rsidR="00373C08">
        <w:t xml:space="preserve"> within an organisation.</w:t>
      </w:r>
    </w:p>
    <w:p w14:paraId="0742C1D4" w14:textId="58C67B3B" w:rsidR="006D0871" w:rsidRPr="00693F1C" w:rsidRDefault="001B2EB9" w:rsidP="006D0871">
      <w:pPr>
        <w:pStyle w:val="NoSpacing"/>
        <w:rPr>
          <w:rFonts w:cstheme="minorHAnsi"/>
        </w:rPr>
      </w:pPr>
      <w:r>
        <w:t xml:space="preserve">The employee lifecycle demonstrates there are six stages of which an employee may go through during their time in an organisation, and people professionals play a </w:t>
      </w:r>
      <w:r w:rsidR="00B10830">
        <w:t>valuable role</w:t>
      </w:r>
      <w:r>
        <w:t xml:space="preserve"> in how an employee will experience each stage. The six stages are, attraction, </w:t>
      </w:r>
      <w:r w:rsidR="006D0871">
        <w:t xml:space="preserve">recruitment and selection, onboarding, development, </w:t>
      </w:r>
      <w:proofErr w:type="gramStart"/>
      <w:r w:rsidR="006D0871">
        <w:t>retention</w:t>
      </w:r>
      <w:proofErr w:type="gramEnd"/>
      <w:r w:rsidR="006D0871">
        <w:t xml:space="preserve"> and separation. </w:t>
      </w:r>
      <w:r w:rsidR="006D0871" w:rsidRPr="00693F1C">
        <w:rPr>
          <w:rFonts w:cstheme="minorHAnsi"/>
          <w:shd w:val="clear" w:color="auto" w:fill="FFFFFF"/>
        </w:rPr>
        <w:t>(Waite </w:t>
      </w:r>
      <w:r w:rsidR="006D0871" w:rsidRPr="00693F1C">
        <w:rPr>
          <w:rFonts w:cstheme="minorHAnsi"/>
          <w:i/>
          <w:iCs/>
          <w:shd w:val="clear" w:color="auto" w:fill="FFFFFF"/>
        </w:rPr>
        <w:t>et al.</w:t>
      </w:r>
      <w:r w:rsidR="006D0871" w:rsidRPr="00693F1C">
        <w:rPr>
          <w:rFonts w:cstheme="minorHAnsi"/>
          <w:shd w:val="clear" w:color="auto" w:fill="FFFFFF"/>
        </w:rPr>
        <w:t>, 2021)</w:t>
      </w:r>
    </w:p>
    <w:p w14:paraId="656C8371" w14:textId="6F459B86" w:rsidR="00A333AE" w:rsidRDefault="006D0871" w:rsidP="00D075D9">
      <w:pPr>
        <w:pStyle w:val="NoSpacing"/>
      </w:pPr>
      <w:r>
        <w:t xml:space="preserve">By being involved in the organisation’s creation of key performance indicators and organisational values, people professionals can then implement an effective plan regarding </w:t>
      </w:r>
      <w:r>
        <w:t>talent acquisition</w:t>
      </w:r>
      <w:r>
        <w:t>, recruiting employees that fit the organisation’s goals an</w:t>
      </w:r>
      <w:r>
        <w:t xml:space="preserve">d who will add value to an organisation. It is important that each employee has a positive experience in the onboarding stage, </w:t>
      </w:r>
      <w:r w:rsidR="00B10830">
        <w:t>with</w:t>
      </w:r>
      <w:r>
        <w:t xml:space="preserve"> each employee be</w:t>
      </w:r>
      <w:r w:rsidR="00B10830">
        <w:t>ing</w:t>
      </w:r>
      <w:r>
        <w:t xml:space="preserve"> taught about the company values, and what is expected from an individual working for the organisation. At Bluestone, each new employee’s first day must be on a day that is designated to a company induction. During this induction, it covers what are the aims of the business, the company </w:t>
      </w:r>
      <w:proofErr w:type="gramStart"/>
      <w:r>
        <w:t>values</w:t>
      </w:r>
      <w:proofErr w:type="gramEnd"/>
      <w:r>
        <w:t xml:space="preserve"> and the importance of following the “Bluestone Way”. This makes an employee aware of expectations from the start, and failure to adhere to these expectations is going away from the </w:t>
      </w:r>
      <w:r w:rsidR="00D54ECC">
        <w:t>company values</w:t>
      </w:r>
      <w:r>
        <w:t xml:space="preserve">. This is important when monitoring employee performance, as it establishes performance goals which align with organisational objectives. </w:t>
      </w:r>
    </w:p>
    <w:p w14:paraId="10C3249B" w14:textId="295FFD97" w:rsidR="00373C08" w:rsidRPr="00373C08" w:rsidRDefault="00B10830" w:rsidP="00D075D9">
      <w:pPr>
        <w:pStyle w:val="NoSpacing"/>
        <w:rPr>
          <w:i/>
          <w:iCs/>
        </w:rPr>
      </w:pPr>
      <w:r>
        <w:t>When developing learning and development strategies, people professionals can add value to the organisation by cultivating them around business needs. By upskilling stakeholders to business needs, it not only helps the organisation gain skills within the organisation for their benefit, but also makes an employee feel valued and invested in, which creates a positive working environment</w:t>
      </w:r>
      <w:r w:rsidR="00D54ECC">
        <w:t xml:space="preserve"> and an increase in productivity</w:t>
      </w:r>
      <w:r>
        <w:t>.</w:t>
      </w:r>
      <w:r w:rsidR="00D54ECC">
        <w:t xml:space="preserve"> </w:t>
      </w:r>
      <w:r w:rsidR="00D54ECC" w:rsidRPr="00D54ECC">
        <w:rPr>
          <w:i/>
          <w:iCs/>
        </w:rPr>
        <w:t>(Cattermole, 2019)</w:t>
      </w:r>
    </w:p>
    <w:p w14:paraId="6A932E5E" w14:textId="658A5D23" w:rsidR="00D54ECC" w:rsidRDefault="00B10830" w:rsidP="00D075D9">
      <w:pPr>
        <w:pStyle w:val="NoSpacing"/>
      </w:pPr>
      <w:r>
        <w:t xml:space="preserve">Another way aspect that people professionals add value, is when developing policies and procedures. They need to align them with an </w:t>
      </w:r>
      <w:r w:rsidR="00D54ECC">
        <w:t>organisation’s</w:t>
      </w:r>
      <w:r>
        <w:t xml:space="preserve"> values, but also </w:t>
      </w:r>
      <w:r w:rsidR="00D54ECC">
        <w:t>being compliant with governmental policies. If these are not aligned, a company may find themselves with legal repercussions. An example of this would be having the correct right to work documents. Failure to capture these during the recruitment stage, would make an organisation non-compliant with employment laws.</w:t>
      </w:r>
    </w:p>
    <w:p w14:paraId="1AA20852" w14:textId="77777777" w:rsidR="00B94400" w:rsidRDefault="00B94400" w:rsidP="00C02A46">
      <w:pPr>
        <w:pStyle w:val="NoSpacing"/>
        <w:rPr>
          <w:rFonts w:cstheme="minorHAnsi"/>
          <w:b/>
          <w:bCs/>
        </w:rPr>
      </w:pPr>
    </w:p>
    <w:p w14:paraId="46E68E95" w14:textId="77777777" w:rsidR="00746546" w:rsidRDefault="00746546" w:rsidP="00C02A46">
      <w:pPr>
        <w:pStyle w:val="NoSpacing"/>
        <w:rPr>
          <w:rFonts w:cstheme="minorHAnsi"/>
          <w:b/>
          <w:bCs/>
        </w:rPr>
      </w:pPr>
    </w:p>
    <w:p w14:paraId="064E9291" w14:textId="77777777" w:rsidR="00746546" w:rsidRDefault="00746546" w:rsidP="00C02A46">
      <w:pPr>
        <w:pStyle w:val="NoSpacing"/>
        <w:rPr>
          <w:rFonts w:cstheme="minorHAnsi"/>
          <w:b/>
          <w:bCs/>
        </w:rPr>
      </w:pPr>
    </w:p>
    <w:p w14:paraId="77C4D1EE" w14:textId="77777777" w:rsidR="00746546" w:rsidRDefault="00746546" w:rsidP="00C02A46">
      <w:pPr>
        <w:pStyle w:val="NoSpacing"/>
        <w:rPr>
          <w:rFonts w:cstheme="minorHAnsi"/>
          <w:b/>
          <w:bCs/>
        </w:rPr>
      </w:pPr>
    </w:p>
    <w:p w14:paraId="7A9A954D" w14:textId="77777777" w:rsidR="00746546" w:rsidRDefault="00746546" w:rsidP="00C02A46">
      <w:pPr>
        <w:pStyle w:val="NoSpacing"/>
        <w:rPr>
          <w:rFonts w:cstheme="minorHAnsi"/>
          <w:b/>
          <w:bCs/>
        </w:rPr>
      </w:pPr>
    </w:p>
    <w:p w14:paraId="2210FAC1" w14:textId="77777777" w:rsidR="00746546" w:rsidRDefault="00746546" w:rsidP="00C02A46">
      <w:pPr>
        <w:pStyle w:val="NoSpacing"/>
        <w:rPr>
          <w:rFonts w:cstheme="minorHAnsi"/>
          <w:b/>
          <w:bCs/>
        </w:rPr>
      </w:pPr>
    </w:p>
    <w:p w14:paraId="77EFFAED" w14:textId="77777777" w:rsidR="00746546" w:rsidRDefault="00746546" w:rsidP="00C02A46">
      <w:pPr>
        <w:pStyle w:val="NoSpacing"/>
        <w:rPr>
          <w:rFonts w:cstheme="minorHAnsi"/>
          <w:b/>
          <w:bCs/>
        </w:rPr>
      </w:pPr>
    </w:p>
    <w:p w14:paraId="09EF207A" w14:textId="77777777" w:rsidR="00746546" w:rsidRDefault="00746546" w:rsidP="00C02A46">
      <w:pPr>
        <w:pStyle w:val="NoSpacing"/>
        <w:rPr>
          <w:rFonts w:cstheme="minorHAnsi"/>
          <w:b/>
          <w:bCs/>
        </w:rPr>
      </w:pPr>
    </w:p>
    <w:p w14:paraId="43E9AB7C" w14:textId="77777777" w:rsidR="00746546" w:rsidRDefault="00746546" w:rsidP="00C02A46">
      <w:pPr>
        <w:pStyle w:val="NoSpacing"/>
        <w:rPr>
          <w:rFonts w:cstheme="minorHAnsi"/>
          <w:b/>
          <w:bCs/>
        </w:rPr>
      </w:pPr>
    </w:p>
    <w:p w14:paraId="07CCCFDC" w14:textId="77777777" w:rsidR="00746546" w:rsidRDefault="00746546" w:rsidP="00C02A46">
      <w:pPr>
        <w:pStyle w:val="NoSpacing"/>
        <w:rPr>
          <w:rFonts w:cstheme="minorHAnsi"/>
          <w:b/>
          <w:bCs/>
        </w:rPr>
      </w:pPr>
    </w:p>
    <w:p w14:paraId="08ADF59C" w14:textId="77777777" w:rsidR="00746546" w:rsidRDefault="00746546" w:rsidP="00C02A46">
      <w:pPr>
        <w:pStyle w:val="NoSpacing"/>
        <w:rPr>
          <w:rFonts w:cstheme="minorHAnsi"/>
          <w:b/>
          <w:bCs/>
        </w:rPr>
      </w:pPr>
    </w:p>
    <w:p w14:paraId="25F1C79D" w14:textId="21D5E9D0" w:rsidR="00023BB5" w:rsidRDefault="00746546" w:rsidP="00C02A46">
      <w:pPr>
        <w:pStyle w:val="NoSpacing"/>
        <w:rPr>
          <w:rFonts w:cstheme="minorHAnsi"/>
          <w:b/>
          <w:bCs/>
        </w:rPr>
      </w:pPr>
      <w:r w:rsidRPr="00746546">
        <w:rPr>
          <w:rFonts w:cstheme="minorHAnsi"/>
          <w:b/>
          <w:bCs/>
        </w:rPr>
        <w:lastRenderedPageBreak/>
        <w:t xml:space="preserve">Summarise the ways in which you can be customer-focused, and standards-driven in your own context. </w:t>
      </w:r>
      <w:r w:rsidR="00F70E0B" w:rsidRPr="00F70E0B">
        <w:rPr>
          <w:rFonts w:cstheme="minorHAnsi"/>
          <w:b/>
          <w:bCs/>
        </w:rPr>
        <w:t>(AC 2.2)</w:t>
      </w:r>
    </w:p>
    <w:p w14:paraId="1E2107AF" w14:textId="130365D5" w:rsidR="00023BB5" w:rsidRDefault="00EE008F" w:rsidP="00C02A46">
      <w:pPr>
        <w:pStyle w:val="NoSpacing"/>
        <w:rPr>
          <w:rFonts w:cstheme="minorHAnsi"/>
        </w:rPr>
      </w:pPr>
      <w:r>
        <w:rPr>
          <w:rFonts w:cstheme="minorHAnsi"/>
        </w:rPr>
        <w:t xml:space="preserve">Achieving a customer-focused mindset is crucial for the success of an organisation. A customer approach goes beyond just providing a product or service, it involves understanding and exceeding </w:t>
      </w:r>
      <w:r w:rsidR="000D1E18">
        <w:rPr>
          <w:rFonts w:cstheme="minorHAnsi"/>
        </w:rPr>
        <w:t xml:space="preserve">customer expectations throughout their customer journey. By gaining an insight into an organisation’s customers, the more effective they are going to be in engaging, </w:t>
      </w:r>
      <w:proofErr w:type="gramStart"/>
      <w:r w:rsidR="000D1E18">
        <w:rPr>
          <w:rFonts w:cstheme="minorHAnsi"/>
        </w:rPr>
        <w:t>pleasing</w:t>
      </w:r>
      <w:proofErr w:type="gramEnd"/>
      <w:r w:rsidR="000D1E18">
        <w:rPr>
          <w:rFonts w:cstheme="minorHAnsi"/>
        </w:rPr>
        <w:t xml:space="preserve"> and retaining them.</w:t>
      </w:r>
      <w:r w:rsidR="00B94400">
        <w:rPr>
          <w:rFonts w:cstheme="minorHAnsi"/>
        </w:rPr>
        <w:t xml:space="preserve"> </w:t>
      </w:r>
      <w:r w:rsidR="00B94400" w:rsidRPr="00693F1C">
        <w:rPr>
          <w:rFonts w:cstheme="minorHAnsi"/>
          <w:shd w:val="clear" w:color="auto" w:fill="FFFFFF"/>
        </w:rPr>
        <w:t>(Waite </w:t>
      </w:r>
      <w:r w:rsidR="00B94400" w:rsidRPr="00693F1C">
        <w:rPr>
          <w:rFonts w:cstheme="minorHAnsi"/>
          <w:i/>
          <w:iCs/>
          <w:shd w:val="clear" w:color="auto" w:fill="FFFFFF"/>
        </w:rPr>
        <w:t>et al.</w:t>
      </w:r>
      <w:r w:rsidR="00B94400" w:rsidRPr="00693F1C">
        <w:rPr>
          <w:rFonts w:cstheme="minorHAnsi"/>
          <w:shd w:val="clear" w:color="auto" w:fill="FFFFFF"/>
        </w:rPr>
        <w:t>, 2021)</w:t>
      </w:r>
    </w:p>
    <w:p w14:paraId="38527718" w14:textId="5B402D21" w:rsidR="00F22E3F" w:rsidRDefault="00F22E3F" w:rsidP="00C02A46">
      <w:pPr>
        <w:pStyle w:val="NoSpacing"/>
        <w:rPr>
          <w:rFonts w:cstheme="minorHAnsi"/>
        </w:rPr>
      </w:pPr>
      <w:r>
        <w:rPr>
          <w:rFonts w:cstheme="minorHAnsi"/>
        </w:rPr>
        <w:t xml:space="preserve">By identifying the strengths and weaknesses of an organisation </w:t>
      </w:r>
      <w:r w:rsidR="00085B80">
        <w:rPr>
          <w:rFonts w:cstheme="minorHAnsi"/>
        </w:rPr>
        <w:t>it means that actions can be made to help deliver high customer satisfaction. On the professional map,</w:t>
      </w:r>
      <w:r w:rsidR="00370729">
        <w:rPr>
          <w:rFonts w:cstheme="minorHAnsi"/>
        </w:rPr>
        <w:t xml:space="preserve"> under customer focus,</w:t>
      </w:r>
      <w:r w:rsidR="00085B80">
        <w:rPr>
          <w:rFonts w:cstheme="minorHAnsi"/>
        </w:rPr>
        <w:t xml:space="preserve"> it shows that people professionals should be </w:t>
      </w:r>
      <w:proofErr w:type="gramStart"/>
      <w:r w:rsidR="00370729">
        <w:rPr>
          <w:rFonts w:cstheme="minorHAnsi"/>
        </w:rPr>
        <w:t>look</w:t>
      </w:r>
      <w:proofErr w:type="gramEnd"/>
      <w:r w:rsidR="00370729">
        <w:rPr>
          <w:rFonts w:cstheme="minorHAnsi"/>
        </w:rPr>
        <w:t xml:space="preserve"> to create a culture that prioritises the understanding of customer needs. </w:t>
      </w:r>
      <w:r w:rsidR="00320BC2">
        <w:rPr>
          <w:rFonts w:cstheme="minorHAnsi"/>
        </w:rPr>
        <w:t>(CIPD, 2023)</w:t>
      </w:r>
    </w:p>
    <w:p w14:paraId="359092AF" w14:textId="0E8C55A5" w:rsidR="00320BC2" w:rsidRDefault="00320BC2" w:rsidP="00C02A46">
      <w:pPr>
        <w:pStyle w:val="NoSpacing"/>
        <w:rPr>
          <w:rFonts w:cstheme="minorHAnsi"/>
        </w:rPr>
      </w:pPr>
      <w:r>
        <w:rPr>
          <w:rFonts w:cstheme="minorHAnsi"/>
        </w:rPr>
        <w:t xml:space="preserve">People professionals can be customer-focused by </w:t>
      </w:r>
      <w:r w:rsidR="00B94400">
        <w:rPr>
          <w:rFonts w:cstheme="minorHAnsi"/>
        </w:rPr>
        <w:t>involving</w:t>
      </w:r>
      <w:r>
        <w:rPr>
          <w:rFonts w:cstheme="minorHAnsi"/>
        </w:rPr>
        <w:t xml:space="preserve"> their customers in training of employees. Collecting feedback from customers on how an organisation is performing or feel they should be performing can be crucial. By understanding the customer’s needs, and identifying the weaknesses of the service provided, more effective training can be developed. An example of this would be, </w:t>
      </w:r>
      <w:r>
        <w:rPr>
          <w:rFonts w:cstheme="minorHAnsi"/>
        </w:rPr>
        <w:t>Black Pool Mill</w:t>
      </w:r>
      <w:r>
        <w:rPr>
          <w:rFonts w:cstheme="minorHAnsi"/>
        </w:rPr>
        <w:t>. They</w:t>
      </w:r>
      <w:r>
        <w:rPr>
          <w:rFonts w:cstheme="minorHAnsi"/>
        </w:rPr>
        <w:t xml:space="preserve"> collect customer-feedback, looking at what customers think about their stay with them. The feedback gives a rating out of 5 for, food, drink, ambiance, service and would they return. They act on this customer feedback, looking to improve the product they are providing</w:t>
      </w:r>
      <w:r>
        <w:rPr>
          <w:rFonts w:cstheme="minorHAnsi"/>
        </w:rPr>
        <w:t xml:space="preserve"> to suit customer expectations.</w:t>
      </w:r>
    </w:p>
    <w:p w14:paraId="261178BD" w14:textId="73A6650A" w:rsidR="00264FCB" w:rsidRDefault="00264FCB" w:rsidP="00320BC2">
      <w:pPr>
        <w:pStyle w:val="NoSpacing"/>
        <w:rPr>
          <w:rFonts w:cstheme="minorHAnsi"/>
        </w:rPr>
      </w:pPr>
      <w:r>
        <w:rPr>
          <w:rFonts w:cstheme="minorHAnsi"/>
        </w:rPr>
        <w:t xml:space="preserve">You need to have clear standards to guide internal stakeholders which infuse your company values. You can be standards-driven by collecting and acting on feedback. Using this feedback, you can adapt to improve customer satisfaction, which will raise the standards of your product. A people professional can be standards-driven by implementing regular training. This ensures that employees are trained effectively, to meet customer needs. If you make changes to your product without the necessary training, </w:t>
      </w:r>
      <w:r w:rsidR="00B94400">
        <w:rPr>
          <w:rFonts w:cstheme="minorHAnsi"/>
        </w:rPr>
        <w:t>the standard of service is going to drop which will affect how your external stakeholders view you.</w:t>
      </w:r>
    </w:p>
    <w:p w14:paraId="604A45FB" w14:textId="69722029" w:rsidR="00F70E0B" w:rsidRDefault="00264FCB" w:rsidP="00B94400">
      <w:pPr>
        <w:pStyle w:val="NoSpacing"/>
        <w:rPr>
          <w:rFonts w:cstheme="minorHAnsi"/>
          <w:shd w:val="clear" w:color="auto" w:fill="FFFFFF"/>
        </w:rPr>
      </w:pPr>
      <w:r>
        <w:rPr>
          <w:rFonts w:cstheme="minorHAnsi"/>
        </w:rPr>
        <w:t xml:space="preserve">Dave </w:t>
      </w:r>
      <w:proofErr w:type="spellStart"/>
      <w:r>
        <w:rPr>
          <w:rFonts w:cstheme="minorHAnsi"/>
        </w:rPr>
        <w:t>Ulritch</w:t>
      </w:r>
      <w:proofErr w:type="spellEnd"/>
      <w:r>
        <w:rPr>
          <w:rFonts w:cstheme="minorHAnsi"/>
        </w:rPr>
        <w:t xml:space="preserve"> has developed a concept called outside-in, which looks how you can look at how a people professional can look from the outside-in at their services they provide. The concept is where someone looks at their organisation from the outside, to understand what’s happening and how it affects an organisation. It shows how a people professional should look at the business conditions and the key stakeholders. By implementing this concept with a customer-focused mindset it means that you can identify the strengths and weaknesses within the business, but also from the outside – looking at what our customers, partners, </w:t>
      </w:r>
      <w:proofErr w:type="gramStart"/>
      <w:r>
        <w:rPr>
          <w:rFonts w:cstheme="minorHAnsi"/>
        </w:rPr>
        <w:t>investors</w:t>
      </w:r>
      <w:proofErr w:type="gramEnd"/>
      <w:r>
        <w:rPr>
          <w:rFonts w:cstheme="minorHAnsi"/>
        </w:rPr>
        <w:t xml:space="preserve"> and community think are our strengths and weaknesses and how we can improve on this.</w:t>
      </w:r>
      <w:r w:rsidR="00B94400" w:rsidRPr="00B94400">
        <w:rPr>
          <w:rFonts w:cstheme="minorHAnsi"/>
          <w:shd w:val="clear" w:color="auto" w:fill="FFFFFF"/>
        </w:rPr>
        <w:t xml:space="preserve"> </w:t>
      </w:r>
      <w:r w:rsidR="00B94400" w:rsidRPr="00B94400">
        <w:rPr>
          <w:rFonts w:cstheme="minorHAnsi"/>
          <w:shd w:val="clear" w:color="auto" w:fill="FFFFFF"/>
        </w:rPr>
        <w:t>(</w:t>
      </w:r>
      <w:r w:rsidR="00B94400" w:rsidRPr="00B94400">
        <w:rPr>
          <w:rFonts w:cstheme="minorHAnsi"/>
          <w:i/>
          <w:iCs/>
          <w:shd w:val="clear" w:color="auto" w:fill="FFFFFF"/>
        </w:rPr>
        <w:t>HR from the Outside-In</w:t>
      </w:r>
      <w:r w:rsidR="00B94400" w:rsidRPr="00B94400">
        <w:rPr>
          <w:rFonts w:cstheme="minorHAnsi"/>
          <w:shd w:val="clear" w:color="auto" w:fill="FFFFFF"/>
        </w:rPr>
        <w:t>, no date)</w:t>
      </w:r>
    </w:p>
    <w:p w14:paraId="486339AC" w14:textId="77777777" w:rsidR="00746546" w:rsidRDefault="00746546" w:rsidP="00B94400">
      <w:pPr>
        <w:pStyle w:val="NoSpacing"/>
        <w:rPr>
          <w:rFonts w:cstheme="minorHAnsi"/>
          <w:shd w:val="clear" w:color="auto" w:fill="FFFFFF"/>
        </w:rPr>
      </w:pPr>
    </w:p>
    <w:p w14:paraId="5322F436" w14:textId="5DF56D3B" w:rsidR="00746546" w:rsidRDefault="00746546" w:rsidP="00B94400">
      <w:pPr>
        <w:pStyle w:val="NoSpacing"/>
        <w:rPr>
          <w:rFonts w:cstheme="minorHAnsi"/>
        </w:rPr>
      </w:pPr>
    </w:p>
    <w:p w14:paraId="2B6C4F25" w14:textId="77777777" w:rsidR="00746546" w:rsidRDefault="00746546">
      <w:pPr>
        <w:rPr>
          <w:rFonts w:cstheme="minorHAnsi"/>
        </w:rPr>
      </w:pPr>
      <w:r>
        <w:rPr>
          <w:rFonts w:cstheme="minorHAnsi"/>
        </w:rPr>
        <w:br w:type="page"/>
      </w:r>
    </w:p>
    <w:p w14:paraId="752508B1" w14:textId="77777777" w:rsidR="00746546" w:rsidRDefault="00746546" w:rsidP="00746546">
      <w:pPr>
        <w:pStyle w:val="NoSpacing"/>
        <w:rPr>
          <w:b/>
          <w:bCs/>
        </w:rPr>
      </w:pPr>
    </w:p>
    <w:p w14:paraId="28CB6EBB" w14:textId="77777777" w:rsidR="00746546" w:rsidRPr="00267B6F" w:rsidRDefault="00746546" w:rsidP="00746546">
      <w:pPr>
        <w:pStyle w:val="NoSpacing"/>
      </w:pPr>
      <w:r w:rsidRPr="00D54ECC">
        <w:rPr>
          <w:b/>
          <w:bCs/>
        </w:rPr>
        <w:t>References</w:t>
      </w:r>
    </w:p>
    <w:p w14:paraId="1F63BC4D" w14:textId="77777777" w:rsidR="00746546" w:rsidRPr="00693F1C" w:rsidRDefault="00746546" w:rsidP="00746546">
      <w:pPr>
        <w:pStyle w:val="NoSpacing"/>
        <w:rPr>
          <w:rFonts w:cstheme="minorHAnsi"/>
        </w:rPr>
      </w:pPr>
      <w:r w:rsidRPr="00693F1C">
        <w:rPr>
          <w:rFonts w:cstheme="minorHAnsi"/>
        </w:rPr>
        <w:t>(CIPD, 2023)</w:t>
      </w:r>
    </w:p>
    <w:p w14:paraId="503B8A92" w14:textId="77777777" w:rsidR="00746546" w:rsidRPr="00D54ECC" w:rsidRDefault="00746546" w:rsidP="00746546">
      <w:pPr>
        <w:pStyle w:val="NoSpacing"/>
        <w:rPr>
          <w:rFonts w:cstheme="minorHAnsi"/>
        </w:rPr>
      </w:pPr>
      <w:r w:rsidRPr="00693F1C">
        <w:rPr>
          <w:rFonts w:cstheme="minorHAnsi"/>
        </w:rPr>
        <w:t>Young, J. (2023) </w:t>
      </w:r>
      <w:r w:rsidRPr="00693F1C">
        <w:rPr>
          <w:rFonts w:cstheme="minorHAnsi"/>
          <w:i/>
          <w:iCs/>
        </w:rPr>
        <w:t>CIPD | Evidence-based practice for effective decision-making | Factsheets</w:t>
      </w:r>
      <w:r w:rsidRPr="00693F1C">
        <w:rPr>
          <w:rFonts w:cstheme="minorHAnsi"/>
        </w:rPr>
        <w:t>, </w:t>
      </w:r>
      <w:r w:rsidRPr="00693F1C">
        <w:rPr>
          <w:rFonts w:cstheme="minorHAnsi"/>
          <w:i/>
          <w:iCs/>
        </w:rPr>
        <w:t>CIPD</w:t>
      </w:r>
      <w:r w:rsidRPr="00693F1C">
        <w:rPr>
          <w:rFonts w:cstheme="minorHAnsi"/>
        </w:rPr>
        <w:t xml:space="preserve">. Available at: </w:t>
      </w:r>
      <w:hyperlink r:id="rId7" w:anchor="what-is-evidencebased-practice" w:history="1">
        <w:r w:rsidRPr="00693F1C">
          <w:rPr>
            <w:rStyle w:val="Hyperlink"/>
            <w:rFonts w:cstheme="minorHAnsi"/>
          </w:rPr>
          <w:t>https://www.cipd.org/uk/knowledge/factsheets/evidence-based-practice-factsheet/#what-is-evidencebased-practice</w:t>
        </w:r>
      </w:hyperlink>
      <w:r w:rsidRPr="00693F1C">
        <w:rPr>
          <w:rFonts w:cstheme="minorHAnsi"/>
        </w:rPr>
        <w:t>.</w:t>
      </w:r>
    </w:p>
    <w:p w14:paraId="173FF083" w14:textId="77777777" w:rsidR="00746546" w:rsidRPr="00693F1C" w:rsidRDefault="00746546" w:rsidP="00746546">
      <w:pPr>
        <w:pStyle w:val="NoSpacing"/>
        <w:rPr>
          <w:rFonts w:cstheme="minorHAnsi"/>
        </w:rPr>
      </w:pPr>
      <w:r w:rsidRPr="00693F1C">
        <w:rPr>
          <w:rFonts w:cstheme="minorHAnsi"/>
          <w:shd w:val="clear" w:color="auto" w:fill="FFFFFF"/>
        </w:rPr>
        <w:t>(Barends, Rousseau and Briner, 2018)</w:t>
      </w:r>
    </w:p>
    <w:p w14:paraId="0AFA9388" w14:textId="77777777" w:rsidR="00746546" w:rsidRPr="00693F1C" w:rsidRDefault="00746546" w:rsidP="00746546">
      <w:pPr>
        <w:pStyle w:val="NoSpacing"/>
        <w:rPr>
          <w:rFonts w:cstheme="minorHAnsi"/>
        </w:rPr>
      </w:pPr>
      <w:r w:rsidRPr="00693F1C">
        <w:rPr>
          <w:rFonts w:cstheme="minorHAnsi"/>
        </w:rPr>
        <w:t>‌Barends, E., Rousseau, D.M. and Briner, R.B. (2018) </w:t>
      </w:r>
      <w:r w:rsidRPr="00693F1C">
        <w:rPr>
          <w:rFonts w:cstheme="minorHAnsi"/>
          <w:i/>
          <w:iCs/>
        </w:rPr>
        <w:t xml:space="preserve">Evidence-based </w:t>
      </w:r>
      <w:proofErr w:type="gramStart"/>
      <w:r w:rsidRPr="00693F1C">
        <w:rPr>
          <w:rFonts w:cstheme="minorHAnsi"/>
          <w:i/>
          <w:iCs/>
        </w:rPr>
        <w:t>management :</w:t>
      </w:r>
      <w:proofErr w:type="gramEnd"/>
      <w:r w:rsidRPr="00693F1C">
        <w:rPr>
          <w:rFonts w:cstheme="minorHAnsi"/>
          <w:i/>
          <w:iCs/>
        </w:rPr>
        <w:t xml:space="preserve"> how to use evidence to make better organizational decisions</w:t>
      </w:r>
      <w:r w:rsidRPr="00693F1C">
        <w:rPr>
          <w:rFonts w:cstheme="minorHAnsi"/>
        </w:rPr>
        <w:t>. New York: Kogan Page Ltd.</w:t>
      </w:r>
    </w:p>
    <w:p w14:paraId="49FA75E3" w14:textId="77777777" w:rsidR="00746546" w:rsidRPr="00693F1C" w:rsidRDefault="00746546" w:rsidP="00746546">
      <w:pPr>
        <w:pStyle w:val="NoSpacing"/>
        <w:rPr>
          <w:rFonts w:cstheme="minorHAnsi"/>
        </w:rPr>
      </w:pPr>
      <w:r w:rsidRPr="00693F1C">
        <w:rPr>
          <w:rFonts w:cstheme="minorHAnsi"/>
        </w:rPr>
        <w:t>(CIPD, 2022)</w:t>
      </w:r>
    </w:p>
    <w:p w14:paraId="2889691F" w14:textId="77777777" w:rsidR="00746546" w:rsidRPr="00693F1C" w:rsidRDefault="00746546" w:rsidP="00746546">
      <w:pPr>
        <w:pStyle w:val="NoSpacing"/>
        <w:rPr>
          <w:rFonts w:cstheme="minorHAnsi"/>
        </w:rPr>
      </w:pPr>
      <w:r w:rsidRPr="00693F1C">
        <w:rPr>
          <w:rFonts w:cstheme="minorHAnsi"/>
          <w:i/>
          <w:iCs/>
        </w:rPr>
        <w:t>CIPD | People Analytics | Factsheets</w:t>
      </w:r>
      <w:r w:rsidRPr="00693F1C">
        <w:rPr>
          <w:rFonts w:cstheme="minorHAnsi"/>
        </w:rPr>
        <w:t> (2022) </w:t>
      </w:r>
      <w:r w:rsidRPr="00693F1C">
        <w:rPr>
          <w:rFonts w:cstheme="minorHAnsi"/>
          <w:i/>
          <w:iCs/>
        </w:rPr>
        <w:t>CIPD</w:t>
      </w:r>
      <w:r w:rsidRPr="00693F1C">
        <w:rPr>
          <w:rFonts w:cstheme="minorHAnsi"/>
        </w:rPr>
        <w:t xml:space="preserve">. Available at: </w:t>
      </w:r>
      <w:hyperlink r:id="rId8" w:anchor="three" w:history="1">
        <w:r w:rsidRPr="00693F1C">
          <w:rPr>
            <w:rStyle w:val="Hyperlink"/>
            <w:rFonts w:cstheme="minorHAnsi"/>
          </w:rPr>
          <w:t>https://www.cipd.org/uk/knowledge/factsheets/analytics-factsheet/#three</w:t>
        </w:r>
      </w:hyperlink>
      <w:r w:rsidRPr="00693F1C">
        <w:rPr>
          <w:rFonts w:cstheme="minorHAnsi"/>
        </w:rPr>
        <w:t>.</w:t>
      </w:r>
    </w:p>
    <w:p w14:paraId="3A929411" w14:textId="77777777" w:rsidR="00746546" w:rsidRPr="00693F1C" w:rsidRDefault="00746546" w:rsidP="00746546">
      <w:pPr>
        <w:pStyle w:val="NoSpacing"/>
        <w:rPr>
          <w:rFonts w:cstheme="minorHAnsi"/>
        </w:rPr>
      </w:pPr>
      <w:r w:rsidRPr="00693F1C">
        <w:rPr>
          <w:rFonts w:cstheme="minorHAnsi"/>
          <w:shd w:val="clear" w:color="auto" w:fill="FFFFFF"/>
        </w:rPr>
        <w:t>(Waite </w:t>
      </w:r>
      <w:r w:rsidRPr="00693F1C">
        <w:rPr>
          <w:rFonts w:cstheme="minorHAnsi"/>
          <w:i/>
          <w:iCs/>
          <w:shd w:val="clear" w:color="auto" w:fill="FFFFFF"/>
        </w:rPr>
        <w:t>et al.</w:t>
      </w:r>
      <w:r w:rsidRPr="00693F1C">
        <w:rPr>
          <w:rFonts w:cstheme="minorHAnsi"/>
          <w:shd w:val="clear" w:color="auto" w:fill="FFFFFF"/>
        </w:rPr>
        <w:t>, 2021)</w:t>
      </w:r>
    </w:p>
    <w:p w14:paraId="244726CB" w14:textId="77777777" w:rsidR="00746546" w:rsidRPr="00693F1C" w:rsidRDefault="00746546" w:rsidP="00746546">
      <w:pPr>
        <w:pStyle w:val="NoSpacing"/>
        <w:rPr>
          <w:rFonts w:cstheme="minorHAnsi"/>
        </w:rPr>
      </w:pPr>
      <w:r w:rsidRPr="00693F1C">
        <w:rPr>
          <w:rFonts w:cstheme="minorHAnsi"/>
        </w:rPr>
        <w:t>Waite, K. </w:t>
      </w:r>
      <w:r w:rsidRPr="00693F1C">
        <w:rPr>
          <w:rFonts w:cstheme="minorHAnsi"/>
          <w:i/>
          <w:iCs/>
        </w:rPr>
        <w:t>et al.</w:t>
      </w:r>
      <w:r w:rsidRPr="00693F1C">
        <w:rPr>
          <w:rFonts w:cstheme="minorHAnsi"/>
        </w:rPr>
        <w:t> (2021) </w:t>
      </w:r>
      <w:r w:rsidRPr="00693F1C">
        <w:rPr>
          <w:rFonts w:cstheme="minorHAnsi"/>
          <w:i/>
          <w:iCs/>
        </w:rPr>
        <w:t xml:space="preserve">People </w:t>
      </w:r>
      <w:proofErr w:type="gramStart"/>
      <w:r w:rsidRPr="00693F1C">
        <w:rPr>
          <w:rFonts w:cstheme="minorHAnsi"/>
          <w:i/>
          <w:iCs/>
        </w:rPr>
        <w:t>practice :</w:t>
      </w:r>
      <w:proofErr w:type="gramEnd"/>
      <w:r w:rsidRPr="00693F1C">
        <w:rPr>
          <w:rFonts w:cstheme="minorHAnsi"/>
          <w:i/>
          <w:iCs/>
        </w:rPr>
        <w:t xml:space="preserve"> a complete guide</w:t>
      </w:r>
      <w:r w:rsidRPr="00693F1C">
        <w:rPr>
          <w:rFonts w:cstheme="minorHAnsi"/>
        </w:rPr>
        <w:t xml:space="preserve">. London, United </w:t>
      </w:r>
      <w:proofErr w:type="gramStart"/>
      <w:r w:rsidRPr="00693F1C">
        <w:rPr>
          <w:rFonts w:cstheme="minorHAnsi"/>
        </w:rPr>
        <w:t>Kingdom ;</w:t>
      </w:r>
      <w:proofErr w:type="gramEnd"/>
      <w:r w:rsidRPr="00693F1C">
        <w:rPr>
          <w:rFonts w:cstheme="minorHAnsi"/>
        </w:rPr>
        <w:t xml:space="preserve"> New York, Ny: Kogan Page.</w:t>
      </w:r>
    </w:p>
    <w:p w14:paraId="58A812AF" w14:textId="77777777" w:rsidR="00746546" w:rsidRPr="00693F1C" w:rsidRDefault="00746546" w:rsidP="00746546">
      <w:pPr>
        <w:pStyle w:val="NoSpacing"/>
        <w:rPr>
          <w:rFonts w:cstheme="minorHAnsi"/>
        </w:rPr>
      </w:pPr>
      <w:r w:rsidRPr="00693F1C">
        <w:rPr>
          <w:rFonts w:cstheme="minorHAnsi"/>
        </w:rPr>
        <w:t>(Daniels, 2019)</w:t>
      </w:r>
    </w:p>
    <w:p w14:paraId="42E1B4B7" w14:textId="77777777" w:rsidR="00746546" w:rsidRPr="00D54ECC" w:rsidRDefault="00746546" w:rsidP="00746546">
      <w:pPr>
        <w:pStyle w:val="NoSpacing"/>
        <w:rPr>
          <w:rFonts w:cstheme="minorHAnsi"/>
        </w:rPr>
      </w:pPr>
      <w:r w:rsidRPr="00693F1C">
        <w:rPr>
          <w:rFonts w:cstheme="minorHAnsi"/>
        </w:rPr>
        <w:t>Daniels, K. (2019). </w:t>
      </w:r>
      <w:r w:rsidRPr="00693F1C">
        <w:rPr>
          <w:rFonts w:cstheme="minorHAnsi"/>
          <w:i/>
          <w:iCs/>
        </w:rPr>
        <w:t xml:space="preserve">Introduction to employment </w:t>
      </w:r>
      <w:proofErr w:type="gramStart"/>
      <w:r w:rsidRPr="00693F1C">
        <w:rPr>
          <w:rFonts w:cstheme="minorHAnsi"/>
          <w:i/>
          <w:iCs/>
        </w:rPr>
        <w:t>law :</w:t>
      </w:r>
      <w:proofErr w:type="gramEnd"/>
      <w:r w:rsidRPr="00693F1C">
        <w:rPr>
          <w:rFonts w:cstheme="minorHAnsi"/>
          <w:i/>
          <w:iCs/>
        </w:rPr>
        <w:t xml:space="preserve"> fundamentals for HR and business students</w:t>
      </w:r>
      <w:r w:rsidRPr="00693F1C">
        <w:rPr>
          <w:rFonts w:cstheme="minorHAnsi"/>
        </w:rPr>
        <w:t xml:space="preserve">. 5th ed. London, United </w:t>
      </w:r>
      <w:proofErr w:type="gramStart"/>
      <w:r w:rsidRPr="00693F1C">
        <w:rPr>
          <w:rFonts w:cstheme="minorHAnsi"/>
        </w:rPr>
        <w:t>Kingdom ;</w:t>
      </w:r>
      <w:proofErr w:type="gramEnd"/>
      <w:r w:rsidRPr="00693F1C">
        <w:rPr>
          <w:rFonts w:cstheme="minorHAnsi"/>
        </w:rPr>
        <w:t xml:space="preserve"> New York, Ny, </w:t>
      </w:r>
      <w:proofErr w:type="spellStart"/>
      <w:r w:rsidRPr="00693F1C">
        <w:rPr>
          <w:rFonts w:cstheme="minorHAnsi"/>
        </w:rPr>
        <w:t>Usa</w:t>
      </w:r>
      <w:proofErr w:type="spellEnd"/>
      <w:r w:rsidRPr="00693F1C">
        <w:rPr>
          <w:rFonts w:cstheme="minorHAnsi"/>
        </w:rPr>
        <w:t>: Kogan Page Limited.</w:t>
      </w:r>
    </w:p>
    <w:p w14:paraId="67DEB4F5" w14:textId="77777777" w:rsidR="00746546" w:rsidRPr="00DB47FC" w:rsidRDefault="00746546" w:rsidP="00746546">
      <w:pPr>
        <w:pStyle w:val="NoSpacing"/>
        <w:rPr>
          <w:rFonts w:cstheme="minorHAnsi"/>
        </w:rPr>
      </w:pPr>
      <w:proofErr w:type="gramStart"/>
      <w:r>
        <w:rPr>
          <w:rFonts w:ascii="Calibri" w:hAnsi="Calibri" w:cs="Calibri"/>
          <w:color w:val="000000"/>
          <w:sz w:val="27"/>
          <w:szCs w:val="27"/>
        </w:rPr>
        <w:t>‌</w:t>
      </w:r>
      <w:r w:rsidRPr="00AF33DC">
        <w:rPr>
          <w:rFonts w:cstheme="minorHAnsi"/>
          <w:shd w:val="clear" w:color="auto" w:fill="FFFFFF"/>
        </w:rPr>
        <w:t>(</w:t>
      </w:r>
      <w:proofErr w:type="gramEnd"/>
      <w:r w:rsidRPr="00AF33DC">
        <w:rPr>
          <w:rFonts w:cstheme="minorHAnsi"/>
          <w:i/>
          <w:iCs/>
          <w:shd w:val="clear" w:color="auto" w:fill="FFFFFF"/>
        </w:rPr>
        <w:t>CIPD | How to use the Profession Map</w:t>
      </w:r>
      <w:r w:rsidRPr="00AF33DC">
        <w:rPr>
          <w:rFonts w:cstheme="minorHAnsi"/>
          <w:shd w:val="clear" w:color="auto" w:fill="FFFFFF"/>
        </w:rPr>
        <w:t>, no date)</w:t>
      </w:r>
    </w:p>
    <w:p w14:paraId="65D10B18" w14:textId="77777777" w:rsidR="00746546" w:rsidRPr="00D54ECC"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sidRPr="00DB47FC">
        <w:rPr>
          <w:rFonts w:asciiTheme="minorHAnsi" w:hAnsiTheme="minorHAnsi" w:cstheme="minorHAnsi"/>
          <w:i/>
          <w:iCs/>
          <w:color w:val="000000"/>
          <w:sz w:val="22"/>
          <w:szCs w:val="22"/>
        </w:rPr>
        <w:t>CIPD | How to use the Profession Map</w:t>
      </w:r>
      <w:r w:rsidRPr="00DB47FC">
        <w:rPr>
          <w:rFonts w:asciiTheme="minorHAnsi" w:hAnsiTheme="minorHAnsi" w:cstheme="minorHAnsi"/>
          <w:color w:val="000000"/>
          <w:sz w:val="22"/>
          <w:szCs w:val="22"/>
        </w:rPr>
        <w:t> (no date) </w:t>
      </w:r>
      <w:r w:rsidRPr="00DB47FC">
        <w:rPr>
          <w:rFonts w:asciiTheme="minorHAnsi" w:hAnsiTheme="minorHAnsi" w:cstheme="minorHAnsi"/>
          <w:i/>
          <w:iCs/>
          <w:color w:val="000000"/>
          <w:sz w:val="22"/>
          <w:szCs w:val="22"/>
        </w:rPr>
        <w:t>CIPD</w:t>
      </w:r>
      <w:r w:rsidRPr="00DB47FC">
        <w:rPr>
          <w:rFonts w:asciiTheme="minorHAnsi" w:hAnsiTheme="minorHAnsi" w:cstheme="minorHAnsi"/>
          <w:color w:val="000000"/>
          <w:sz w:val="22"/>
          <w:szCs w:val="22"/>
        </w:rPr>
        <w:t>. Available at: https://www.cipd.org/uk/the-people-profession/the-profession-map/how-it-works/.</w:t>
      </w:r>
    </w:p>
    <w:p w14:paraId="1FA38DBC" w14:textId="77777777" w:rsidR="00746546" w:rsidRPr="001D2EE0" w:rsidRDefault="00746546" w:rsidP="00746546">
      <w:pPr>
        <w:pStyle w:val="NormalWeb"/>
        <w:spacing w:before="0" w:beforeAutospacing="0" w:after="0" w:afterAutospacing="0" w:line="360" w:lineRule="atLeast"/>
        <w:rPr>
          <w:rFonts w:asciiTheme="minorHAnsi" w:hAnsiTheme="minorHAnsi" w:cstheme="minorHAnsi"/>
          <w:i/>
          <w:iCs/>
          <w:color w:val="000000"/>
          <w:sz w:val="22"/>
          <w:szCs w:val="22"/>
        </w:rPr>
      </w:pPr>
      <w:r w:rsidRPr="001D2EE0">
        <w:rPr>
          <w:rFonts w:asciiTheme="minorHAnsi" w:hAnsiTheme="minorHAnsi" w:cstheme="minorHAnsi"/>
          <w:sz w:val="22"/>
          <w:szCs w:val="22"/>
        </w:rPr>
        <w:t xml:space="preserve">(CIPD | Financial Times, </w:t>
      </w:r>
      <w:proofErr w:type="spellStart"/>
      <w:r w:rsidRPr="001D2EE0">
        <w:rPr>
          <w:rFonts w:asciiTheme="minorHAnsi" w:hAnsiTheme="minorHAnsi" w:cstheme="minorHAnsi"/>
          <w:sz w:val="22"/>
          <w:szCs w:val="22"/>
        </w:rPr>
        <w:t>nd</w:t>
      </w:r>
      <w:proofErr w:type="spellEnd"/>
      <w:r w:rsidRPr="001D2EE0">
        <w:rPr>
          <w:rFonts w:asciiTheme="minorHAnsi" w:hAnsiTheme="minorHAnsi" w:cstheme="minorHAnsi"/>
          <w:sz w:val="22"/>
          <w:szCs w:val="22"/>
        </w:rPr>
        <w:t>)</w:t>
      </w:r>
    </w:p>
    <w:p w14:paraId="60811BFE" w14:textId="77777777" w:rsidR="00746546" w:rsidRPr="00D54ECC"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sidRPr="001D2EE0">
        <w:rPr>
          <w:rFonts w:asciiTheme="minorHAnsi" w:hAnsiTheme="minorHAnsi" w:cstheme="minorHAnsi"/>
          <w:i/>
          <w:iCs/>
          <w:color w:val="000000"/>
          <w:sz w:val="22"/>
          <w:szCs w:val="22"/>
        </w:rPr>
        <w:t>CIPD | Financial Times</w:t>
      </w:r>
      <w:r w:rsidRPr="001D2EE0">
        <w:rPr>
          <w:rFonts w:asciiTheme="minorHAnsi" w:hAnsiTheme="minorHAnsi" w:cstheme="minorHAnsi"/>
          <w:color w:val="000000"/>
          <w:sz w:val="22"/>
          <w:szCs w:val="22"/>
        </w:rPr>
        <w:t> (no date) </w:t>
      </w:r>
      <w:r w:rsidRPr="001D2EE0">
        <w:rPr>
          <w:rFonts w:asciiTheme="minorHAnsi" w:hAnsiTheme="minorHAnsi" w:cstheme="minorHAnsi"/>
          <w:i/>
          <w:iCs/>
          <w:color w:val="000000"/>
          <w:sz w:val="22"/>
          <w:szCs w:val="22"/>
        </w:rPr>
        <w:t>CIPD</w:t>
      </w:r>
      <w:r w:rsidRPr="001D2EE0">
        <w:rPr>
          <w:rFonts w:asciiTheme="minorHAnsi" w:hAnsiTheme="minorHAnsi" w:cstheme="minorHAnsi"/>
          <w:color w:val="000000"/>
          <w:sz w:val="22"/>
          <w:szCs w:val="22"/>
        </w:rPr>
        <w:t>. Available at: https://www.cipd.org/uk/knowledge/case-studies/financial-times/.</w:t>
      </w:r>
    </w:p>
    <w:p w14:paraId="541BD00A" w14:textId="77777777" w:rsidR="00746546" w:rsidRPr="008A6D74" w:rsidRDefault="00746546" w:rsidP="00746546">
      <w:pPr>
        <w:pStyle w:val="NormalWeb"/>
        <w:spacing w:before="0" w:beforeAutospacing="0" w:after="0" w:afterAutospacing="0" w:line="360" w:lineRule="atLeast"/>
        <w:rPr>
          <w:rFonts w:asciiTheme="minorHAnsi" w:hAnsiTheme="minorHAnsi" w:cstheme="minorHAnsi"/>
          <w:i/>
          <w:iCs/>
          <w:color w:val="000000"/>
          <w:sz w:val="22"/>
          <w:szCs w:val="22"/>
        </w:rPr>
      </w:pPr>
      <w:r w:rsidRPr="008A6D74">
        <w:rPr>
          <w:rFonts w:asciiTheme="minorHAnsi" w:hAnsiTheme="minorHAnsi" w:cstheme="minorHAnsi"/>
          <w:sz w:val="22"/>
          <w:szCs w:val="22"/>
        </w:rPr>
        <w:t>(UK Government, 2018)</w:t>
      </w:r>
    </w:p>
    <w:p w14:paraId="4A08F7A2" w14:textId="77777777" w:rsidR="00746546" w:rsidRPr="00D54ECC"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sidRPr="008A6D74">
        <w:rPr>
          <w:rFonts w:asciiTheme="minorHAnsi" w:hAnsiTheme="minorHAnsi" w:cstheme="minorHAnsi"/>
          <w:color w:val="000000"/>
          <w:sz w:val="22"/>
          <w:szCs w:val="22"/>
        </w:rPr>
        <w:t>UK Government (2018) </w:t>
      </w:r>
      <w:r w:rsidRPr="008A6D74">
        <w:rPr>
          <w:rFonts w:asciiTheme="minorHAnsi" w:hAnsiTheme="minorHAnsi" w:cstheme="minorHAnsi"/>
          <w:i/>
          <w:iCs/>
          <w:color w:val="000000"/>
          <w:sz w:val="22"/>
          <w:szCs w:val="22"/>
        </w:rPr>
        <w:t>Data Protection Act 2018</w:t>
      </w:r>
      <w:r w:rsidRPr="008A6D74">
        <w:rPr>
          <w:rFonts w:asciiTheme="minorHAnsi" w:hAnsiTheme="minorHAnsi" w:cstheme="minorHAnsi"/>
          <w:color w:val="000000"/>
          <w:sz w:val="22"/>
          <w:szCs w:val="22"/>
        </w:rPr>
        <w:t>, </w:t>
      </w:r>
      <w:r w:rsidRPr="008A6D74">
        <w:rPr>
          <w:rFonts w:asciiTheme="minorHAnsi" w:hAnsiTheme="minorHAnsi" w:cstheme="minorHAnsi"/>
          <w:i/>
          <w:iCs/>
          <w:color w:val="000000"/>
          <w:sz w:val="22"/>
          <w:szCs w:val="22"/>
        </w:rPr>
        <w:t>Legislation.gov.uk</w:t>
      </w:r>
      <w:r w:rsidRPr="008A6D74">
        <w:rPr>
          <w:rFonts w:asciiTheme="minorHAnsi" w:hAnsiTheme="minorHAnsi" w:cstheme="minorHAnsi"/>
          <w:color w:val="000000"/>
          <w:sz w:val="22"/>
          <w:szCs w:val="22"/>
        </w:rPr>
        <w:t>. Available at: https://www.legislation.gov.uk/ukpga/2018/12/contents/enacted.</w:t>
      </w:r>
    </w:p>
    <w:p w14:paraId="5510E02F" w14:textId="77777777" w:rsidR="00746546" w:rsidRPr="00D54ECC"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sidRPr="00D54ECC">
        <w:rPr>
          <w:rFonts w:asciiTheme="minorHAnsi" w:hAnsiTheme="minorHAnsi" w:cstheme="minorHAnsi"/>
          <w:color w:val="000000"/>
          <w:sz w:val="22"/>
          <w:szCs w:val="22"/>
        </w:rPr>
        <w:t>(Cattermole, 2019)</w:t>
      </w:r>
    </w:p>
    <w:p w14:paraId="03755F38" w14:textId="77777777" w:rsidR="00746546"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sidRPr="00D54ECC">
        <w:rPr>
          <w:rFonts w:asciiTheme="minorHAnsi" w:hAnsiTheme="minorHAnsi" w:cstheme="minorHAnsi"/>
          <w:color w:val="000000"/>
          <w:sz w:val="22"/>
          <w:szCs w:val="22"/>
        </w:rPr>
        <w:t>Cattermole, G. (2019) ‘Developing the Employee Lifecycle to Keep Top Talent’, </w:t>
      </w:r>
      <w:r w:rsidRPr="00D54ECC">
        <w:rPr>
          <w:rFonts w:asciiTheme="minorHAnsi" w:hAnsiTheme="minorHAnsi" w:cstheme="minorHAnsi"/>
          <w:i/>
          <w:iCs/>
          <w:color w:val="000000"/>
          <w:sz w:val="22"/>
          <w:szCs w:val="22"/>
        </w:rPr>
        <w:t>Strategic HR Review</w:t>
      </w:r>
      <w:r w:rsidRPr="00D54ECC">
        <w:rPr>
          <w:rFonts w:asciiTheme="minorHAnsi" w:hAnsiTheme="minorHAnsi" w:cstheme="minorHAnsi"/>
          <w:color w:val="000000"/>
          <w:sz w:val="22"/>
          <w:szCs w:val="22"/>
        </w:rPr>
        <w:t>, 18(6), pp. 258–262.</w:t>
      </w:r>
    </w:p>
    <w:p w14:paraId="48D28949" w14:textId="77777777" w:rsidR="00746546"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Pr>
          <w:rFonts w:asciiTheme="minorHAnsi" w:hAnsiTheme="minorHAnsi" w:cstheme="minorHAnsi"/>
          <w:color w:val="000000"/>
          <w:sz w:val="22"/>
          <w:szCs w:val="22"/>
        </w:rPr>
        <w:t>(CIPD, 2023)</w:t>
      </w:r>
    </w:p>
    <w:p w14:paraId="4FE99A39" w14:textId="77777777" w:rsidR="00746546" w:rsidRPr="00F71B2A"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sidRPr="00F71B2A">
        <w:rPr>
          <w:rFonts w:asciiTheme="minorHAnsi" w:hAnsiTheme="minorHAnsi" w:cstheme="minorHAnsi"/>
          <w:color w:val="000000"/>
          <w:sz w:val="22"/>
          <w:szCs w:val="22"/>
        </w:rPr>
        <w:t>CIPD (2023) </w:t>
      </w:r>
      <w:r w:rsidRPr="00F71B2A">
        <w:rPr>
          <w:rFonts w:asciiTheme="minorHAnsi" w:hAnsiTheme="minorHAnsi" w:cstheme="minorHAnsi"/>
          <w:i/>
          <w:iCs/>
          <w:color w:val="000000"/>
          <w:sz w:val="22"/>
          <w:szCs w:val="22"/>
        </w:rPr>
        <w:t>CIPD | The Profession Map / Core behaviours / Commercial drive</w:t>
      </w:r>
      <w:r w:rsidRPr="00F71B2A">
        <w:rPr>
          <w:rFonts w:asciiTheme="minorHAnsi" w:hAnsiTheme="minorHAnsi" w:cstheme="minorHAnsi"/>
          <w:color w:val="000000"/>
          <w:sz w:val="22"/>
          <w:szCs w:val="22"/>
        </w:rPr>
        <w:t>, </w:t>
      </w:r>
      <w:r w:rsidRPr="00F71B2A">
        <w:rPr>
          <w:rFonts w:asciiTheme="minorHAnsi" w:hAnsiTheme="minorHAnsi" w:cstheme="minorHAnsi"/>
          <w:i/>
          <w:iCs/>
          <w:color w:val="000000"/>
          <w:sz w:val="22"/>
          <w:szCs w:val="22"/>
        </w:rPr>
        <w:t>CIPD</w:t>
      </w:r>
      <w:r w:rsidRPr="00F71B2A">
        <w:rPr>
          <w:rFonts w:asciiTheme="minorHAnsi" w:hAnsiTheme="minorHAnsi" w:cstheme="minorHAnsi"/>
          <w:color w:val="000000"/>
          <w:sz w:val="22"/>
          <w:szCs w:val="22"/>
        </w:rPr>
        <w:t>. Available at: https://www.cipd.org/uk/the-people-profession/the-profession-map/explore-the-profession-map/core-behaviours/commercial-drive/.</w:t>
      </w:r>
    </w:p>
    <w:p w14:paraId="4FCE5B57" w14:textId="77777777" w:rsidR="00746546" w:rsidRPr="00B94400"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proofErr w:type="gramStart"/>
      <w:r>
        <w:rPr>
          <w:rFonts w:ascii="Calibri" w:hAnsi="Calibri" w:cs="Calibri"/>
          <w:color w:val="000000"/>
          <w:sz w:val="27"/>
          <w:szCs w:val="27"/>
        </w:rPr>
        <w:t>‌</w:t>
      </w:r>
      <w:r w:rsidRPr="00B94400">
        <w:rPr>
          <w:rFonts w:asciiTheme="minorHAnsi" w:hAnsiTheme="minorHAnsi" w:cstheme="minorHAnsi"/>
          <w:sz w:val="22"/>
          <w:szCs w:val="22"/>
          <w:shd w:val="clear" w:color="auto" w:fill="FFFFFF"/>
        </w:rPr>
        <w:t>(</w:t>
      </w:r>
      <w:proofErr w:type="gramEnd"/>
      <w:r w:rsidRPr="00B94400">
        <w:rPr>
          <w:rFonts w:asciiTheme="minorHAnsi" w:hAnsiTheme="minorHAnsi" w:cstheme="minorHAnsi"/>
          <w:i/>
          <w:iCs/>
          <w:sz w:val="22"/>
          <w:szCs w:val="22"/>
          <w:shd w:val="clear" w:color="auto" w:fill="FFFFFF"/>
        </w:rPr>
        <w:t>HR from the Outside-In</w:t>
      </w:r>
      <w:r w:rsidRPr="00B94400">
        <w:rPr>
          <w:rFonts w:asciiTheme="minorHAnsi" w:hAnsiTheme="minorHAnsi" w:cstheme="minorHAnsi"/>
          <w:sz w:val="22"/>
          <w:szCs w:val="22"/>
          <w:shd w:val="clear" w:color="auto" w:fill="FFFFFF"/>
        </w:rPr>
        <w:t>, no date)</w:t>
      </w:r>
    </w:p>
    <w:p w14:paraId="3A930241" w14:textId="77777777" w:rsidR="00746546" w:rsidRPr="00B94400" w:rsidRDefault="00746546" w:rsidP="00746546">
      <w:pPr>
        <w:pStyle w:val="NormalWeb"/>
        <w:spacing w:before="0" w:beforeAutospacing="0" w:after="0" w:afterAutospacing="0" w:line="360" w:lineRule="atLeast"/>
        <w:rPr>
          <w:rFonts w:asciiTheme="minorHAnsi" w:hAnsiTheme="minorHAnsi" w:cstheme="minorHAnsi"/>
          <w:color w:val="000000"/>
          <w:sz w:val="22"/>
          <w:szCs w:val="22"/>
        </w:rPr>
      </w:pPr>
      <w:r w:rsidRPr="00B94400">
        <w:rPr>
          <w:rFonts w:asciiTheme="minorHAnsi" w:hAnsiTheme="minorHAnsi" w:cstheme="minorHAnsi"/>
          <w:i/>
          <w:iCs/>
          <w:color w:val="000000"/>
          <w:sz w:val="22"/>
          <w:szCs w:val="22"/>
        </w:rPr>
        <w:t>HR from the Outside-In</w:t>
      </w:r>
      <w:r w:rsidRPr="00B94400">
        <w:rPr>
          <w:rFonts w:asciiTheme="minorHAnsi" w:hAnsiTheme="minorHAnsi" w:cstheme="minorHAnsi"/>
          <w:color w:val="000000"/>
          <w:sz w:val="22"/>
          <w:szCs w:val="22"/>
        </w:rPr>
        <w:t> (no date) </w:t>
      </w:r>
      <w:r w:rsidRPr="00B94400">
        <w:rPr>
          <w:rFonts w:asciiTheme="minorHAnsi" w:hAnsiTheme="minorHAnsi" w:cstheme="minorHAnsi"/>
          <w:i/>
          <w:iCs/>
          <w:color w:val="000000"/>
          <w:sz w:val="22"/>
          <w:szCs w:val="22"/>
        </w:rPr>
        <w:t>www.youtube.com</w:t>
      </w:r>
      <w:r w:rsidRPr="00B94400">
        <w:rPr>
          <w:rFonts w:asciiTheme="minorHAnsi" w:hAnsiTheme="minorHAnsi" w:cstheme="minorHAnsi"/>
          <w:color w:val="000000"/>
          <w:sz w:val="22"/>
          <w:szCs w:val="22"/>
        </w:rPr>
        <w:t>. Available at: https://www.youtube.com/watch?v=RGxpU1UuRX8&amp;t=7s (Accessed: 18 December 2023).</w:t>
      </w:r>
    </w:p>
    <w:p w14:paraId="34CA55CD" w14:textId="77777777" w:rsidR="00746546" w:rsidRDefault="00746546" w:rsidP="00746546">
      <w:pPr>
        <w:pStyle w:val="NormalWeb"/>
        <w:rPr>
          <w:rFonts w:ascii="Calibri" w:hAnsi="Calibri" w:cs="Calibri"/>
          <w:color w:val="000000"/>
          <w:sz w:val="27"/>
          <w:szCs w:val="27"/>
        </w:rPr>
      </w:pPr>
      <w:r>
        <w:rPr>
          <w:rFonts w:ascii="Calibri" w:hAnsi="Calibri" w:cs="Calibri"/>
          <w:color w:val="000000"/>
          <w:sz w:val="27"/>
          <w:szCs w:val="27"/>
        </w:rPr>
        <w:t>‌</w:t>
      </w:r>
    </w:p>
    <w:p w14:paraId="514A5950" w14:textId="77777777" w:rsidR="00746546" w:rsidRDefault="00746546" w:rsidP="00746546"/>
    <w:p w14:paraId="2D382523" w14:textId="77777777" w:rsidR="00746546" w:rsidRPr="00B94400" w:rsidRDefault="00746546" w:rsidP="00B94400">
      <w:pPr>
        <w:pStyle w:val="NoSpacing"/>
        <w:rPr>
          <w:rFonts w:cstheme="minorHAnsi"/>
        </w:rPr>
      </w:pPr>
    </w:p>
    <w:sectPr w:rsidR="00746546" w:rsidRPr="00B9440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60B54" w14:textId="77777777" w:rsidR="001B6012" w:rsidRDefault="001B6012" w:rsidP="0066122C">
      <w:pPr>
        <w:spacing w:after="0" w:line="240" w:lineRule="auto"/>
      </w:pPr>
      <w:r>
        <w:separator/>
      </w:r>
    </w:p>
  </w:endnote>
  <w:endnote w:type="continuationSeparator" w:id="0">
    <w:p w14:paraId="026A2725" w14:textId="77777777" w:rsidR="001B6012" w:rsidRDefault="001B6012" w:rsidP="00661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E11C1" w14:textId="73A62DFD" w:rsidR="0066122C" w:rsidRDefault="0066122C">
    <w:pPr>
      <w:pStyle w:val="Footer"/>
    </w:pPr>
    <w:r>
      <w:t>Carl Jordan Harries</w:t>
    </w:r>
    <w:r>
      <w:tab/>
      <w:t>Word Count: 00000</w:t>
    </w:r>
    <w:r>
      <w:tab/>
      <w:t>2318469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5DF88" w14:textId="77777777" w:rsidR="001B6012" w:rsidRDefault="001B6012" w:rsidP="0066122C">
      <w:pPr>
        <w:spacing w:after="0" w:line="240" w:lineRule="auto"/>
      </w:pPr>
      <w:r>
        <w:separator/>
      </w:r>
    </w:p>
  </w:footnote>
  <w:footnote w:type="continuationSeparator" w:id="0">
    <w:p w14:paraId="017EF538" w14:textId="77777777" w:rsidR="001B6012" w:rsidRDefault="001B6012" w:rsidP="00661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917FE"/>
    <w:multiLevelType w:val="hybridMultilevel"/>
    <w:tmpl w:val="4E7A2778"/>
    <w:lvl w:ilvl="0" w:tplc="707E24E0">
      <w:start w:val="1"/>
      <w:numFmt w:val="bullet"/>
      <w:lvlText w:val=""/>
      <w:lvlJc w:val="left"/>
      <w:pPr>
        <w:tabs>
          <w:tab w:val="num" w:pos="720"/>
        </w:tabs>
        <w:ind w:left="720" w:hanging="360"/>
      </w:pPr>
      <w:rPr>
        <w:rFonts w:ascii="Wingdings" w:hAnsi="Wingdings" w:hint="default"/>
      </w:rPr>
    </w:lvl>
    <w:lvl w:ilvl="1" w:tplc="F6363C92" w:tentative="1">
      <w:start w:val="1"/>
      <w:numFmt w:val="bullet"/>
      <w:lvlText w:val=""/>
      <w:lvlJc w:val="left"/>
      <w:pPr>
        <w:tabs>
          <w:tab w:val="num" w:pos="1440"/>
        </w:tabs>
        <w:ind w:left="1440" w:hanging="360"/>
      </w:pPr>
      <w:rPr>
        <w:rFonts w:ascii="Wingdings" w:hAnsi="Wingdings" w:hint="default"/>
      </w:rPr>
    </w:lvl>
    <w:lvl w:ilvl="2" w:tplc="F6302F6C" w:tentative="1">
      <w:start w:val="1"/>
      <w:numFmt w:val="bullet"/>
      <w:lvlText w:val=""/>
      <w:lvlJc w:val="left"/>
      <w:pPr>
        <w:tabs>
          <w:tab w:val="num" w:pos="2160"/>
        </w:tabs>
        <w:ind w:left="2160" w:hanging="360"/>
      </w:pPr>
      <w:rPr>
        <w:rFonts w:ascii="Wingdings" w:hAnsi="Wingdings" w:hint="default"/>
      </w:rPr>
    </w:lvl>
    <w:lvl w:ilvl="3" w:tplc="8BD87DD2" w:tentative="1">
      <w:start w:val="1"/>
      <w:numFmt w:val="bullet"/>
      <w:lvlText w:val=""/>
      <w:lvlJc w:val="left"/>
      <w:pPr>
        <w:tabs>
          <w:tab w:val="num" w:pos="2880"/>
        </w:tabs>
        <w:ind w:left="2880" w:hanging="360"/>
      </w:pPr>
      <w:rPr>
        <w:rFonts w:ascii="Wingdings" w:hAnsi="Wingdings" w:hint="default"/>
      </w:rPr>
    </w:lvl>
    <w:lvl w:ilvl="4" w:tplc="5D62DECC" w:tentative="1">
      <w:start w:val="1"/>
      <w:numFmt w:val="bullet"/>
      <w:lvlText w:val=""/>
      <w:lvlJc w:val="left"/>
      <w:pPr>
        <w:tabs>
          <w:tab w:val="num" w:pos="3600"/>
        </w:tabs>
        <w:ind w:left="3600" w:hanging="360"/>
      </w:pPr>
      <w:rPr>
        <w:rFonts w:ascii="Wingdings" w:hAnsi="Wingdings" w:hint="default"/>
      </w:rPr>
    </w:lvl>
    <w:lvl w:ilvl="5" w:tplc="E8188B56" w:tentative="1">
      <w:start w:val="1"/>
      <w:numFmt w:val="bullet"/>
      <w:lvlText w:val=""/>
      <w:lvlJc w:val="left"/>
      <w:pPr>
        <w:tabs>
          <w:tab w:val="num" w:pos="4320"/>
        </w:tabs>
        <w:ind w:left="4320" w:hanging="360"/>
      </w:pPr>
      <w:rPr>
        <w:rFonts w:ascii="Wingdings" w:hAnsi="Wingdings" w:hint="default"/>
      </w:rPr>
    </w:lvl>
    <w:lvl w:ilvl="6" w:tplc="D10A09CE" w:tentative="1">
      <w:start w:val="1"/>
      <w:numFmt w:val="bullet"/>
      <w:lvlText w:val=""/>
      <w:lvlJc w:val="left"/>
      <w:pPr>
        <w:tabs>
          <w:tab w:val="num" w:pos="5040"/>
        </w:tabs>
        <w:ind w:left="5040" w:hanging="360"/>
      </w:pPr>
      <w:rPr>
        <w:rFonts w:ascii="Wingdings" w:hAnsi="Wingdings" w:hint="default"/>
      </w:rPr>
    </w:lvl>
    <w:lvl w:ilvl="7" w:tplc="932EC662" w:tentative="1">
      <w:start w:val="1"/>
      <w:numFmt w:val="bullet"/>
      <w:lvlText w:val=""/>
      <w:lvlJc w:val="left"/>
      <w:pPr>
        <w:tabs>
          <w:tab w:val="num" w:pos="5760"/>
        </w:tabs>
        <w:ind w:left="5760" w:hanging="360"/>
      </w:pPr>
      <w:rPr>
        <w:rFonts w:ascii="Wingdings" w:hAnsi="Wingdings" w:hint="default"/>
      </w:rPr>
    </w:lvl>
    <w:lvl w:ilvl="8" w:tplc="4324126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FAB7EA5"/>
    <w:multiLevelType w:val="hybridMultilevel"/>
    <w:tmpl w:val="9D184E26"/>
    <w:lvl w:ilvl="0" w:tplc="656C4070">
      <w:start w:val="1"/>
      <w:numFmt w:val="bullet"/>
      <w:lvlText w:val=""/>
      <w:lvlJc w:val="left"/>
      <w:pPr>
        <w:tabs>
          <w:tab w:val="num" w:pos="720"/>
        </w:tabs>
        <w:ind w:left="720" w:hanging="360"/>
      </w:pPr>
      <w:rPr>
        <w:rFonts w:ascii="Wingdings" w:hAnsi="Wingdings" w:hint="default"/>
      </w:rPr>
    </w:lvl>
    <w:lvl w:ilvl="1" w:tplc="8828EEFE" w:tentative="1">
      <w:start w:val="1"/>
      <w:numFmt w:val="bullet"/>
      <w:lvlText w:val=""/>
      <w:lvlJc w:val="left"/>
      <w:pPr>
        <w:tabs>
          <w:tab w:val="num" w:pos="1440"/>
        </w:tabs>
        <w:ind w:left="1440" w:hanging="360"/>
      </w:pPr>
      <w:rPr>
        <w:rFonts w:ascii="Wingdings" w:hAnsi="Wingdings" w:hint="default"/>
      </w:rPr>
    </w:lvl>
    <w:lvl w:ilvl="2" w:tplc="0DEEC67C" w:tentative="1">
      <w:start w:val="1"/>
      <w:numFmt w:val="bullet"/>
      <w:lvlText w:val=""/>
      <w:lvlJc w:val="left"/>
      <w:pPr>
        <w:tabs>
          <w:tab w:val="num" w:pos="2160"/>
        </w:tabs>
        <w:ind w:left="2160" w:hanging="360"/>
      </w:pPr>
      <w:rPr>
        <w:rFonts w:ascii="Wingdings" w:hAnsi="Wingdings" w:hint="default"/>
      </w:rPr>
    </w:lvl>
    <w:lvl w:ilvl="3" w:tplc="F7728BDE" w:tentative="1">
      <w:start w:val="1"/>
      <w:numFmt w:val="bullet"/>
      <w:lvlText w:val=""/>
      <w:lvlJc w:val="left"/>
      <w:pPr>
        <w:tabs>
          <w:tab w:val="num" w:pos="2880"/>
        </w:tabs>
        <w:ind w:left="2880" w:hanging="360"/>
      </w:pPr>
      <w:rPr>
        <w:rFonts w:ascii="Wingdings" w:hAnsi="Wingdings" w:hint="default"/>
      </w:rPr>
    </w:lvl>
    <w:lvl w:ilvl="4" w:tplc="52141B26" w:tentative="1">
      <w:start w:val="1"/>
      <w:numFmt w:val="bullet"/>
      <w:lvlText w:val=""/>
      <w:lvlJc w:val="left"/>
      <w:pPr>
        <w:tabs>
          <w:tab w:val="num" w:pos="3600"/>
        </w:tabs>
        <w:ind w:left="3600" w:hanging="360"/>
      </w:pPr>
      <w:rPr>
        <w:rFonts w:ascii="Wingdings" w:hAnsi="Wingdings" w:hint="default"/>
      </w:rPr>
    </w:lvl>
    <w:lvl w:ilvl="5" w:tplc="C13E1998" w:tentative="1">
      <w:start w:val="1"/>
      <w:numFmt w:val="bullet"/>
      <w:lvlText w:val=""/>
      <w:lvlJc w:val="left"/>
      <w:pPr>
        <w:tabs>
          <w:tab w:val="num" w:pos="4320"/>
        </w:tabs>
        <w:ind w:left="4320" w:hanging="360"/>
      </w:pPr>
      <w:rPr>
        <w:rFonts w:ascii="Wingdings" w:hAnsi="Wingdings" w:hint="default"/>
      </w:rPr>
    </w:lvl>
    <w:lvl w:ilvl="6" w:tplc="2BD02C72" w:tentative="1">
      <w:start w:val="1"/>
      <w:numFmt w:val="bullet"/>
      <w:lvlText w:val=""/>
      <w:lvlJc w:val="left"/>
      <w:pPr>
        <w:tabs>
          <w:tab w:val="num" w:pos="5040"/>
        </w:tabs>
        <w:ind w:left="5040" w:hanging="360"/>
      </w:pPr>
      <w:rPr>
        <w:rFonts w:ascii="Wingdings" w:hAnsi="Wingdings" w:hint="default"/>
      </w:rPr>
    </w:lvl>
    <w:lvl w:ilvl="7" w:tplc="6A70B85C" w:tentative="1">
      <w:start w:val="1"/>
      <w:numFmt w:val="bullet"/>
      <w:lvlText w:val=""/>
      <w:lvlJc w:val="left"/>
      <w:pPr>
        <w:tabs>
          <w:tab w:val="num" w:pos="5760"/>
        </w:tabs>
        <w:ind w:left="5760" w:hanging="360"/>
      </w:pPr>
      <w:rPr>
        <w:rFonts w:ascii="Wingdings" w:hAnsi="Wingdings" w:hint="default"/>
      </w:rPr>
    </w:lvl>
    <w:lvl w:ilvl="8" w:tplc="5726C50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377238E"/>
    <w:multiLevelType w:val="hybridMultilevel"/>
    <w:tmpl w:val="7DCEE7D2"/>
    <w:lvl w:ilvl="0" w:tplc="F82C67D2">
      <w:start w:val="1"/>
      <w:numFmt w:val="bullet"/>
      <w:lvlText w:val=""/>
      <w:lvlJc w:val="left"/>
      <w:pPr>
        <w:tabs>
          <w:tab w:val="num" w:pos="720"/>
        </w:tabs>
        <w:ind w:left="720" w:hanging="360"/>
      </w:pPr>
      <w:rPr>
        <w:rFonts w:ascii="Wingdings" w:hAnsi="Wingdings" w:hint="default"/>
      </w:rPr>
    </w:lvl>
    <w:lvl w:ilvl="1" w:tplc="4CC0D77C" w:tentative="1">
      <w:start w:val="1"/>
      <w:numFmt w:val="bullet"/>
      <w:lvlText w:val=""/>
      <w:lvlJc w:val="left"/>
      <w:pPr>
        <w:tabs>
          <w:tab w:val="num" w:pos="1440"/>
        </w:tabs>
        <w:ind w:left="1440" w:hanging="360"/>
      </w:pPr>
      <w:rPr>
        <w:rFonts w:ascii="Wingdings" w:hAnsi="Wingdings" w:hint="default"/>
      </w:rPr>
    </w:lvl>
    <w:lvl w:ilvl="2" w:tplc="45228EF4" w:tentative="1">
      <w:start w:val="1"/>
      <w:numFmt w:val="bullet"/>
      <w:lvlText w:val=""/>
      <w:lvlJc w:val="left"/>
      <w:pPr>
        <w:tabs>
          <w:tab w:val="num" w:pos="2160"/>
        </w:tabs>
        <w:ind w:left="2160" w:hanging="360"/>
      </w:pPr>
      <w:rPr>
        <w:rFonts w:ascii="Wingdings" w:hAnsi="Wingdings" w:hint="default"/>
      </w:rPr>
    </w:lvl>
    <w:lvl w:ilvl="3" w:tplc="C7A46D68" w:tentative="1">
      <w:start w:val="1"/>
      <w:numFmt w:val="bullet"/>
      <w:lvlText w:val=""/>
      <w:lvlJc w:val="left"/>
      <w:pPr>
        <w:tabs>
          <w:tab w:val="num" w:pos="2880"/>
        </w:tabs>
        <w:ind w:left="2880" w:hanging="360"/>
      </w:pPr>
      <w:rPr>
        <w:rFonts w:ascii="Wingdings" w:hAnsi="Wingdings" w:hint="default"/>
      </w:rPr>
    </w:lvl>
    <w:lvl w:ilvl="4" w:tplc="873EFBB4" w:tentative="1">
      <w:start w:val="1"/>
      <w:numFmt w:val="bullet"/>
      <w:lvlText w:val=""/>
      <w:lvlJc w:val="left"/>
      <w:pPr>
        <w:tabs>
          <w:tab w:val="num" w:pos="3600"/>
        </w:tabs>
        <w:ind w:left="3600" w:hanging="360"/>
      </w:pPr>
      <w:rPr>
        <w:rFonts w:ascii="Wingdings" w:hAnsi="Wingdings" w:hint="default"/>
      </w:rPr>
    </w:lvl>
    <w:lvl w:ilvl="5" w:tplc="D490344A" w:tentative="1">
      <w:start w:val="1"/>
      <w:numFmt w:val="bullet"/>
      <w:lvlText w:val=""/>
      <w:lvlJc w:val="left"/>
      <w:pPr>
        <w:tabs>
          <w:tab w:val="num" w:pos="4320"/>
        </w:tabs>
        <w:ind w:left="4320" w:hanging="360"/>
      </w:pPr>
      <w:rPr>
        <w:rFonts w:ascii="Wingdings" w:hAnsi="Wingdings" w:hint="default"/>
      </w:rPr>
    </w:lvl>
    <w:lvl w:ilvl="6" w:tplc="55C4B42C" w:tentative="1">
      <w:start w:val="1"/>
      <w:numFmt w:val="bullet"/>
      <w:lvlText w:val=""/>
      <w:lvlJc w:val="left"/>
      <w:pPr>
        <w:tabs>
          <w:tab w:val="num" w:pos="5040"/>
        </w:tabs>
        <w:ind w:left="5040" w:hanging="360"/>
      </w:pPr>
      <w:rPr>
        <w:rFonts w:ascii="Wingdings" w:hAnsi="Wingdings" w:hint="default"/>
      </w:rPr>
    </w:lvl>
    <w:lvl w:ilvl="7" w:tplc="741243FE" w:tentative="1">
      <w:start w:val="1"/>
      <w:numFmt w:val="bullet"/>
      <w:lvlText w:val=""/>
      <w:lvlJc w:val="left"/>
      <w:pPr>
        <w:tabs>
          <w:tab w:val="num" w:pos="5760"/>
        </w:tabs>
        <w:ind w:left="5760" w:hanging="360"/>
      </w:pPr>
      <w:rPr>
        <w:rFonts w:ascii="Wingdings" w:hAnsi="Wingdings" w:hint="default"/>
      </w:rPr>
    </w:lvl>
    <w:lvl w:ilvl="8" w:tplc="E906465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3686644E"/>
    <w:multiLevelType w:val="multilevel"/>
    <w:tmpl w:val="BA829DA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360" w:hanging="360"/>
      </w:pPr>
    </w:lvl>
    <w:lvl w:ilvl="3">
      <w:start w:val="1"/>
      <w:numFmt w:val="decimal"/>
      <w:lvlText w:val="%1.%2.%3.%4"/>
      <w:lvlJc w:val="left"/>
      <w:pPr>
        <w:ind w:left="720" w:hanging="720"/>
      </w:pPr>
    </w:lvl>
    <w:lvl w:ilvl="4">
      <w:start w:val="1"/>
      <w:numFmt w:val="decimal"/>
      <w:lvlText w:val="%1.%2.%3.%4.%5"/>
      <w:lvlJc w:val="left"/>
      <w:pPr>
        <w:ind w:left="720" w:hanging="720"/>
      </w:pPr>
    </w:lvl>
    <w:lvl w:ilvl="5">
      <w:start w:val="1"/>
      <w:numFmt w:val="decimal"/>
      <w:lvlText w:val="%1.%2.%3.%4.%5.%6"/>
      <w:lvlJc w:val="left"/>
      <w:pPr>
        <w:ind w:left="1080" w:hanging="1080"/>
      </w:pPr>
    </w:lvl>
    <w:lvl w:ilvl="6">
      <w:start w:val="1"/>
      <w:numFmt w:val="decimal"/>
      <w:lvlText w:val="%1.%2.%3.%4.%5.%6.%7"/>
      <w:lvlJc w:val="left"/>
      <w:pPr>
        <w:ind w:left="1080" w:hanging="1080"/>
      </w:pPr>
    </w:lvl>
    <w:lvl w:ilvl="7">
      <w:start w:val="1"/>
      <w:numFmt w:val="decimal"/>
      <w:lvlText w:val="%1.%2.%3.%4.%5.%6.%7.%8"/>
      <w:lvlJc w:val="left"/>
      <w:pPr>
        <w:ind w:left="1080" w:hanging="1080"/>
      </w:pPr>
    </w:lvl>
    <w:lvl w:ilvl="8">
      <w:start w:val="1"/>
      <w:numFmt w:val="decimal"/>
      <w:lvlText w:val="%1.%2.%3.%4.%5.%6.%7.%8.%9"/>
      <w:lvlJc w:val="left"/>
      <w:pPr>
        <w:ind w:left="1440" w:hanging="1440"/>
      </w:pPr>
    </w:lvl>
  </w:abstractNum>
  <w:abstractNum w:abstractNumId="5" w15:restartNumberingAfterBreak="0">
    <w:nsid w:val="3BA4317B"/>
    <w:multiLevelType w:val="hybridMultilevel"/>
    <w:tmpl w:val="071E684C"/>
    <w:lvl w:ilvl="0" w:tplc="9DEE6256">
      <w:start w:val="1"/>
      <w:numFmt w:val="bullet"/>
      <w:lvlText w:val=""/>
      <w:lvlJc w:val="left"/>
      <w:pPr>
        <w:tabs>
          <w:tab w:val="num" w:pos="720"/>
        </w:tabs>
        <w:ind w:left="720" w:hanging="360"/>
      </w:pPr>
      <w:rPr>
        <w:rFonts w:ascii="Wingdings" w:hAnsi="Wingdings" w:hint="default"/>
      </w:rPr>
    </w:lvl>
    <w:lvl w:ilvl="1" w:tplc="DD768E26" w:tentative="1">
      <w:start w:val="1"/>
      <w:numFmt w:val="bullet"/>
      <w:lvlText w:val=""/>
      <w:lvlJc w:val="left"/>
      <w:pPr>
        <w:tabs>
          <w:tab w:val="num" w:pos="1440"/>
        </w:tabs>
        <w:ind w:left="1440" w:hanging="360"/>
      </w:pPr>
      <w:rPr>
        <w:rFonts w:ascii="Wingdings" w:hAnsi="Wingdings" w:hint="default"/>
      </w:rPr>
    </w:lvl>
    <w:lvl w:ilvl="2" w:tplc="C958EC8A" w:tentative="1">
      <w:start w:val="1"/>
      <w:numFmt w:val="bullet"/>
      <w:lvlText w:val=""/>
      <w:lvlJc w:val="left"/>
      <w:pPr>
        <w:tabs>
          <w:tab w:val="num" w:pos="2160"/>
        </w:tabs>
        <w:ind w:left="2160" w:hanging="360"/>
      </w:pPr>
      <w:rPr>
        <w:rFonts w:ascii="Wingdings" w:hAnsi="Wingdings" w:hint="default"/>
      </w:rPr>
    </w:lvl>
    <w:lvl w:ilvl="3" w:tplc="12825F9A" w:tentative="1">
      <w:start w:val="1"/>
      <w:numFmt w:val="bullet"/>
      <w:lvlText w:val=""/>
      <w:lvlJc w:val="left"/>
      <w:pPr>
        <w:tabs>
          <w:tab w:val="num" w:pos="2880"/>
        </w:tabs>
        <w:ind w:left="2880" w:hanging="360"/>
      </w:pPr>
      <w:rPr>
        <w:rFonts w:ascii="Wingdings" w:hAnsi="Wingdings" w:hint="default"/>
      </w:rPr>
    </w:lvl>
    <w:lvl w:ilvl="4" w:tplc="ECC605D0" w:tentative="1">
      <w:start w:val="1"/>
      <w:numFmt w:val="bullet"/>
      <w:lvlText w:val=""/>
      <w:lvlJc w:val="left"/>
      <w:pPr>
        <w:tabs>
          <w:tab w:val="num" w:pos="3600"/>
        </w:tabs>
        <w:ind w:left="3600" w:hanging="360"/>
      </w:pPr>
      <w:rPr>
        <w:rFonts w:ascii="Wingdings" w:hAnsi="Wingdings" w:hint="default"/>
      </w:rPr>
    </w:lvl>
    <w:lvl w:ilvl="5" w:tplc="76A63E34" w:tentative="1">
      <w:start w:val="1"/>
      <w:numFmt w:val="bullet"/>
      <w:lvlText w:val=""/>
      <w:lvlJc w:val="left"/>
      <w:pPr>
        <w:tabs>
          <w:tab w:val="num" w:pos="4320"/>
        </w:tabs>
        <w:ind w:left="4320" w:hanging="360"/>
      </w:pPr>
      <w:rPr>
        <w:rFonts w:ascii="Wingdings" w:hAnsi="Wingdings" w:hint="default"/>
      </w:rPr>
    </w:lvl>
    <w:lvl w:ilvl="6" w:tplc="C78AABCE" w:tentative="1">
      <w:start w:val="1"/>
      <w:numFmt w:val="bullet"/>
      <w:lvlText w:val=""/>
      <w:lvlJc w:val="left"/>
      <w:pPr>
        <w:tabs>
          <w:tab w:val="num" w:pos="5040"/>
        </w:tabs>
        <w:ind w:left="5040" w:hanging="360"/>
      </w:pPr>
      <w:rPr>
        <w:rFonts w:ascii="Wingdings" w:hAnsi="Wingdings" w:hint="default"/>
      </w:rPr>
    </w:lvl>
    <w:lvl w:ilvl="7" w:tplc="A7F27254" w:tentative="1">
      <w:start w:val="1"/>
      <w:numFmt w:val="bullet"/>
      <w:lvlText w:val=""/>
      <w:lvlJc w:val="left"/>
      <w:pPr>
        <w:tabs>
          <w:tab w:val="num" w:pos="5760"/>
        </w:tabs>
        <w:ind w:left="5760" w:hanging="360"/>
      </w:pPr>
      <w:rPr>
        <w:rFonts w:ascii="Wingdings" w:hAnsi="Wingdings" w:hint="default"/>
      </w:rPr>
    </w:lvl>
    <w:lvl w:ilvl="8" w:tplc="923A329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6247998"/>
    <w:multiLevelType w:val="hybridMultilevel"/>
    <w:tmpl w:val="3732F90E"/>
    <w:lvl w:ilvl="0" w:tplc="47F85AF4">
      <w:start w:val="1"/>
      <w:numFmt w:val="bullet"/>
      <w:lvlText w:val=""/>
      <w:lvlJc w:val="left"/>
      <w:pPr>
        <w:tabs>
          <w:tab w:val="num" w:pos="720"/>
        </w:tabs>
        <w:ind w:left="720" w:hanging="360"/>
      </w:pPr>
      <w:rPr>
        <w:rFonts w:ascii="Wingdings" w:hAnsi="Wingdings" w:hint="default"/>
      </w:rPr>
    </w:lvl>
    <w:lvl w:ilvl="1" w:tplc="CB366C7A" w:tentative="1">
      <w:start w:val="1"/>
      <w:numFmt w:val="bullet"/>
      <w:lvlText w:val=""/>
      <w:lvlJc w:val="left"/>
      <w:pPr>
        <w:tabs>
          <w:tab w:val="num" w:pos="1440"/>
        </w:tabs>
        <w:ind w:left="1440" w:hanging="360"/>
      </w:pPr>
      <w:rPr>
        <w:rFonts w:ascii="Wingdings" w:hAnsi="Wingdings" w:hint="default"/>
      </w:rPr>
    </w:lvl>
    <w:lvl w:ilvl="2" w:tplc="0562E8B6" w:tentative="1">
      <w:start w:val="1"/>
      <w:numFmt w:val="bullet"/>
      <w:lvlText w:val=""/>
      <w:lvlJc w:val="left"/>
      <w:pPr>
        <w:tabs>
          <w:tab w:val="num" w:pos="2160"/>
        </w:tabs>
        <w:ind w:left="2160" w:hanging="360"/>
      </w:pPr>
      <w:rPr>
        <w:rFonts w:ascii="Wingdings" w:hAnsi="Wingdings" w:hint="default"/>
      </w:rPr>
    </w:lvl>
    <w:lvl w:ilvl="3" w:tplc="32847780" w:tentative="1">
      <w:start w:val="1"/>
      <w:numFmt w:val="bullet"/>
      <w:lvlText w:val=""/>
      <w:lvlJc w:val="left"/>
      <w:pPr>
        <w:tabs>
          <w:tab w:val="num" w:pos="2880"/>
        </w:tabs>
        <w:ind w:left="2880" w:hanging="360"/>
      </w:pPr>
      <w:rPr>
        <w:rFonts w:ascii="Wingdings" w:hAnsi="Wingdings" w:hint="default"/>
      </w:rPr>
    </w:lvl>
    <w:lvl w:ilvl="4" w:tplc="E7A095AE" w:tentative="1">
      <w:start w:val="1"/>
      <w:numFmt w:val="bullet"/>
      <w:lvlText w:val=""/>
      <w:lvlJc w:val="left"/>
      <w:pPr>
        <w:tabs>
          <w:tab w:val="num" w:pos="3600"/>
        </w:tabs>
        <w:ind w:left="3600" w:hanging="360"/>
      </w:pPr>
      <w:rPr>
        <w:rFonts w:ascii="Wingdings" w:hAnsi="Wingdings" w:hint="default"/>
      </w:rPr>
    </w:lvl>
    <w:lvl w:ilvl="5" w:tplc="A6546848" w:tentative="1">
      <w:start w:val="1"/>
      <w:numFmt w:val="bullet"/>
      <w:lvlText w:val=""/>
      <w:lvlJc w:val="left"/>
      <w:pPr>
        <w:tabs>
          <w:tab w:val="num" w:pos="4320"/>
        </w:tabs>
        <w:ind w:left="4320" w:hanging="360"/>
      </w:pPr>
      <w:rPr>
        <w:rFonts w:ascii="Wingdings" w:hAnsi="Wingdings" w:hint="default"/>
      </w:rPr>
    </w:lvl>
    <w:lvl w:ilvl="6" w:tplc="29AAB5A0" w:tentative="1">
      <w:start w:val="1"/>
      <w:numFmt w:val="bullet"/>
      <w:lvlText w:val=""/>
      <w:lvlJc w:val="left"/>
      <w:pPr>
        <w:tabs>
          <w:tab w:val="num" w:pos="5040"/>
        </w:tabs>
        <w:ind w:left="5040" w:hanging="360"/>
      </w:pPr>
      <w:rPr>
        <w:rFonts w:ascii="Wingdings" w:hAnsi="Wingdings" w:hint="default"/>
      </w:rPr>
    </w:lvl>
    <w:lvl w:ilvl="7" w:tplc="5DDC5498" w:tentative="1">
      <w:start w:val="1"/>
      <w:numFmt w:val="bullet"/>
      <w:lvlText w:val=""/>
      <w:lvlJc w:val="left"/>
      <w:pPr>
        <w:tabs>
          <w:tab w:val="num" w:pos="5760"/>
        </w:tabs>
        <w:ind w:left="5760" w:hanging="360"/>
      </w:pPr>
      <w:rPr>
        <w:rFonts w:ascii="Wingdings" w:hAnsi="Wingdings" w:hint="default"/>
      </w:rPr>
    </w:lvl>
    <w:lvl w:ilvl="8" w:tplc="AAFABFD6" w:tentative="1">
      <w:start w:val="1"/>
      <w:numFmt w:val="bullet"/>
      <w:lvlText w:val=""/>
      <w:lvlJc w:val="left"/>
      <w:pPr>
        <w:tabs>
          <w:tab w:val="num" w:pos="6480"/>
        </w:tabs>
        <w:ind w:left="6480" w:hanging="360"/>
      </w:pPr>
      <w:rPr>
        <w:rFonts w:ascii="Wingdings" w:hAnsi="Wingdings" w:hint="default"/>
      </w:rPr>
    </w:lvl>
  </w:abstractNum>
  <w:num w:numId="1" w16cid:durableId="1789354110">
    <w:abstractNumId w:val="3"/>
  </w:num>
  <w:num w:numId="2" w16cid:durableId="18883721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48159205">
    <w:abstractNumId w:val="2"/>
  </w:num>
  <w:num w:numId="4" w16cid:durableId="1229262789">
    <w:abstractNumId w:val="0"/>
  </w:num>
  <w:num w:numId="5" w16cid:durableId="1568687426">
    <w:abstractNumId w:val="1"/>
  </w:num>
  <w:num w:numId="6" w16cid:durableId="273900297">
    <w:abstractNumId w:val="6"/>
  </w:num>
  <w:num w:numId="7" w16cid:durableId="2218702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22C"/>
    <w:rsid w:val="00023BB5"/>
    <w:rsid w:val="000421D8"/>
    <w:rsid w:val="00085B80"/>
    <w:rsid w:val="000D1E18"/>
    <w:rsid w:val="000F1C2A"/>
    <w:rsid w:val="000F6164"/>
    <w:rsid w:val="0010704C"/>
    <w:rsid w:val="001B2EB9"/>
    <w:rsid w:val="001B6012"/>
    <w:rsid w:val="001D2EE0"/>
    <w:rsid w:val="00233A90"/>
    <w:rsid w:val="00264FCB"/>
    <w:rsid w:val="00267B6F"/>
    <w:rsid w:val="00270937"/>
    <w:rsid w:val="00271013"/>
    <w:rsid w:val="002C5F8A"/>
    <w:rsid w:val="00320BC2"/>
    <w:rsid w:val="003261CF"/>
    <w:rsid w:val="00366801"/>
    <w:rsid w:val="00370729"/>
    <w:rsid w:val="00373C08"/>
    <w:rsid w:val="003918BF"/>
    <w:rsid w:val="003D188B"/>
    <w:rsid w:val="00496736"/>
    <w:rsid w:val="004B120E"/>
    <w:rsid w:val="00516CDB"/>
    <w:rsid w:val="005656F8"/>
    <w:rsid w:val="005D7A41"/>
    <w:rsid w:val="005F5C57"/>
    <w:rsid w:val="0063523B"/>
    <w:rsid w:val="00635F88"/>
    <w:rsid w:val="00656345"/>
    <w:rsid w:val="0066122C"/>
    <w:rsid w:val="00693F1C"/>
    <w:rsid w:val="006D0871"/>
    <w:rsid w:val="006F0747"/>
    <w:rsid w:val="00746546"/>
    <w:rsid w:val="007624C8"/>
    <w:rsid w:val="007A2A9F"/>
    <w:rsid w:val="0080797A"/>
    <w:rsid w:val="00864478"/>
    <w:rsid w:val="008736B9"/>
    <w:rsid w:val="008840A1"/>
    <w:rsid w:val="00893401"/>
    <w:rsid w:val="008A2D92"/>
    <w:rsid w:val="008A6D74"/>
    <w:rsid w:val="00A333AE"/>
    <w:rsid w:val="00A736AB"/>
    <w:rsid w:val="00AB66E8"/>
    <w:rsid w:val="00AF33DC"/>
    <w:rsid w:val="00B10830"/>
    <w:rsid w:val="00B94400"/>
    <w:rsid w:val="00C02A46"/>
    <w:rsid w:val="00CA5D40"/>
    <w:rsid w:val="00CF11E0"/>
    <w:rsid w:val="00D075D9"/>
    <w:rsid w:val="00D4530E"/>
    <w:rsid w:val="00D54ECC"/>
    <w:rsid w:val="00DB47FC"/>
    <w:rsid w:val="00DD2255"/>
    <w:rsid w:val="00E21239"/>
    <w:rsid w:val="00E64B91"/>
    <w:rsid w:val="00EC0530"/>
    <w:rsid w:val="00EE008F"/>
    <w:rsid w:val="00EE2A4B"/>
    <w:rsid w:val="00F22E3F"/>
    <w:rsid w:val="00F70E0B"/>
    <w:rsid w:val="00F71B2A"/>
    <w:rsid w:val="00F846E4"/>
    <w:rsid w:val="00FE4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824F2"/>
  <w15:chartTrackingRefBased/>
  <w15:docId w15:val="{43B6A4BA-5443-4C98-A7A7-E713DC116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22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66122C"/>
    <w:rPr>
      <w:rFonts w:ascii="Arial" w:eastAsia="Arial" w:hAnsi="Arial" w:cs="Arial"/>
      <w:color w:val="000000" w:themeColor="text1"/>
    </w:rPr>
  </w:style>
  <w:style w:type="paragraph" w:styleId="ListParagraph">
    <w:name w:val="List Paragraph"/>
    <w:basedOn w:val="Normal"/>
    <w:link w:val="ListParagraphChar"/>
    <w:uiPriority w:val="34"/>
    <w:qFormat/>
    <w:rsid w:val="0066122C"/>
    <w:pPr>
      <w:autoSpaceDE w:val="0"/>
      <w:autoSpaceDN w:val="0"/>
      <w:adjustRightInd w:val="0"/>
      <w:spacing w:before="120" w:line="264" w:lineRule="auto"/>
      <w:ind w:left="1953" w:hanging="360"/>
      <w:jc w:val="both"/>
    </w:pPr>
    <w:rPr>
      <w:rFonts w:ascii="Arial" w:eastAsia="Arial" w:hAnsi="Arial" w:cs="Arial"/>
      <w:color w:val="000000" w:themeColor="text1"/>
    </w:rPr>
  </w:style>
  <w:style w:type="paragraph" w:styleId="Header">
    <w:name w:val="header"/>
    <w:basedOn w:val="Normal"/>
    <w:link w:val="HeaderChar"/>
    <w:uiPriority w:val="99"/>
    <w:unhideWhenUsed/>
    <w:rsid w:val="00661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22C"/>
  </w:style>
  <w:style w:type="paragraph" w:styleId="Footer">
    <w:name w:val="footer"/>
    <w:basedOn w:val="Normal"/>
    <w:link w:val="FooterChar"/>
    <w:uiPriority w:val="99"/>
    <w:unhideWhenUsed/>
    <w:rsid w:val="00661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22C"/>
  </w:style>
  <w:style w:type="paragraph" w:styleId="NormalWeb">
    <w:name w:val="Normal (Web)"/>
    <w:basedOn w:val="Normal"/>
    <w:uiPriority w:val="99"/>
    <w:unhideWhenUsed/>
    <w:rsid w:val="00D453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70E0B"/>
    <w:rPr>
      <w:color w:val="0563C1" w:themeColor="hyperlink"/>
      <w:u w:val="single"/>
    </w:rPr>
  </w:style>
  <w:style w:type="character" w:styleId="UnresolvedMention">
    <w:name w:val="Unresolved Mention"/>
    <w:basedOn w:val="DefaultParagraphFont"/>
    <w:uiPriority w:val="99"/>
    <w:semiHidden/>
    <w:unhideWhenUsed/>
    <w:rsid w:val="005656F8"/>
    <w:rPr>
      <w:color w:val="605E5C"/>
      <w:shd w:val="clear" w:color="auto" w:fill="E1DFDD"/>
    </w:rPr>
  </w:style>
  <w:style w:type="paragraph" w:styleId="NoSpacing">
    <w:name w:val="No Spacing"/>
    <w:uiPriority w:val="1"/>
    <w:qFormat/>
    <w:rsid w:val="00267B6F"/>
    <w:pPr>
      <w:spacing w:after="0" w:line="240" w:lineRule="auto"/>
    </w:pPr>
  </w:style>
  <w:style w:type="table" w:styleId="TableGrid">
    <w:name w:val="Table Grid"/>
    <w:basedOn w:val="TableNormal"/>
    <w:uiPriority w:val="39"/>
    <w:rsid w:val="00023BB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AB66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92522">
      <w:bodyDiv w:val="1"/>
      <w:marLeft w:val="0"/>
      <w:marRight w:val="0"/>
      <w:marTop w:val="0"/>
      <w:marBottom w:val="0"/>
      <w:divBdr>
        <w:top w:val="none" w:sz="0" w:space="0" w:color="auto"/>
        <w:left w:val="none" w:sz="0" w:space="0" w:color="auto"/>
        <w:bottom w:val="none" w:sz="0" w:space="0" w:color="auto"/>
        <w:right w:val="none" w:sz="0" w:space="0" w:color="auto"/>
      </w:divBdr>
    </w:div>
    <w:div w:id="163982071">
      <w:bodyDiv w:val="1"/>
      <w:marLeft w:val="0"/>
      <w:marRight w:val="0"/>
      <w:marTop w:val="0"/>
      <w:marBottom w:val="0"/>
      <w:divBdr>
        <w:top w:val="none" w:sz="0" w:space="0" w:color="auto"/>
        <w:left w:val="none" w:sz="0" w:space="0" w:color="auto"/>
        <w:bottom w:val="none" w:sz="0" w:space="0" w:color="auto"/>
        <w:right w:val="none" w:sz="0" w:space="0" w:color="auto"/>
      </w:divBdr>
    </w:div>
    <w:div w:id="187181565">
      <w:bodyDiv w:val="1"/>
      <w:marLeft w:val="0"/>
      <w:marRight w:val="0"/>
      <w:marTop w:val="0"/>
      <w:marBottom w:val="0"/>
      <w:divBdr>
        <w:top w:val="none" w:sz="0" w:space="0" w:color="auto"/>
        <w:left w:val="none" w:sz="0" w:space="0" w:color="auto"/>
        <w:bottom w:val="none" w:sz="0" w:space="0" w:color="auto"/>
        <w:right w:val="none" w:sz="0" w:space="0" w:color="auto"/>
      </w:divBdr>
    </w:div>
    <w:div w:id="197861773">
      <w:bodyDiv w:val="1"/>
      <w:marLeft w:val="0"/>
      <w:marRight w:val="0"/>
      <w:marTop w:val="0"/>
      <w:marBottom w:val="0"/>
      <w:divBdr>
        <w:top w:val="none" w:sz="0" w:space="0" w:color="auto"/>
        <w:left w:val="none" w:sz="0" w:space="0" w:color="auto"/>
        <w:bottom w:val="none" w:sz="0" w:space="0" w:color="auto"/>
        <w:right w:val="none" w:sz="0" w:space="0" w:color="auto"/>
      </w:divBdr>
      <w:divsChild>
        <w:div w:id="334457163">
          <w:marLeft w:val="547"/>
          <w:marRight w:val="0"/>
          <w:marTop w:val="120"/>
          <w:marBottom w:val="160"/>
          <w:divBdr>
            <w:top w:val="none" w:sz="0" w:space="0" w:color="auto"/>
            <w:left w:val="none" w:sz="0" w:space="0" w:color="auto"/>
            <w:bottom w:val="none" w:sz="0" w:space="0" w:color="auto"/>
            <w:right w:val="none" w:sz="0" w:space="0" w:color="auto"/>
          </w:divBdr>
        </w:div>
      </w:divsChild>
    </w:div>
    <w:div w:id="213741994">
      <w:bodyDiv w:val="1"/>
      <w:marLeft w:val="0"/>
      <w:marRight w:val="0"/>
      <w:marTop w:val="0"/>
      <w:marBottom w:val="0"/>
      <w:divBdr>
        <w:top w:val="none" w:sz="0" w:space="0" w:color="auto"/>
        <w:left w:val="none" w:sz="0" w:space="0" w:color="auto"/>
        <w:bottom w:val="none" w:sz="0" w:space="0" w:color="auto"/>
        <w:right w:val="none" w:sz="0" w:space="0" w:color="auto"/>
      </w:divBdr>
    </w:div>
    <w:div w:id="336928811">
      <w:bodyDiv w:val="1"/>
      <w:marLeft w:val="0"/>
      <w:marRight w:val="0"/>
      <w:marTop w:val="0"/>
      <w:marBottom w:val="0"/>
      <w:divBdr>
        <w:top w:val="none" w:sz="0" w:space="0" w:color="auto"/>
        <w:left w:val="none" w:sz="0" w:space="0" w:color="auto"/>
        <w:bottom w:val="none" w:sz="0" w:space="0" w:color="auto"/>
        <w:right w:val="none" w:sz="0" w:space="0" w:color="auto"/>
      </w:divBdr>
    </w:div>
    <w:div w:id="470247143">
      <w:bodyDiv w:val="1"/>
      <w:marLeft w:val="0"/>
      <w:marRight w:val="0"/>
      <w:marTop w:val="0"/>
      <w:marBottom w:val="0"/>
      <w:divBdr>
        <w:top w:val="none" w:sz="0" w:space="0" w:color="auto"/>
        <w:left w:val="none" w:sz="0" w:space="0" w:color="auto"/>
        <w:bottom w:val="none" w:sz="0" w:space="0" w:color="auto"/>
        <w:right w:val="none" w:sz="0" w:space="0" w:color="auto"/>
      </w:divBdr>
      <w:divsChild>
        <w:div w:id="2114280608">
          <w:marLeft w:val="547"/>
          <w:marRight w:val="0"/>
          <w:marTop w:val="120"/>
          <w:marBottom w:val="160"/>
          <w:divBdr>
            <w:top w:val="none" w:sz="0" w:space="0" w:color="auto"/>
            <w:left w:val="none" w:sz="0" w:space="0" w:color="auto"/>
            <w:bottom w:val="none" w:sz="0" w:space="0" w:color="auto"/>
            <w:right w:val="none" w:sz="0" w:space="0" w:color="auto"/>
          </w:divBdr>
        </w:div>
      </w:divsChild>
    </w:div>
    <w:div w:id="637489783">
      <w:bodyDiv w:val="1"/>
      <w:marLeft w:val="0"/>
      <w:marRight w:val="0"/>
      <w:marTop w:val="0"/>
      <w:marBottom w:val="0"/>
      <w:divBdr>
        <w:top w:val="none" w:sz="0" w:space="0" w:color="auto"/>
        <w:left w:val="none" w:sz="0" w:space="0" w:color="auto"/>
        <w:bottom w:val="none" w:sz="0" w:space="0" w:color="auto"/>
        <w:right w:val="none" w:sz="0" w:space="0" w:color="auto"/>
      </w:divBdr>
    </w:div>
    <w:div w:id="691613090">
      <w:bodyDiv w:val="1"/>
      <w:marLeft w:val="0"/>
      <w:marRight w:val="0"/>
      <w:marTop w:val="0"/>
      <w:marBottom w:val="0"/>
      <w:divBdr>
        <w:top w:val="none" w:sz="0" w:space="0" w:color="auto"/>
        <w:left w:val="none" w:sz="0" w:space="0" w:color="auto"/>
        <w:bottom w:val="none" w:sz="0" w:space="0" w:color="auto"/>
        <w:right w:val="none" w:sz="0" w:space="0" w:color="auto"/>
      </w:divBdr>
    </w:div>
    <w:div w:id="750542219">
      <w:bodyDiv w:val="1"/>
      <w:marLeft w:val="0"/>
      <w:marRight w:val="0"/>
      <w:marTop w:val="0"/>
      <w:marBottom w:val="0"/>
      <w:divBdr>
        <w:top w:val="none" w:sz="0" w:space="0" w:color="auto"/>
        <w:left w:val="none" w:sz="0" w:space="0" w:color="auto"/>
        <w:bottom w:val="none" w:sz="0" w:space="0" w:color="auto"/>
        <w:right w:val="none" w:sz="0" w:space="0" w:color="auto"/>
      </w:divBdr>
    </w:div>
    <w:div w:id="775367564">
      <w:bodyDiv w:val="1"/>
      <w:marLeft w:val="0"/>
      <w:marRight w:val="0"/>
      <w:marTop w:val="0"/>
      <w:marBottom w:val="0"/>
      <w:divBdr>
        <w:top w:val="none" w:sz="0" w:space="0" w:color="auto"/>
        <w:left w:val="none" w:sz="0" w:space="0" w:color="auto"/>
        <w:bottom w:val="none" w:sz="0" w:space="0" w:color="auto"/>
        <w:right w:val="none" w:sz="0" w:space="0" w:color="auto"/>
      </w:divBdr>
    </w:div>
    <w:div w:id="890775769">
      <w:bodyDiv w:val="1"/>
      <w:marLeft w:val="0"/>
      <w:marRight w:val="0"/>
      <w:marTop w:val="0"/>
      <w:marBottom w:val="0"/>
      <w:divBdr>
        <w:top w:val="none" w:sz="0" w:space="0" w:color="auto"/>
        <w:left w:val="none" w:sz="0" w:space="0" w:color="auto"/>
        <w:bottom w:val="none" w:sz="0" w:space="0" w:color="auto"/>
        <w:right w:val="none" w:sz="0" w:space="0" w:color="auto"/>
      </w:divBdr>
    </w:div>
    <w:div w:id="903104370">
      <w:bodyDiv w:val="1"/>
      <w:marLeft w:val="0"/>
      <w:marRight w:val="0"/>
      <w:marTop w:val="0"/>
      <w:marBottom w:val="0"/>
      <w:divBdr>
        <w:top w:val="none" w:sz="0" w:space="0" w:color="auto"/>
        <w:left w:val="none" w:sz="0" w:space="0" w:color="auto"/>
        <w:bottom w:val="none" w:sz="0" w:space="0" w:color="auto"/>
        <w:right w:val="none" w:sz="0" w:space="0" w:color="auto"/>
      </w:divBdr>
      <w:divsChild>
        <w:div w:id="784344365">
          <w:marLeft w:val="547"/>
          <w:marRight w:val="0"/>
          <w:marTop w:val="120"/>
          <w:marBottom w:val="160"/>
          <w:divBdr>
            <w:top w:val="none" w:sz="0" w:space="0" w:color="auto"/>
            <w:left w:val="none" w:sz="0" w:space="0" w:color="auto"/>
            <w:bottom w:val="none" w:sz="0" w:space="0" w:color="auto"/>
            <w:right w:val="none" w:sz="0" w:space="0" w:color="auto"/>
          </w:divBdr>
        </w:div>
      </w:divsChild>
    </w:div>
    <w:div w:id="1021590015">
      <w:bodyDiv w:val="1"/>
      <w:marLeft w:val="0"/>
      <w:marRight w:val="0"/>
      <w:marTop w:val="0"/>
      <w:marBottom w:val="0"/>
      <w:divBdr>
        <w:top w:val="none" w:sz="0" w:space="0" w:color="auto"/>
        <w:left w:val="none" w:sz="0" w:space="0" w:color="auto"/>
        <w:bottom w:val="none" w:sz="0" w:space="0" w:color="auto"/>
        <w:right w:val="none" w:sz="0" w:space="0" w:color="auto"/>
      </w:divBdr>
    </w:div>
    <w:div w:id="1101221280">
      <w:bodyDiv w:val="1"/>
      <w:marLeft w:val="0"/>
      <w:marRight w:val="0"/>
      <w:marTop w:val="0"/>
      <w:marBottom w:val="0"/>
      <w:divBdr>
        <w:top w:val="none" w:sz="0" w:space="0" w:color="auto"/>
        <w:left w:val="none" w:sz="0" w:space="0" w:color="auto"/>
        <w:bottom w:val="none" w:sz="0" w:space="0" w:color="auto"/>
        <w:right w:val="none" w:sz="0" w:space="0" w:color="auto"/>
      </w:divBdr>
    </w:div>
    <w:div w:id="1117992674">
      <w:bodyDiv w:val="1"/>
      <w:marLeft w:val="0"/>
      <w:marRight w:val="0"/>
      <w:marTop w:val="0"/>
      <w:marBottom w:val="0"/>
      <w:divBdr>
        <w:top w:val="none" w:sz="0" w:space="0" w:color="auto"/>
        <w:left w:val="none" w:sz="0" w:space="0" w:color="auto"/>
        <w:bottom w:val="none" w:sz="0" w:space="0" w:color="auto"/>
        <w:right w:val="none" w:sz="0" w:space="0" w:color="auto"/>
      </w:divBdr>
      <w:divsChild>
        <w:div w:id="985934846">
          <w:marLeft w:val="547"/>
          <w:marRight w:val="0"/>
          <w:marTop w:val="120"/>
          <w:marBottom w:val="160"/>
          <w:divBdr>
            <w:top w:val="none" w:sz="0" w:space="0" w:color="auto"/>
            <w:left w:val="none" w:sz="0" w:space="0" w:color="auto"/>
            <w:bottom w:val="none" w:sz="0" w:space="0" w:color="auto"/>
            <w:right w:val="none" w:sz="0" w:space="0" w:color="auto"/>
          </w:divBdr>
        </w:div>
      </w:divsChild>
    </w:div>
    <w:div w:id="1175995853">
      <w:bodyDiv w:val="1"/>
      <w:marLeft w:val="0"/>
      <w:marRight w:val="0"/>
      <w:marTop w:val="0"/>
      <w:marBottom w:val="0"/>
      <w:divBdr>
        <w:top w:val="none" w:sz="0" w:space="0" w:color="auto"/>
        <w:left w:val="none" w:sz="0" w:space="0" w:color="auto"/>
        <w:bottom w:val="none" w:sz="0" w:space="0" w:color="auto"/>
        <w:right w:val="none" w:sz="0" w:space="0" w:color="auto"/>
      </w:divBdr>
      <w:divsChild>
        <w:div w:id="655454107">
          <w:marLeft w:val="547"/>
          <w:marRight w:val="0"/>
          <w:marTop w:val="120"/>
          <w:marBottom w:val="160"/>
          <w:divBdr>
            <w:top w:val="none" w:sz="0" w:space="0" w:color="auto"/>
            <w:left w:val="none" w:sz="0" w:space="0" w:color="auto"/>
            <w:bottom w:val="none" w:sz="0" w:space="0" w:color="auto"/>
            <w:right w:val="none" w:sz="0" w:space="0" w:color="auto"/>
          </w:divBdr>
        </w:div>
      </w:divsChild>
    </w:div>
    <w:div w:id="1214972672">
      <w:bodyDiv w:val="1"/>
      <w:marLeft w:val="0"/>
      <w:marRight w:val="0"/>
      <w:marTop w:val="0"/>
      <w:marBottom w:val="0"/>
      <w:divBdr>
        <w:top w:val="none" w:sz="0" w:space="0" w:color="auto"/>
        <w:left w:val="none" w:sz="0" w:space="0" w:color="auto"/>
        <w:bottom w:val="none" w:sz="0" w:space="0" w:color="auto"/>
        <w:right w:val="none" w:sz="0" w:space="0" w:color="auto"/>
      </w:divBdr>
    </w:div>
    <w:div w:id="1412000083">
      <w:bodyDiv w:val="1"/>
      <w:marLeft w:val="0"/>
      <w:marRight w:val="0"/>
      <w:marTop w:val="0"/>
      <w:marBottom w:val="0"/>
      <w:divBdr>
        <w:top w:val="none" w:sz="0" w:space="0" w:color="auto"/>
        <w:left w:val="none" w:sz="0" w:space="0" w:color="auto"/>
        <w:bottom w:val="none" w:sz="0" w:space="0" w:color="auto"/>
        <w:right w:val="none" w:sz="0" w:space="0" w:color="auto"/>
      </w:divBdr>
    </w:div>
    <w:div w:id="1432044349">
      <w:bodyDiv w:val="1"/>
      <w:marLeft w:val="0"/>
      <w:marRight w:val="0"/>
      <w:marTop w:val="0"/>
      <w:marBottom w:val="0"/>
      <w:divBdr>
        <w:top w:val="none" w:sz="0" w:space="0" w:color="auto"/>
        <w:left w:val="none" w:sz="0" w:space="0" w:color="auto"/>
        <w:bottom w:val="none" w:sz="0" w:space="0" w:color="auto"/>
        <w:right w:val="none" w:sz="0" w:space="0" w:color="auto"/>
      </w:divBdr>
    </w:div>
    <w:div w:id="1463376691">
      <w:bodyDiv w:val="1"/>
      <w:marLeft w:val="0"/>
      <w:marRight w:val="0"/>
      <w:marTop w:val="0"/>
      <w:marBottom w:val="0"/>
      <w:divBdr>
        <w:top w:val="none" w:sz="0" w:space="0" w:color="auto"/>
        <w:left w:val="none" w:sz="0" w:space="0" w:color="auto"/>
        <w:bottom w:val="none" w:sz="0" w:space="0" w:color="auto"/>
        <w:right w:val="none" w:sz="0" w:space="0" w:color="auto"/>
      </w:divBdr>
    </w:div>
    <w:div w:id="1868323256">
      <w:bodyDiv w:val="1"/>
      <w:marLeft w:val="0"/>
      <w:marRight w:val="0"/>
      <w:marTop w:val="0"/>
      <w:marBottom w:val="0"/>
      <w:divBdr>
        <w:top w:val="none" w:sz="0" w:space="0" w:color="auto"/>
        <w:left w:val="none" w:sz="0" w:space="0" w:color="auto"/>
        <w:bottom w:val="none" w:sz="0" w:space="0" w:color="auto"/>
        <w:right w:val="none" w:sz="0" w:space="0" w:color="auto"/>
      </w:divBdr>
    </w:div>
    <w:div w:id="1989435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analytics-factsheet/" TargetMode="External"/><Relationship Id="rId3" Type="http://schemas.openxmlformats.org/officeDocument/2006/relationships/settings" Target="settings.xml"/><Relationship Id="rId7" Type="http://schemas.openxmlformats.org/officeDocument/2006/relationships/hyperlink" Target="https://www.cipd.org/uk/knowledge/factsheets/evidence-based-practice-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5</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Harries</dc:creator>
  <cp:keywords/>
  <dc:description/>
  <cp:lastModifiedBy>Jordan Harries</cp:lastModifiedBy>
  <cp:revision>5</cp:revision>
  <dcterms:created xsi:type="dcterms:W3CDTF">2023-12-14T01:26:00Z</dcterms:created>
  <dcterms:modified xsi:type="dcterms:W3CDTF">2023-12-18T03:35:00Z</dcterms:modified>
</cp:coreProperties>
</file>