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C2F16DA" w14:paraId="4A6FDEB6" wp14:textId="02E46124">
      <w:pPr>
        <w:pStyle w:val="NoSpacing"/>
        <w:spacing w:after="240" w:line="240" w:lineRule="auto"/>
        <w:jc w:val="center"/>
      </w:pPr>
      <w:r w:rsidR="7C2F16DA">
        <w:drawing>
          <wp:inline xmlns:wp14="http://schemas.microsoft.com/office/word/2010/wordprocessingDrawing" wp14:editId="7C2F16DA" wp14:anchorId="362FDEE2">
            <wp:extent cx="1819275" cy="733425"/>
            <wp:effectExtent l="0" t="0" r="0" b="0"/>
            <wp:docPr id="1871325182" name="" descr="Discover University of Wales Trinity Saint David" title=""/>
            <wp:cNvGraphicFramePr>
              <a:graphicFrameLocks noChangeAspect="1"/>
            </wp:cNvGraphicFramePr>
            <a:graphic>
              <a:graphicData uri="http://schemas.openxmlformats.org/drawingml/2006/picture">
                <pic:pic>
                  <pic:nvPicPr>
                    <pic:cNvPr id="0" name=""/>
                    <pic:cNvPicPr/>
                  </pic:nvPicPr>
                  <pic:blipFill>
                    <a:blip r:embed="Rdb1ecbd523664a65">
                      <a:extLst>
                        <a:ext xmlns:a="http://schemas.openxmlformats.org/drawingml/2006/main" uri="{28A0092B-C50C-407E-A947-70E740481C1C}">
                          <a14:useLocalDpi val="0"/>
                        </a:ext>
                      </a:extLst>
                    </a:blip>
                    <a:stretch>
                      <a:fillRect/>
                    </a:stretch>
                  </pic:blipFill>
                  <pic:spPr>
                    <a:xfrm>
                      <a:off x="0" y="0"/>
                      <a:ext cx="1819275" cy="733425"/>
                    </a:xfrm>
                    <a:prstGeom prst="rect">
                      <a:avLst/>
                    </a:prstGeom>
                  </pic:spPr>
                </pic:pic>
              </a:graphicData>
            </a:graphic>
          </wp:inline>
        </w:drawing>
      </w:r>
      <w:r>
        <w:br/>
      </w:r>
    </w:p>
    <w:p xmlns:wp14="http://schemas.microsoft.com/office/word/2010/wordml" w:rsidP="7C2F16DA" w14:paraId="3DE0F152" wp14:textId="6074A62D">
      <w:pPr>
        <w:pStyle w:val="NoSpacing"/>
        <w:spacing w:after="240" w:line="240" w:lineRule="auto"/>
        <w:jc w:val="center"/>
      </w:pPr>
    </w:p>
    <w:p xmlns:wp14="http://schemas.microsoft.com/office/word/2010/wordml" w:rsidP="7C2F16DA" w14:paraId="47B06E7B" wp14:textId="591CA098">
      <w:pPr>
        <w:pStyle w:val="NoSpacing"/>
        <w:spacing w:after="240" w:line="240" w:lineRule="auto"/>
        <w:jc w:val="center"/>
      </w:pPr>
      <w:r w:rsidRPr="7C2F16DA" w:rsidR="7C2F16DA">
        <w:rPr>
          <w:rFonts w:ascii="Arial" w:hAnsi="Arial" w:eastAsia="Arial" w:cs="Arial"/>
          <w:b w:val="0"/>
          <w:bCs w:val="0"/>
          <w:i w:val="0"/>
          <w:iCs w:val="0"/>
          <w:caps w:val="1"/>
          <w:noProof w:val="0"/>
          <w:color w:val="4472C4" w:themeColor="accent1" w:themeTint="FF" w:themeShade="FF"/>
          <w:sz w:val="36"/>
          <w:szCs w:val="36"/>
          <w:lang w:val="en-US"/>
        </w:rPr>
        <w:t>FINANCIAL MANAGEMENT FOR THE HOTEL INDUSTRY</w:t>
      </w:r>
      <w:r w:rsidRPr="7C2F16DA" w:rsidR="7C2F16DA">
        <w:rPr>
          <w:rFonts w:ascii="Arial" w:hAnsi="Arial" w:eastAsia="Arial" w:cs="Arial"/>
          <w:b w:val="0"/>
          <w:bCs w:val="0"/>
          <w:i w:val="0"/>
          <w:iCs w:val="0"/>
          <w:caps w:val="0"/>
          <w:smallCaps w:val="0"/>
          <w:noProof w:val="0"/>
          <w:color w:val="000000" w:themeColor="text1" w:themeTint="FF" w:themeShade="FF"/>
          <w:sz w:val="36"/>
          <w:szCs w:val="36"/>
          <w:lang w:val="en-US"/>
        </w:rPr>
        <w:t xml:space="preserve"> </w:t>
      </w:r>
    </w:p>
    <w:p xmlns:wp14="http://schemas.microsoft.com/office/word/2010/wordml" w:rsidP="7C2F16DA" w14:paraId="1F66D8CC" wp14:textId="79D33546">
      <w:pPr>
        <w:pStyle w:val="NoSpacing"/>
        <w:spacing w:after="240" w:line="240" w:lineRule="auto"/>
        <w:jc w:val="center"/>
        <w:rPr>
          <w:rFonts w:ascii="Arial" w:hAnsi="Arial" w:eastAsia="Arial" w:cs="Arial"/>
          <w:b w:val="0"/>
          <w:bCs w:val="0"/>
          <w:i w:val="0"/>
          <w:iCs w:val="0"/>
          <w:caps w:val="0"/>
          <w:smallCaps w:val="0"/>
          <w:noProof w:val="0"/>
          <w:color w:val="0070C0"/>
          <w:sz w:val="36"/>
          <w:szCs w:val="36"/>
          <w:lang w:val="en-US"/>
        </w:rPr>
      </w:pPr>
      <w:r w:rsidRPr="7C2F16DA" w:rsidR="7C2F16DA">
        <w:rPr>
          <w:rFonts w:ascii="Arial" w:hAnsi="Arial" w:eastAsia="Arial" w:cs="Arial"/>
          <w:b w:val="0"/>
          <w:bCs w:val="0"/>
          <w:i w:val="0"/>
          <w:iCs w:val="0"/>
          <w:caps w:val="0"/>
          <w:smallCaps w:val="0"/>
          <w:noProof w:val="0"/>
          <w:color w:val="0070C0"/>
          <w:sz w:val="36"/>
          <w:szCs w:val="36"/>
          <w:lang w:val="en-US"/>
        </w:rPr>
        <w:t>Hotel Hilton</w:t>
      </w:r>
    </w:p>
    <w:p xmlns:wp14="http://schemas.microsoft.com/office/word/2010/wordml" w:rsidP="7C2F16DA" w14:paraId="2BFBBBDE" wp14:textId="082C44B4">
      <w:pPr>
        <w:pStyle w:val="NoSpacing"/>
        <w:spacing w:after="240" w:line="240"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7C2F16DA" w14:paraId="5295E18C" wp14:textId="311FE724">
      <w:pPr>
        <w:pStyle w:val="NoSpacing"/>
        <w:spacing w:after="240" w:line="240" w:lineRule="auto"/>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7C2F16DA" w:rsidR="7C2F16DA">
        <w:rPr>
          <w:rFonts w:ascii="Arial" w:hAnsi="Arial" w:eastAsia="Arial" w:cs="Arial"/>
          <w:b w:val="0"/>
          <w:bCs w:val="0"/>
          <w:i w:val="0"/>
          <w:iCs w:val="0"/>
          <w:caps w:val="0"/>
          <w:smallCaps w:val="0"/>
          <w:noProof w:val="0"/>
          <w:color w:val="000000" w:themeColor="text1" w:themeTint="FF" w:themeShade="FF"/>
          <w:sz w:val="32"/>
          <w:szCs w:val="32"/>
          <w:lang w:val="en-US"/>
        </w:rPr>
        <w:t xml:space="preserve">Student Name - Laxshan </w:t>
      </w:r>
      <w:proofErr w:type="spellStart"/>
      <w:r w:rsidRPr="7C2F16DA" w:rsidR="7C2F16DA">
        <w:rPr>
          <w:rFonts w:ascii="Arial" w:hAnsi="Arial" w:eastAsia="Arial" w:cs="Arial"/>
          <w:b w:val="0"/>
          <w:bCs w:val="0"/>
          <w:i w:val="0"/>
          <w:iCs w:val="0"/>
          <w:caps w:val="0"/>
          <w:smallCaps w:val="0"/>
          <w:noProof w:val="0"/>
          <w:color w:val="000000" w:themeColor="text1" w:themeTint="FF" w:themeShade="FF"/>
          <w:sz w:val="32"/>
          <w:szCs w:val="32"/>
          <w:lang w:val="en-US"/>
        </w:rPr>
        <w:t>Rajagopalasingam</w:t>
      </w:r>
      <w:proofErr w:type="spellEnd"/>
    </w:p>
    <w:p xmlns:wp14="http://schemas.microsoft.com/office/word/2010/wordml" w:rsidP="7C2F16DA" w14:paraId="00114D6E" wp14:textId="04DF65AF">
      <w:pPr>
        <w:pStyle w:val="NoSpacing"/>
        <w:spacing w:after="240" w:line="240" w:lineRule="auto"/>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7C2F16DA" w:rsidR="7C2F16DA">
        <w:rPr>
          <w:rFonts w:ascii="Arial" w:hAnsi="Arial" w:eastAsia="Arial" w:cs="Arial"/>
          <w:b w:val="0"/>
          <w:bCs w:val="0"/>
          <w:i w:val="0"/>
          <w:iCs w:val="0"/>
          <w:caps w:val="0"/>
          <w:smallCaps w:val="0"/>
          <w:noProof w:val="0"/>
          <w:color w:val="000000" w:themeColor="text1" w:themeTint="FF" w:themeShade="FF"/>
          <w:sz w:val="32"/>
          <w:szCs w:val="32"/>
          <w:lang w:val="en-US"/>
        </w:rPr>
        <w:t>Student Id - 2017474</w:t>
      </w:r>
    </w:p>
    <w:p xmlns:wp14="http://schemas.microsoft.com/office/word/2010/wordml" w:rsidP="7C2F16DA" w14:paraId="2B319E24" wp14:textId="2B451FC4">
      <w:pPr>
        <w:pStyle w:val="NoSpacing"/>
        <w:spacing w:after="240" w:line="240" w:lineRule="auto"/>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7C2F16DA" w:rsidR="7C2F16DA">
        <w:rPr>
          <w:rFonts w:ascii="Arial" w:hAnsi="Arial" w:eastAsia="Arial" w:cs="Arial"/>
          <w:b w:val="0"/>
          <w:bCs w:val="0"/>
          <w:i w:val="0"/>
          <w:iCs w:val="0"/>
          <w:caps w:val="0"/>
          <w:smallCaps w:val="0"/>
          <w:noProof w:val="0"/>
          <w:color w:val="000000" w:themeColor="text1" w:themeTint="FF" w:themeShade="FF"/>
          <w:sz w:val="32"/>
          <w:szCs w:val="32"/>
          <w:lang w:val="en-US"/>
        </w:rPr>
        <w:t>Lecturer Name – Dale Clarke</w:t>
      </w:r>
    </w:p>
    <w:p xmlns:wp14="http://schemas.microsoft.com/office/word/2010/wordml" w:rsidP="7C2F16DA" w14:paraId="093C3B14" wp14:textId="0AE4CE34">
      <w:pPr>
        <w:pStyle w:val="NoSpacing"/>
        <w:spacing w:after="240" w:line="240" w:lineRule="auto"/>
        <w:jc w:val="center"/>
        <w:rPr>
          <w:rFonts w:ascii="Arial" w:hAnsi="Arial" w:eastAsia="Arial" w:cs="Arial"/>
          <w:b w:val="0"/>
          <w:bCs w:val="0"/>
          <w:i w:val="0"/>
          <w:iCs w:val="0"/>
          <w:caps w:val="0"/>
          <w:smallCaps w:val="0"/>
          <w:noProof w:val="0"/>
          <w:color w:val="000000" w:themeColor="text1" w:themeTint="FF" w:themeShade="FF"/>
          <w:sz w:val="32"/>
          <w:szCs w:val="32"/>
          <w:lang w:val="en-US"/>
        </w:rPr>
      </w:pPr>
    </w:p>
    <w:p xmlns:wp14="http://schemas.microsoft.com/office/word/2010/wordml" w:rsidP="7C2F16DA" w14:paraId="3684D329" wp14:textId="6112B342">
      <w:pPr>
        <w:pStyle w:val="Normal"/>
        <w:spacing w:after="240" w:line="240" w:lineRule="auto"/>
        <w:jc w:val="center"/>
      </w:pPr>
      <w:r w:rsidR="7C2F16DA">
        <w:drawing>
          <wp:inline xmlns:wp14="http://schemas.microsoft.com/office/word/2010/wordprocessingDrawing" wp14:editId="08CED931" wp14:anchorId="3C051931">
            <wp:extent cx="762000" cy="485775"/>
            <wp:effectExtent l="0" t="0" r="0" b="0"/>
            <wp:docPr id="1557866546" name="" title=""/>
            <wp:cNvGraphicFramePr>
              <a:graphicFrameLocks noChangeAspect="1"/>
            </wp:cNvGraphicFramePr>
            <a:graphic>
              <a:graphicData uri="http://schemas.openxmlformats.org/drawingml/2006/picture">
                <pic:pic>
                  <pic:nvPicPr>
                    <pic:cNvPr id="0" name=""/>
                    <pic:cNvPicPr/>
                  </pic:nvPicPr>
                  <pic:blipFill>
                    <a:blip r:embed="Rd2d549cd5cf04884">
                      <a:extLst>
                        <a:ext xmlns:a="http://schemas.openxmlformats.org/drawingml/2006/main" uri="{28A0092B-C50C-407E-A947-70E740481C1C}">
                          <a14:useLocalDpi val="0"/>
                        </a:ext>
                      </a:extLst>
                    </a:blip>
                    <a:stretch>
                      <a:fillRect/>
                    </a:stretch>
                  </pic:blipFill>
                  <pic:spPr>
                    <a:xfrm>
                      <a:off x="0" y="0"/>
                      <a:ext cx="762000" cy="485775"/>
                    </a:xfrm>
                    <a:prstGeom prst="rect">
                      <a:avLst/>
                    </a:prstGeom>
                  </pic:spPr>
                </pic:pic>
              </a:graphicData>
            </a:graphic>
          </wp:inline>
        </w:drawing>
      </w:r>
      <w:r w:rsidR="7C2F16DA">
        <w:drawing>
          <wp:inline xmlns:wp14="http://schemas.microsoft.com/office/word/2010/wordprocessingDrawing" wp14:editId="47DFDC79" wp14:anchorId="69B836A9">
            <wp:extent cx="4572000" cy="400050"/>
            <wp:effectExtent l="0" t="0" r="0" b="0"/>
            <wp:docPr id="1557866546" name="" descr="Text Box" title=""/>
            <wp:cNvGraphicFramePr>
              <a:graphicFrameLocks noChangeAspect="1"/>
            </wp:cNvGraphicFramePr>
            <a:graphic>
              <a:graphicData uri="http://schemas.openxmlformats.org/drawingml/2006/picture">
                <pic:pic>
                  <pic:nvPicPr>
                    <pic:cNvPr id="0" name=""/>
                    <pic:cNvPicPr/>
                  </pic:nvPicPr>
                  <pic:blipFill>
                    <a:blip r:embed="R922a8e808b0d47d4">
                      <a:extLst>
                        <a:ext xmlns:a="http://schemas.openxmlformats.org/drawingml/2006/main" uri="{28A0092B-C50C-407E-A947-70E740481C1C}">
                          <a14:useLocalDpi val="0"/>
                        </a:ext>
                      </a:extLst>
                    </a:blip>
                    <a:stretch>
                      <a:fillRect/>
                    </a:stretch>
                  </pic:blipFill>
                  <pic:spPr>
                    <a:xfrm>
                      <a:off x="0" y="0"/>
                      <a:ext cx="4572000" cy="400050"/>
                    </a:xfrm>
                    <a:prstGeom prst="rect">
                      <a:avLst/>
                    </a:prstGeom>
                  </pic:spPr>
                </pic:pic>
              </a:graphicData>
            </a:graphic>
          </wp:inline>
        </w:drawing>
      </w:r>
    </w:p>
    <w:p xmlns:wp14="http://schemas.microsoft.com/office/word/2010/wordml" w:rsidP="7C2F16DA" w14:paraId="18EC0C4D" wp14:textId="3D2DF75D">
      <w:pPr>
        <w:spacing w:before="120" w:after="120" w:line="360" w:lineRule="auto"/>
        <w:jc w:val="both"/>
        <w:rPr>
          <w:rFonts w:ascii="Arial" w:hAnsi="Arial" w:eastAsia="Arial" w:cs="Arial"/>
          <w:b w:val="1"/>
          <w:bCs w:val="1"/>
          <w:i w:val="0"/>
          <w:iCs w:val="0"/>
          <w:caps w:val="0"/>
          <w:smallCaps w:val="0"/>
          <w:noProof w:val="0"/>
          <w:color w:val="4472C4" w:themeColor="accent1" w:themeTint="FF" w:themeShade="FF"/>
          <w:sz w:val="32"/>
          <w:szCs w:val="32"/>
          <w:lang w:val="en-US"/>
        </w:rPr>
      </w:pPr>
      <w:r>
        <w:br w:type="page"/>
      </w:r>
      <w:r w:rsidRPr="7C2F16DA" w:rsidR="7C2F16DA">
        <w:rPr>
          <w:rFonts w:ascii="Arial" w:hAnsi="Arial" w:eastAsia="Arial" w:cs="Arial"/>
          <w:b w:val="1"/>
          <w:bCs w:val="1"/>
          <w:color w:val="2F5496" w:themeColor="accent1" w:themeTint="FF" w:themeShade="BF"/>
          <w:sz w:val="32"/>
          <w:szCs w:val="32"/>
        </w:rPr>
        <w:t xml:space="preserve">Executive </w:t>
      </w:r>
      <w:r w:rsidRPr="7C2F16DA" w:rsidR="7C2F16DA">
        <w:rPr>
          <w:rFonts w:ascii="Arial" w:hAnsi="Arial" w:eastAsia="Arial" w:cs="Arial"/>
          <w:b w:val="1"/>
          <w:bCs w:val="1"/>
          <w:i w:val="0"/>
          <w:iCs w:val="0"/>
          <w:caps w:val="0"/>
          <w:smallCaps w:val="0"/>
          <w:noProof w:val="0"/>
          <w:color w:val="2F5496" w:themeColor="accent1" w:themeTint="FF" w:themeShade="BF"/>
          <w:sz w:val="32"/>
          <w:szCs w:val="32"/>
          <w:lang w:val="en-GB"/>
        </w:rPr>
        <w:t>Summary</w:t>
      </w:r>
    </w:p>
    <w:p xmlns:wp14="http://schemas.microsoft.com/office/word/2010/wordml" w:rsidP="7C2F16DA" w14:paraId="4DD86207" wp14:textId="6D279277">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 xml:space="preserve">The purpose of this study is to </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determine</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 xml:space="preserve"> the performance of the company Hilton Worldwide Holding Inc. This study shows the overall performance of the company for the two years and that shows a significant result of the performance of the company. In this study, there is a horizontal analysis of the company that shows the performance of the company as well as there is also a ratio analysis for this company of the two </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years,</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 xml:space="preserve"> and it shows the performance between the two years. Though this study includes a brief idea about the Horizontal Analysis and the performance analysis.</w:t>
      </w:r>
    </w:p>
    <w:p xmlns:wp14="http://schemas.microsoft.com/office/word/2010/wordml" w:rsidP="7C2F16DA" w14:paraId="3127A6CA" wp14:textId="29DD06C8">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7C2F16DA" w14:paraId="3500A47B" wp14:textId="1C85CD59">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7C2F16DA" w14:paraId="52316FEB" wp14:textId="0D864EAC">
      <w:pPr>
        <w:spacing w:before="120"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br w:type="page"/>
      </w:r>
    </w:p>
    <w:p xmlns:wp14="http://schemas.microsoft.com/office/word/2010/wordml" w:rsidP="7C2F16DA" w14:paraId="73DF1DA5" wp14:textId="1FE3F73E">
      <w:pPr>
        <w:spacing w:before="120" w:after="120" w:line="360" w:lineRule="auto"/>
        <w:jc w:val="center"/>
        <w:rPr>
          <w:rFonts w:ascii="Arial" w:hAnsi="Arial" w:eastAsia="Arial" w:cs="Arial"/>
          <w:b w:val="1"/>
          <w:bCs w:val="1"/>
          <w:i w:val="0"/>
          <w:iCs w:val="0"/>
          <w:caps w:val="0"/>
          <w:smallCaps w:val="0"/>
          <w:noProof w:val="0"/>
          <w:color w:val="2F5496" w:themeColor="accent1" w:themeTint="FF" w:themeShade="BF"/>
          <w:sz w:val="32"/>
          <w:szCs w:val="32"/>
          <w:lang w:val="en-US"/>
        </w:rPr>
      </w:pPr>
      <w:r w:rsidRPr="7C2F16DA" w:rsidR="7C2F16DA">
        <w:rPr>
          <w:rFonts w:ascii="Arial" w:hAnsi="Arial" w:eastAsia="Arial" w:cs="Arial"/>
          <w:b w:val="1"/>
          <w:bCs w:val="1"/>
          <w:i w:val="0"/>
          <w:iCs w:val="0"/>
          <w:caps w:val="0"/>
          <w:smallCaps w:val="0"/>
          <w:noProof w:val="0"/>
          <w:color w:val="2F5496" w:themeColor="accent1" w:themeTint="FF" w:themeShade="BF"/>
          <w:sz w:val="32"/>
          <w:szCs w:val="32"/>
          <w:lang w:val="en-US"/>
        </w:rPr>
        <w:t>Table of Contents</w:t>
      </w:r>
    </w:p>
    <w:p xmlns:wp14="http://schemas.microsoft.com/office/word/2010/wordml" w:rsidP="7C2F16DA" w14:paraId="0F9A9979" wp14:textId="3BFB0345">
      <w:pPr>
        <w:tabs>
          <w:tab w:val="right" w:leader="dot" w:pos="9016"/>
        </w:tabs>
        <w:spacing w:before="120" w:after="100" w:line="36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C2F16DA" w14:paraId="200C9AEE" wp14:textId="2FCC27D9">
      <w:pPr>
        <w:pStyle w:val="Normal"/>
        <w:tabs>
          <w:tab w:val="right" w:leader="dot" w:pos="9016"/>
        </w:tabs>
        <w:spacing w:before="120" w:after="10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US"/>
        </w:rPr>
        <w:t xml:space="preserve">Executive </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US"/>
        </w:rPr>
        <w:t xml:space="preserve">Summary </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US"/>
        </w:rPr>
        <w:t>- 2</w:t>
      </w:r>
    </w:p>
    <w:p xmlns:wp14="http://schemas.microsoft.com/office/word/2010/wordml" w:rsidP="7C2F16DA" w14:paraId="6D40ED24" wp14:textId="3872CA6D">
      <w:pPr>
        <w:pStyle w:val="Normal"/>
        <w:tabs>
          <w:tab w:val="right" w:leader="dot" w:pos="9016"/>
        </w:tabs>
        <w:spacing w:before="120" w:after="10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US"/>
        </w:rPr>
        <w:t>Introduction - 4</w:t>
      </w:r>
    </w:p>
    <w:p xmlns:wp14="http://schemas.microsoft.com/office/word/2010/wordml" w:rsidP="7C2F16DA" w14:paraId="7970CA8F" wp14:textId="7AEF9B0B">
      <w:pPr>
        <w:pStyle w:val="Normal"/>
        <w:tabs>
          <w:tab w:val="right" w:leader="dot" w:pos="9016"/>
        </w:tabs>
        <w:spacing w:before="120" w:after="10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US"/>
        </w:rPr>
        <w:t>Financial Analysis – 4</w:t>
      </w:r>
    </w:p>
    <w:p xmlns:wp14="http://schemas.microsoft.com/office/word/2010/wordml" w:rsidP="7C2F16DA" w14:paraId="7BEEC44B" wp14:textId="1C169DF8">
      <w:pPr>
        <w:pStyle w:val="Normal"/>
        <w:tabs>
          <w:tab w:val="right" w:leader="dot" w:pos="9016"/>
        </w:tabs>
        <w:spacing w:before="120" w:after="10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US"/>
        </w:rPr>
        <w:t>Financial Analysis Trends – 5</w:t>
      </w:r>
    </w:p>
    <w:p xmlns:wp14="http://schemas.microsoft.com/office/word/2010/wordml" w:rsidP="7C2F16DA" w14:paraId="5CC6BBF9" wp14:textId="16A20B0D">
      <w:pPr>
        <w:pStyle w:val="ListParagraph"/>
        <w:numPr>
          <w:ilvl w:val="0"/>
          <w:numId w:val="1"/>
        </w:numPr>
        <w:tabs>
          <w:tab w:val="right" w:leader="dot" w:pos="9016"/>
        </w:tabs>
        <w:spacing w:before="120" w:after="10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US"/>
        </w:rPr>
        <w:t>Calculation of Horizontal Ratios for 2019 and 2020 – 6</w:t>
      </w:r>
    </w:p>
    <w:p xmlns:wp14="http://schemas.microsoft.com/office/word/2010/wordml" w:rsidP="7C2F16DA" w14:paraId="4508D9F3" wp14:textId="3E7F2C0A">
      <w:pPr>
        <w:pStyle w:val="Normal"/>
        <w:tabs>
          <w:tab w:val="right" w:leader="dot" w:pos="9016"/>
        </w:tabs>
        <w:spacing w:before="120" w:after="100"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US"/>
        </w:rPr>
        <w:t>Discussion on the Trends in These Ratios Analysis – 7</w:t>
      </w:r>
    </w:p>
    <w:p xmlns:wp14="http://schemas.microsoft.com/office/word/2010/wordml" w:rsidP="7C2F16DA" w14:paraId="17DBF315" wp14:textId="5854D9B4">
      <w:pPr>
        <w:pStyle w:val="Normal"/>
        <w:tabs>
          <w:tab w:val="right" w:leader="dot" w:pos="9016"/>
        </w:tabs>
        <w:spacing w:before="120" w:after="100"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US"/>
        </w:rPr>
        <w:t>Gross Profit Ratio – 7</w:t>
      </w:r>
    </w:p>
    <w:p xmlns:wp14="http://schemas.microsoft.com/office/word/2010/wordml" w:rsidP="7C2F16DA" w14:paraId="4F3259F6" wp14:textId="54C47528">
      <w:pPr>
        <w:pStyle w:val="Normal"/>
        <w:tabs>
          <w:tab w:val="right" w:leader="dot" w:pos="9016"/>
        </w:tabs>
        <w:spacing w:before="120" w:after="100"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US"/>
        </w:rPr>
        <w:t>Operating Profit Ratio – 8</w:t>
      </w:r>
    </w:p>
    <w:p xmlns:wp14="http://schemas.microsoft.com/office/word/2010/wordml" w:rsidP="7C2F16DA" w14:paraId="4368BC26" wp14:textId="144B99AB">
      <w:pPr>
        <w:pStyle w:val="Normal"/>
        <w:tabs>
          <w:tab w:val="right" w:leader="dot" w:pos="9016"/>
        </w:tabs>
        <w:spacing w:before="120" w:after="100"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US"/>
        </w:rPr>
        <w:t>Net Profit Ratio - 8</w:t>
      </w:r>
    </w:p>
    <w:p xmlns:wp14="http://schemas.microsoft.com/office/word/2010/wordml" w:rsidP="7C2F16DA" w14:paraId="13F51284" wp14:textId="0B407F6C">
      <w:pPr>
        <w:pStyle w:val="Normal"/>
        <w:tabs>
          <w:tab w:val="right" w:leader="dot" w:pos="9016"/>
        </w:tabs>
        <w:spacing w:before="120" w:after="100"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US"/>
        </w:rPr>
        <w:t>Interest Coverage Ratio - 9</w:t>
      </w:r>
    </w:p>
    <w:p xmlns:wp14="http://schemas.microsoft.com/office/word/2010/wordml" w:rsidP="7C2F16DA" w14:paraId="6AD14AFC" wp14:textId="4A4C9E6E">
      <w:pPr>
        <w:pStyle w:val="Normal"/>
        <w:tabs>
          <w:tab w:val="right" w:leader="dot" w:pos="9016"/>
        </w:tabs>
        <w:spacing w:before="120" w:after="100"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US"/>
        </w:rPr>
        <w:t>Current Ratio – 9</w:t>
      </w:r>
    </w:p>
    <w:p xmlns:wp14="http://schemas.microsoft.com/office/word/2010/wordml" w:rsidP="7C2F16DA" w14:paraId="7AD8FB41" wp14:textId="2EFE2955">
      <w:pPr>
        <w:pStyle w:val="Normal"/>
        <w:tabs>
          <w:tab w:val="right" w:leader="dot" w:pos="9016"/>
        </w:tabs>
        <w:spacing w:before="120" w:after="100"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US"/>
        </w:rPr>
        <w:t>Debt Asset Ratio – 9</w:t>
      </w:r>
    </w:p>
    <w:p xmlns:wp14="http://schemas.microsoft.com/office/word/2010/wordml" w:rsidP="7C2F16DA" w14:paraId="30E26A05" wp14:textId="33FEDC5B">
      <w:pPr>
        <w:pStyle w:val="ListParagraph"/>
        <w:numPr>
          <w:ilvl w:val="0"/>
          <w:numId w:val="1"/>
        </w:numPr>
        <w:tabs>
          <w:tab w:val="right" w:leader="dot" w:pos="9016"/>
        </w:tabs>
        <w:spacing w:before="120" w:after="10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US"/>
        </w:rPr>
        <w:t>The Importance of Using Ratio Analysis for Discission Making – 10</w:t>
      </w:r>
    </w:p>
    <w:p xmlns:wp14="http://schemas.microsoft.com/office/word/2010/wordml" w:rsidP="7C2F16DA" w14:paraId="359FA1D8" wp14:textId="7E27ADFD">
      <w:pPr>
        <w:pStyle w:val="Normal"/>
        <w:tabs>
          <w:tab w:val="right" w:leader="dot" w:pos="9016"/>
        </w:tabs>
        <w:spacing w:before="120" w:after="100"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US"/>
        </w:rPr>
        <w:t>The Limitation of Ratio Analysis – 10</w:t>
      </w:r>
    </w:p>
    <w:p xmlns:wp14="http://schemas.microsoft.com/office/word/2010/wordml" w:rsidP="7C2F16DA" w14:paraId="66136EF7" wp14:textId="100D0B3C">
      <w:pPr>
        <w:pStyle w:val="Normal"/>
        <w:tabs>
          <w:tab w:val="right" w:leader="dot" w:pos="9016"/>
        </w:tabs>
        <w:spacing w:before="120" w:after="100"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US"/>
        </w:rPr>
        <w:t>An understanding of Ratio and Their Fluctuations is Essential for Hotel Management-10</w:t>
      </w:r>
    </w:p>
    <w:p xmlns:wp14="http://schemas.microsoft.com/office/word/2010/wordml" w:rsidP="7C2F16DA" w14:paraId="6A79BD07" wp14:textId="3D5AC1E3">
      <w:pPr>
        <w:pStyle w:val="Normal"/>
        <w:tabs>
          <w:tab w:val="right" w:leader="dot" w:pos="9016"/>
        </w:tabs>
        <w:spacing w:before="120" w:after="100"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US"/>
        </w:rPr>
        <w:t>Conclusion – 11</w:t>
      </w:r>
    </w:p>
    <w:p xmlns:wp14="http://schemas.microsoft.com/office/word/2010/wordml" w:rsidP="7C2F16DA" w14:paraId="460B466C" wp14:textId="16932C07">
      <w:pPr>
        <w:pStyle w:val="Normal"/>
        <w:tabs>
          <w:tab w:val="right" w:leader="dot" w:pos="9016"/>
        </w:tabs>
        <w:spacing w:before="120" w:after="100"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US"/>
        </w:rPr>
        <w:t>References – 11</w:t>
      </w:r>
    </w:p>
    <w:p xmlns:wp14="http://schemas.microsoft.com/office/word/2010/wordml" w:rsidP="7C2F16DA" w14:paraId="3033D5E5" wp14:textId="79A92D0B">
      <w:pPr>
        <w:pStyle w:val="Normal"/>
        <w:tabs>
          <w:tab w:val="right" w:leader="dot" w:pos="9016"/>
        </w:tabs>
        <w:spacing w:before="120" w:after="100"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7C2F16DA" w14:paraId="53D6C192" wp14:textId="7F71C83C">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7C2F16DA" w14:paraId="0DAF5164" wp14:textId="3F7B4513">
      <w:pPr>
        <w:spacing w:before="120"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br w:type="page"/>
      </w:r>
    </w:p>
    <w:p xmlns:wp14="http://schemas.microsoft.com/office/word/2010/wordml" w:rsidP="7C2F16DA" w14:paraId="1C1B48CB" wp14:textId="77055CF4">
      <w:pPr>
        <w:pStyle w:val="Heading1"/>
        <w:spacing w:before="120" w:after="120" w:line="360" w:lineRule="auto"/>
        <w:jc w:val="both"/>
        <w:rPr>
          <w:rFonts w:ascii="Arial" w:hAnsi="Arial" w:eastAsia="Arial" w:cs="Arial"/>
          <w:b w:val="1"/>
          <w:bCs w:val="1"/>
          <w:i w:val="0"/>
          <w:iCs w:val="0"/>
          <w:caps w:val="0"/>
          <w:smallCaps w:val="0"/>
          <w:noProof w:val="0"/>
          <w:color w:val="2F5496" w:themeColor="accent1" w:themeTint="FF" w:themeShade="BF"/>
          <w:sz w:val="32"/>
          <w:szCs w:val="32"/>
          <w:lang w:val="en-US"/>
        </w:rPr>
      </w:pPr>
      <w:r w:rsidRPr="7C2F16DA" w:rsidR="7C2F16DA">
        <w:rPr>
          <w:rFonts w:ascii="Arial" w:hAnsi="Arial" w:eastAsia="Arial" w:cs="Arial"/>
          <w:b w:val="1"/>
          <w:bCs w:val="1"/>
          <w:i w:val="0"/>
          <w:iCs w:val="0"/>
          <w:caps w:val="0"/>
          <w:smallCaps w:val="0"/>
          <w:noProof w:val="0"/>
          <w:color w:val="2F5496" w:themeColor="accent1" w:themeTint="FF" w:themeShade="BF"/>
          <w:sz w:val="32"/>
          <w:szCs w:val="32"/>
          <w:lang w:val="en-GB"/>
        </w:rPr>
        <w:t>Introduction</w:t>
      </w:r>
    </w:p>
    <w:p xmlns:wp14="http://schemas.microsoft.com/office/word/2010/wordml" w:rsidP="7C2F16DA" w14:paraId="74279718" wp14:textId="2B426671">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 xml:space="preserve">In this entire study, Overall discussion about the financial ratios and their importance in any organization. After that </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discussion</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 xml:space="preserve"> the company of Hilton worldwide holding Inc’s ratio in the year 2019 to 2020, and that time the company how was their performances overall discussion is mentioned below, </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the</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 xml:space="preserve"> ratio analysis covers the whole structure with their activity and if the ratios do not fluctuate so what type of problem facing the company. It means positive and negative both factors are mentioned below, but those are the positive side of financial ratio other side ratios have some limitations and it is also discussed. </w:t>
      </w:r>
    </w:p>
    <w:p xmlns:wp14="http://schemas.microsoft.com/office/word/2010/wordml" w:rsidP="7C2F16DA" w14:paraId="4EA619C0" wp14:textId="0E3E6D60">
      <w:pPr>
        <w:pStyle w:val="Heading1"/>
        <w:spacing w:before="120" w:after="120" w:line="360" w:lineRule="auto"/>
        <w:jc w:val="both"/>
        <w:rPr>
          <w:rFonts w:ascii="Arial" w:hAnsi="Arial" w:eastAsia="Arial" w:cs="Arial"/>
          <w:b w:val="1"/>
          <w:bCs w:val="1"/>
          <w:i w:val="0"/>
          <w:iCs w:val="0"/>
          <w:caps w:val="0"/>
          <w:smallCaps w:val="0"/>
          <w:noProof w:val="0"/>
          <w:color w:val="2F5496" w:themeColor="accent1" w:themeTint="FF" w:themeShade="BF"/>
          <w:sz w:val="32"/>
          <w:szCs w:val="32"/>
          <w:lang w:val="en-US"/>
        </w:rPr>
      </w:pPr>
      <w:r w:rsidRPr="7C2F16DA" w:rsidR="7C2F16DA">
        <w:rPr>
          <w:rFonts w:ascii="Arial" w:hAnsi="Arial" w:eastAsia="Arial" w:cs="Arial"/>
          <w:b w:val="1"/>
          <w:bCs w:val="1"/>
          <w:i w:val="0"/>
          <w:iCs w:val="0"/>
          <w:caps w:val="0"/>
          <w:smallCaps w:val="0"/>
          <w:noProof w:val="0"/>
          <w:color w:val="2F5496" w:themeColor="accent1" w:themeTint="FF" w:themeShade="BF"/>
          <w:sz w:val="32"/>
          <w:szCs w:val="32"/>
          <w:lang w:val="en-GB"/>
        </w:rPr>
        <w:t>Financial Analysis</w:t>
      </w:r>
    </w:p>
    <w:tbl>
      <w:tblPr>
        <w:tblStyle w:val="TableNormal"/>
        <w:tblW w:w="0" w:type="auto"/>
        <w:tblLayout w:type="fixed"/>
        <w:tblLook w:val="04A0" w:firstRow="1" w:lastRow="0" w:firstColumn="1" w:lastColumn="0" w:noHBand="0" w:noVBand="1"/>
      </w:tblPr>
      <w:tblGrid>
        <w:gridCol w:w="3855"/>
        <w:gridCol w:w="1373"/>
        <w:gridCol w:w="1373"/>
        <w:gridCol w:w="1402"/>
        <w:gridCol w:w="1358"/>
      </w:tblGrid>
      <w:tr w:rsidR="7C2F16DA" w:rsidTr="7C2F16DA" w14:paraId="5248CA9A">
        <w:trPr>
          <w:trHeight w:val="420"/>
        </w:trPr>
        <w:tc>
          <w:tcPr>
            <w:tcW w:w="9361" w:type="dxa"/>
            <w:gridSpan w:val="5"/>
            <w:tcBorders>
              <w:top w:val="single" w:sz="6"/>
              <w:left w:val="single" w:sz="6"/>
              <w:bottom w:val="nil"/>
              <w:right w:val="single" w:sz="6"/>
            </w:tcBorders>
            <w:shd w:val="clear" w:color="auto" w:fill="333F4F"/>
            <w:tcMar/>
            <w:vAlign w:val="bottom"/>
          </w:tcPr>
          <w:p w:rsidR="7C2F16DA" w:rsidP="7C2F16DA" w:rsidRDefault="7C2F16DA" w14:paraId="58ABBC1D" w14:textId="66AF4ACB">
            <w:pPr>
              <w:spacing w:before="120" w:after="120" w:line="240" w:lineRule="auto"/>
              <w:jc w:val="center"/>
              <w:rPr>
                <w:rFonts w:ascii="Arial" w:hAnsi="Arial" w:eastAsia="Arial" w:cs="Arial"/>
                <w:b w:val="0"/>
                <w:bCs w:val="0"/>
                <w:i w:val="0"/>
                <w:iCs w:val="0"/>
                <w:color w:val="FFFFFF" w:themeColor="background1" w:themeTint="FF" w:themeShade="FF"/>
                <w:sz w:val="28"/>
                <w:szCs w:val="28"/>
              </w:rPr>
            </w:pPr>
            <w:r w:rsidRPr="7C2F16DA" w:rsidR="7C2F16DA">
              <w:rPr>
                <w:rFonts w:ascii="Arial" w:hAnsi="Arial" w:eastAsia="Arial" w:cs="Arial"/>
                <w:b w:val="1"/>
                <w:bCs w:val="1"/>
                <w:i w:val="0"/>
                <w:iCs w:val="0"/>
                <w:color w:val="FFFFFF" w:themeColor="background1" w:themeTint="FF" w:themeShade="FF"/>
                <w:sz w:val="28"/>
                <w:szCs w:val="28"/>
                <w:lang w:val="en-IN"/>
              </w:rPr>
              <w:t>Horizontal Analysis</w:t>
            </w:r>
          </w:p>
        </w:tc>
      </w:tr>
      <w:tr w:rsidR="7C2F16DA" w:rsidTr="7C2F16DA" w14:paraId="3E632AC4">
        <w:trPr>
          <w:trHeight w:val="375"/>
        </w:trPr>
        <w:tc>
          <w:tcPr>
            <w:tcW w:w="9361" w:type="dxa"/>
            <w:gridSpan w:val="5"/>
            <w:tcBorders>
              <w:top w:val="nil" w:sz="6"/>
              <w:left w:val="single" w:sz="6"/>
              <w:bottom w:val="nil"/>
              <w:right w:val="single" w:sz="6"/>
            </w:tcBorders>
            <w:shd w:val="clear" w:color="auto" w:fill="AEAAAA" w:themeFill="background2" w:themeFillShade="BF"/>
            <w:tcMar/>
            <w:vAlign w:val="bottom"/>
          </w:tcPr>
          <w:p w:rsidR="7C2F16DA" w:rsidP="7C2F16DA" w:rsidRDefault="7C2F16DA" w14:paraId="3B4CE201" w14:textId="04381529">
            <w:pPr>
              <w:spacing w:before="120" w:after="120" w:line="240" w:lineRule="auto"/>
              <w:jc w:val="center"/>
              <w:rPr>
                <w:rFonts w:ascii="Arial" w:hAnsi="Arial" w:eastAsia="Arial" w:cs="Arial"/>
                <w:b w:val="0"/>
                <w:bCs w:val="0"/>
                <w:i w:val="0"/>
                <w:iCs w:val="0"/>
                <w:sz w:val="24"/>
                <w:szCs w:val="24"/>
              </w:rPr>
            </w:pPr>
            <w:r w:rsidRPr="7C2F16DA" w:rsidR="7C2F16DA">
              <w:rPr>
                <w:rFonts w:ascii="Arial" w:hAnsi="Arial" w:eastAsia="Arial" w:cs="Arial"/>
                <w:b w:val="1"/>
                <w:bCs w:val="1"/>
                <w:i w:val="0"/>
                <w:iCs w:val="0"/>
                <w:sz w:val="24"/>
                <w:szCs w:val="24"/>
                <w:lang w:val="en-IN"/>
              </w:rPr>
              <w:t>Hilton Worldwide Holding Inc</w:t>
            </w:r>
          </w:p>
        </w:tc>
      </w:tr>
      <w:tr w:rsidR="7C2F16DA" w:rsidTr="7C2F16DA" w14:paraId="63F2FE1F">
        <w:trPr>
          <w:trHeight w:val="345"/>
        </w:trPr>
        <w:tc>
          <w:tcPr>
            <w:tcW w:w="3855" w:type="dxa"/>
            <w:tcBorders>
              <w:top w:val="nil"/>
              <w:left w:val="single" w:sz="6"/>
              <w:bottom w:val="single" w:color="000000" w:themeColor="text1" w:sz="6"/>
              <w:right w:val="nil" w:sz="6"/>
            </w:tcBorders>
            <w:shd w:val="clear" w:color="auto" w:fill="333F4F"/>
            <w:tcMar/>
            <w:vAlign w:val="bottom"/>
          </w:tcPr>
          <w:p w:rsidR="7C2F16DA" w:rsidP="7C2F16DA" w:rsidRDefault="7C2F16DA" w14:paraId="5763844A" w14:textId="6BDD28CE">
            <w:pPr>
              <w:spacing w:before="120" w:after="120" w:line="240" w:lineRule="auto"/>
              <w:jc w:val="both"/>
              <w:rPr>
                <w:rFonts w:ascii="Arial" w:hAnsi="Arial" w:eastAsia="Arial" w:cs="Arial"/>
                <w:b w:val="0"/>
                <w:bCs w:val="0"/>
                <w:i w:val="0"/>
                <w:iCs w:val="0"/>
                <w:color w:val="FFFFFF" w:themeColor="background1" w:themeTint="FF" w:themeShade="FF"/>
                <w:sz w:val="24"/>
                <w:szCs w:val="24"/>
              </w:rPr>
            </w:pPr>
            <w:r w:rsidRPr="7C2F16DA" w:rsidR="7C2F16DA">
              <w:rPr>
                <w:rFonts w:ascii="Arial" w:hAnsi="Arial" w:eastAsia="Arial" w:cs="Arial"/>
                <w:b w:val="1"/>
                <w:bCs w:val="1"/>
                <w:i w:val="0"/>
                <w:iCs w:val="0"/>
                <w:color w:val="FFFFFF" w:themeColor="background1" w:themeTint="FF" w:themeShade="FF"/>
                <w:sz w:val="24"/>
                <w:szCs w:val="24"/>
                <w:lang w:val="en-IN"/>
              </w:rPr>
              <w:t>Income Statement</w:t>
            </w:r>
          </w:p>
        </w:tc>
        <w:tc>
          <w:tcPr>
            <w:tcW w:w="1373" w:type="dxa"/>
            <w:tcBorders>
              <w:top w:val="nil"/>
              <w:left w:val="nil"/>
              <w:bottom w:val="single" w:color="000000" w:themeColor="text1" w:sz="6"/>
              <w:right w:val="nil"/>
            </w:tcBorders>
            <w:shd w:val="clear" w:color="auto" w:fill="333F4F"/>
            <w:tcMar/>
            <w:vAlign w:val="center"/>
          </w:tcPr>
          <w:p w:rsidR="7C2F16DA" w:rsidP="7C2F16DA" w:rsidRDefault="7C2F16DA" w14:paraId="4DE01267" w14:textId="4C7220BA">
            <w:pPr>
              <w:spacing w:before="120" w:after="120" w:line="240" w:lineRule="auto"/>
              <w:jc w:val="right"/>
              <w:rPr>
                <w:rFonts w:ascii="Arial" w:hAnsi="Arial" w:eastAsia="Arial" w:cs="Arial"/>
                <w:b w:val="0"/>
                <w:bCs w:val="0"/>
                <w:i w:val="0"/>
                <w:iCs w:val="0"/>
                <w:color w:val="FFFFFF" w:themeColor="background1" w:themeTint="FF" w:themeShade="FF"/>
                <w:sz w:val="24"/>
                <w:szCs w:val="24"/>
              </w:rPr>
            </w:pPr>
            <w:r w:rsidRPr="7C2F16DA" w:rsidR="7C2F16DA">
              <w:rPr>
                <w:rFonts w:ascii="Arial" w:hAnsi="Arial" w:eastAsia="Arial" w:cs="Arial"/>
                <w:b w:val="1"/>
                <w:bCs w:val="1"/>
                <w:i w:val="0"/>
                <w:iCs w:val="0"/>
                <w:color w:val="FFFFFF" w:themeColor="background1" w:themeTint="FF" w:themeShade="FF"/>
                <w:sz w:val="24"/>
                <w:szCs w:val="24"/>
                <w:lang w:val="en-IN"/>
              </w:rPr>
              <w:t>2020</w:t>
            </w:r>
          </w:p>
        </w:tc>
        <w:tc>
          <w:tcPr>
            <w:tcW w:w="1373" w:type="dxa"/>
            <w:tcBorders>
              <w:top w:val="nil"/>
              <w:left w:val="nil"/>
              <w:bottom w:val="single" w:color="000000" w:themeColor="text1" w:sz="6"/>
              <w:right w:val="nil"/>
            </w:tcBorders>
            <w:shd w:val="clear" w:color="auto" w:fill="333F4F"/>
            <w:tcMar/>
            <w:vAlign w:val="center"/>
          </w:tcPr>
          <w:p w:rsidR="7C2F16DA" w:rsidP="7C2F16DA" w:rsidRDefault="7C2F16DA" w14:paraId="75BA0F7D" w14:textId="2A37660D">
            <w:pPr>
              <w:spacing w:before="120" w:after="120" w:line="240" w:lineRule="auto"/>
              <w:jc w:val="right"/>
              <w:rPr>
                <w:rFonts w:ascii="Arial" w:hAnsi="Arial" w:eastAsia="Arial" w:cs="Arial"/>
                <w:b w:val="0"/>
                <w:bCs w:val="0"/>
                <w:i w:val="0"/>
                <w:iCs w:val="0"/>
                <w:color w:val="FFFFFF" w:themeColor="background1" w:themeTint="FF" w:themeShade="FF"/>
                <w:sz w:val="24"/>
                <w:szCs w:val="24"/>
              </w:rPr>
            </w:pPr>
            <w:r w:rsidRPr="7C2F16DA" w:rsidR="7C2F16DA">
              <w:rPr>
                <w:rFonts w:ascii="Arial" w:hAnsi="Arial" w:eastAsia="Arial" w:cs="Arial"/>
                <w:b w:val="1"/>
                <w:bCs w:val="1"/>
                <w:i w:val="0"/>
                <w:iCs w:val="0"/>
                <w:color w:val="FFFFFF" w:themeColor="background1" w:themeTint="FF" w:themeShade="FF"/>
                <w:sz w:val="24"/>
                <w:szCs w:val="24"/>
                <w:lang w:val="en-IN"/>
              </w:rPr>
              <w:t>2019</w:t>
            </w:r>
          </w:p>
        </w:tc>
        <w:tc>
          <w:tcPr>
            <w:tcW w:w="1402" w:type="dxa"/>
            <w:tcBorders>
              <w:top w:val="nil"/>
              <w:left w:val="nil"/>
              <w:bottom w:val="single" w:color="000000" w:themeColor="text1" w:sz="6"/>
              <w:right w:val="nil"/>
            </w:tcBorders>
            <w:shd w:val="clear" w:color="auto" w:fill="333F4F"/>
            <w:tcMar/>
            <w:vAlign w:val="center"/>
          </w:tcPr>
          <w:p w:rsidR="7C2F16DA" w:rsidP="7C2F16DA" w:rsidRDefault="7C2F16DA" w14:paraId="1C7FB0C4" w14:textId="4CA47A9C">
            <w:pPr>
              <w:spacing w:before="120" w:after="120" w:line="240" w:lineRule="auto"/>
              <w:jc w:val="right"/>
              <w:rPr>
                <w:rFonts w:ascii="Arial" w:hAnsi="Arial" w:eastAsia="Arial" w:cs="Arial"/>
                <w:b w:val="0"/>
                <w:bCs w:val="0"/>
                <w:i w:val="0"/>
                <w:iCs w:val="0"/>
                <w:color w:val="FFFFFF" w:themeColor="background1" w:themeTint="FF" w:themeShade="FF"/>
                <w:sz w:val="24"/>
                <w:szCs w:val="24"/>
              </w:rPr>
            </w:pPr>
            <w:r w:rsidRPr="7C2F16DA" w:rsidR="7C2F16DA">
              <w:rPr>
                <w:rFonts w:ascii="Arial" w:hAnsi="Arial" w:eastAsia="Arial" w:cs="Arial"/>
                <w:b w:val="1"/>
                <w:bCs w:val="1"/>
                <w:i w:val="0"/>
                <w:iCs w:val="0"/>
                <w:color w:val="FFFFFF" w:themeColor="background1" w:themeTint="FF" w:themeShade="FF"/>
                <w:sz w:val="24"/>
                <w:szCs w:val="24"/>
                <w:lang w:val="en-IN"/>
              </w:rPr>
              <w:t>Change</w:t>
            </w:r>
          </w:p>
        </w:tc>
        <w:tc>
          <w:tcPr>
            <w:tcW w:w="1358" w:type="dxa"/>
            <w:tcBorders>
              <w:top w:val="nil"/>
              <w:left w:val="nil"/>
              <w:bottom w:val="single" w:color="000000" w:themeColor="text1" w:sz="6"/>
              <w:right w:val="single" w:sz="6"/>
            </w:tcBorders>
            <w:shd w:val="clear" w:color="auto" w:fill="333F4F"/>
            <w:tcMar/>
            <w:vAlign w:val="center"/>
          </w:tcPr>
          <w:p w:rsidR="7C2F16DA" w:rsidP="7C2F16DA" w:rsidRDefault="7C2F16DA" w14:paraId="78D4FCE0" w14:textId="37789CF0">
            <w:pPr>
              <w:spacing w:before="120" w:after="120" w:line="240" w:lineRule="auto"/>
              <w:jc w:val="right"/>
              <w:rPr>
                <w:rFonts w:ascii="Arial" w:hAnsi="Arial" w:eastAsia="Arial" w:cs="Arial"/>
                <w:b w:val="0"/>
                <w:bCs w:val="0"/>
                <w:i w:val="0"/>
                <w:iCs w:val="0"/>
                <w:color w:val="FFFFFF" w:themeColor="background1" w:themeTint="FF" w:themeShade="FF"/>
                <w:sz w:val="24"/>
                <w:szCs w:val="24"/>
              </w:rPr>
            </w:pPr>
            <w:r w:rsidRPr="7C2F16DA" w:rsidR="7C2F16DA">
              <w:rPr>
                <w:rFonts w:ascii="Arial" w:hAnsi="Arial" w:eastAsia="Arial" w:cs="Arial"/>
                <w:b w:val="1"/>
                <w:bCs w:val="1"/>
                <w:i w:val="0"/>
                <w:iCs w:val="0"/>
                <w:color w:val="FFFFFF" w:themeColor="background1" w:themeTint="FF" w:themeShade="FF"/>
                <w:sz w:val="24"/>
                <w:szCs w:val="24"/>
                <w:lang w:val="en-IN"/>
              </w:rPr>
              <w:t>% Change</w:t>
            </w:r>
          </w:p>
        </w:tc>
      </w:tr>
      <w:tr w:rsidR="7C2F16DA" w:rsidTr="7C2F16DA" w14:paraId="70476C5B">
        <w:trPr>
          <w:trHeight w:val="345"/>
        </w:trPr>
        <w:tc>
          <w:tcPr>
            <w:tcW w:w="3855"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7C2F16DA" w:rsidP="7C2F16DA" w:rsidRDefault="7C2F16DA" w14:paraId="10B0B7B4" w14:textId="077864DA">
            <w:pPr>
              <w:spacing w:before="120" w:after="120" w:line="240" w:lineRule="auto"/>
              <w:jc w:val="both"/>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1"/>
                <w:bCs w:val="1"/>
                <w:i w:val="0"/>
                <w:iCs w:val="0"/>
                <w:color w:val="000000" w:themeColor="text1" w:themeTint="FF" w:themeShade="FF"/>
                <w:sz w:val="22"/>
                <w:szCs w:val="22"/>
                <w:lang w:val="en-IN"/>
              </w:rPr>
              <w:t>Fiscal Year Ends</w:t>
            </w:r>
          </w:p>
        </w:tc>
        <w:tc>
          <w:tcPr>
            <w:tcW w:w="137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7C2F16DA" w:rsidP="7C2F16DA" w:rsidRDefault="7C2F16DA" w14:paraId="4B007791" w14:textId="2088285B">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1"/>
                <w:bCs w:val="1"/>
                <w:i w:val="0"/>
                <w:iCs w:val="0"/>
                <w:color w:val="000000" w:themeColor="text1" w:themeTint="FF" w:themeShade="FF"/>
                <w:sz w:val="22"/>
                <w:szCs w:val="22"/>
                <w:lang w:val="en-IN"/>
              </w:rPr>
              <w:t>31-12-2021</w:t>
            </w:r>
          </w:p>
        </w:tc>
        <w:tc>
          <w:tcPr>
            <w:tcW w:w="137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7C2F16DA" w:rsidP="7C2F16DA" w:rsidRDefault="7C2F16DA" w14:paraId="37CB98BE" w14:textId="473159A2">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1"/>
                <w:bCs w:val="1"/>
                <w:i w:val="0"/>
                <w:iCs w:val="0"/>
                <w:color w:val="000000" w:themeColor="text1" w:themeTint="FF" w:themeShade="FF"/>
                <w:sz w:val="22"/>
                <w:szCs w:val="22"/>
                <w:lang w:val="en-IN"/>
              </w:rPr>
              <w:t>31-12-2020</w:t>
            </w:r>
          </w:p>
        </w:tc>
        <w:tc>
          <w:tcPr>
            <w:tcW w:w="1402" w:type="dxa"/>
            <w:tcBorders>
              <w:top w:val="single" w:color="000000" w:themeColor="text1" w:sz="6"/>
              <w:left w:val="single" w:color="000000" w:themeColor="text1" w:sz="6"/>
              <w:bottom w:val="single" w:color="000000" w:themeColor="text1" w:sz="6"/>
              <w:right w:val="single" w:color="000000" w:themeColor="text1" w:sz="6"/>
            </w:tcBorders>
            <w:tcMar/>
            <w:vAlign w:val="bottom"/>
          </w:tcPr>
          <w:p w:rsidR="7C2F16DA" w:rsidP="7C2F16DA" w:rsidRDefault="7C2F16DA" w14:paraId="3497CBE5" w14:textId="25EA4CCA">
            <w:pPr>
              <w:spacing w:before="120" w:after="120" w:line="240" w:lineRule="auto"/>
              <w:jc w:val="right"/>
              <w:rPr>
                <w:rFonts w:ascii="Arial" w:hAnsi="Arial" w:eastAsia="Arial" w:cs="Arial"/>
                <w:b w:val="0"/>
                <w:bCs w:val="0"/>
                <w:i w:val="0"/>
                <w:iCs w:val="0"/>
                <w:color w:val="000000" w:themeColor="text1" w:themeTint="FF" w:themeShade="FF"/>
                <w:sz w:val="24"/>
                <w:szCs w:val="24"/>
              </w:rPr>
            </w:pPr>
          </w:p>
        </w:tc>
        <w:tc>
          <w:tcPr>
            <w:tcW w:w="1358" w:type="dxa"/>
            <w:tcBorders>
              <w:top w:val="single" w:color="000000" w:themeColor="text1" w:sz="6"/>
              <w:left w:val="single" w:color="000000" w:themeColor="text1" w:sz="6"/>
              <w:bottom w:val="single" w:color="000000" w:themeColor="text1" w:sz="6"/>
              <w:right w:val="single" w:color="000000" w:themeColor="text1" w:sz="6"/>
            </w:tcBorders>
            <w:tcMar/>
            <w:vAlign w:val="bottom"/>
          </w:tcPr>
          <w:p w:rsidR="7C2F16DA" w:rsidP="7C2F16DA" w:rsidRDefault="7C2F16DA" w14:paraId="6A412AA5" w14:textId="51E95B4D">
            <w:pPr>
              <w:spacing w:before="120" w:after="120" w:line="240" w:lineRule="auto"/>
              <w:jc w:val="both"/>
              <w:rPr>
                <w:rFonts w:ascii="Arial" w:hAnsi="Arial" w:eastAsia="Arial" w:cs="Arial"/>
                <w:b w:val="0"/>
                <w:bCs w:val="0"/>
                <w:i w:val="0"/>
                <w:iCs w:val="0"/>
                <w:sz w:val="24"/>
                <w:szCs w:val="24"/>
              </w:rPr>
            </w:pPr>
          </w:p>
        </w:tc>
      </w:tr>
      <w:tr w:rsidR="7C2F16DA" w:rsidTr="7C2F16DA" w14:paraId="4AC7C8B3">
        <w:trPr>
          <w:trHeight w:val="345"/>
        </w:trPr>
        <w:tc>
          <w:tcPr>
            <w:tcW w:w="3855" w:type="dxa"/>
            <w:tcBorders>
              <w:top w:val="single" w:color="000000" w:themeColor="text1" w:sz="6"/>
              <w:left w:val="single" w:sz="6"/>
              <w:bottom w:val="single" w:sz="6"/>
              <w:right w:val="single" w:sz="6"/>
            </w:tcBorders>
            <w:tcMar/>
            <w:vAlign w:val="center"/>
          </w:tcPr>
          <w:p w:rsidR="7C2F16DA" w:rsidP="7C2F16DA" w:rsidRDefault="7C2F16DA" w14:paraId="2B2B019F" w14:textId="0058CE8C">
            <w:pPr>
              <w:spacing w:before="120" w:after="120" w:line="240" w:lineRule="auto"/>
              <w:jc w:val="both"/>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Sales</w:t>
            </w:r>
          </w:p>
        </w:tc>
        <w:tc>
          <w:tcPr>
            <w:tcW w:w="1373" w:type="dxa"/>
            <w:tcBorders>
              <w:top w:val="single" w:color="000000" w:themeColor="text1" w:sz="6"/>
              <w:left w:val="single" w:sz="6"/>
              <w:bottom w:val="single" w:sz="6"/>
              <w:right w:val="single" w:sz="6"/>
            </w:tcBorders>
            <w:tcMar/>
            <w:vAlign w:val="center"/>
          </w:tcPr>
          <w:p w:rsidR="7C2F16DA" w:rsidP="7C2F16DA" w:rsidRDefault="7C2F16DA" w14:paraId="0EE32495" w14:textId="6D9A8FA6">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43,07,000</w:t>
            </w:r>
          </w:p>
        </w:tc>
        <w:tc>
          <w:tcPr>
            <w:tcW w:w="1373" w:type="dxa"/>
            <w:tcBorders>
              <w:top w:val="single" w:color="000000" w:themeColor="text1" w:sz="6"/>
              <w:left w:val="single" w:sz="6"/>
              <w:bottom w:val="single" w:sz="6"/>
              <w:right w:val="single" w:sz="6"/>
            </w:tcBorders>
            <w:tcMar/>
            <w:vAlign w:val="center"/>
          </w:tcPr>
          <w:p w:rsidR="7C2F16DA" w:rsidP="7C2F16DA" w:rsidRDefault="7C2F16DA" w14:paraId="40E57740" w14:textId="764FCA7B">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94,52,000</w:t>
            </w:r>
          </w:p>
        </w:tc>
        <w:tc>
          <w:tcPr>
            <w:tcW w:w="1402" w:type="dxa"/>
            <w:tcBorders>
              <w:top w:val="single" w:color="000000" w:themeColor="text1" w:sz="6"/>
              <w:left w:val="single" w:sz="6"/>
              <w:bottom w:val="single" w:sz="6"/>
              <w:right w:val="single" w:sz="6"/>
            </w:tcBorders>
            <w:tcMar/>
            <w:vAlign w:val="bottom"/>
          </w:tcPr>
          <w:p w:rsidR="7C2F16DA" w:rsidP="7C2F16DA" w:rsidRDefault="7C2F16DA" w14:paraId="139D4153" w14:textId="17A3F4A1">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-51,45,000</w:t>
            </w:r>
          </w:p>
        </w:tc>
        <w:tc>
          <w:tcPr>
            <w:tcW w:w="1358" w:type="dxa"/>
            <w:tcBorders>
              <w:top w:val="single" w:color="000000" w:themeColor="text1" w:sz="6"/>
              <w:left w:val="single" w:sz="6"/>
              <w:bottom w:val="single" w:sz="6"/>
              <w:right w:val="single" w:sz="6"/>
            </w:tcBorders>
            <w:tcMar/>
            <w:vAlign w:val="bottom"/>
          </w:tcPr>
          <w:p w:rsidR="7C2F16DA" w:rsidP="7C2F16DA" w:rsidRDefault="7C2F16DA" w14:paraId="036BAD62" w14:textId="705B6A97">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-54%</w:t>
            </w:r>
          </w:p>
        </w:tc>
      </w:tr>
      <w:tr w:rsidR="7C2F16DA" w:rsidTr="7C2F16DA" w14:paraId="28E12B25">
        <w:trPr>
          <w:trHeight w:val="345"/>
        </w:trPr>
        <w:tc>
          <w:tcPr>
            <w:tcW w:w="3855" w:type="dxa"/>
            <w:tcBorders>
              <w:top w:val="single" w:sz="6"/>
              <w:left w:val="single" w:sz="6"/>
              <w:bottom w:val="single" w:sz="6"/>
              <w:right w:val="single" w:sz="6"/>
            </w:tcBorders>
            <w:tcMar/>
            <w:vAlign w:val="center"/>
          </w:tcPr>
          <w:p w:rsidR="7C2F16DA" w:rsidP="7C2F16DA" w:rsidRDefault="7C2F16DA" w14:paraId="0D1197BD" w14:textId="63CEE264">
            <w:pPr>
              <w:spacing w:before="120" w:after="120" w:line="240" w:lineRule="auto"/>
              <w:jc w:val="both"/>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Cost of goods sold</w:t>
            </w:r>
          </w:p>
        </w:tc>
        <w:tc>
          <w:tcPr>
            <w:tcW w:w="1373" w:type="dxa"/>
            <w:tcBorders>
              <w:top w:val="single" w:sz="6"/>
              <w:left w:val="single" w:sz="6"/>
              <w:bottom w:val="single" w:sz="6"/>
              <w:right w:val="single" w:sz="6"/>
            </w:tcBorders>
            <w:tcMar/>
            <w:vAlign w:val="center"/>
          </w:tcPr>
          <w:p w:rsidR="7C2F16DA" w:rsidP="7C2F16DA" w:rsidRDefault="7C2F16DA" w14:paraId="10B6BD2F" w14:textId="6A5ABA10">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37,24,000</w:t>
            </w:r>
          </w:p>
        </w:tc>
        <w:tc>
          <w:tcPr>
            <w:tcW w:w="1373" w:type="dxa"/>
            <w:tcBorders>
              <w:top w:val="single" w:sz="6"/>
              <w:left w:val="single" w:sz="6"/>
              <w:bottom w:val="single" w:sz="6"/>
              <w:right w:val="single" w:sz="6"/>
            </w:tcBorders>
            <w:tcMar/>
            <w:vAlign w:val="center"/>
          </w:tcPr>
          <w:p w:rsidR="7C2F16DA" w:rsidP="7C2F16DA" w:rsidRDefault="7C2F16DA" w14:paraId="64982893" w14:textId="602F27FA">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70,17,000</w:t>
            </w:r>
          </w:p>
        </w:tc>
        <w:tc>
          <w:tcPr>
            <w:tcW w:w="1402" w:type="dxa"/>
            <w:tcBorders>
              <w:top w:val="single" w:sz="6"/>
              <w:left w:val="single" w:sz="6"/>
              <w:bottom w:val="single" w:sz="6"/>
              <w:right w:val="single" w:sz="6"/>
            </w:tcBorders>
            <w:tcMar/>
            <w:vAlign w:val="bottom"/>
          </w:tcPr>
          <w:p w:rsidR="7C2F16DA" w:rsidP="7C2F16DA" w:rsidRDefault="7C2F16DA" w14:paraId="3DE007F7" w14:textId="5022AEAC">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-32,93,000</w:t>
            </w:r>
          </w:p>
        </w:tc>
        <w:tc>
          <w:tcPr>
            <w:tcW w:w="1358" w:type="dxa"/>
            <w:tcBorders>
              <w:top w:val="single" w:sz="6"/>
              <w:left w:val="single" w:sz="6"/>
              <w:bottom w:val="single" w:sz="6"/>
              <w:right w:val="single" w:sz="6"/>
            </w:tcBorders>
            <w:tcMar/>
            <w:vAlign w:val="bottom"/>
          </w:tcPr>
          <w:p w:rsidR="7C2F16DA" w:rsidP="7C2F16DA" w:rsidRDefault="7C2F16DA" w14:paraId="5AF54057" w14:textId="1B9A013E">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-47%</w:t>
            </w:r>
          </w:p>
        </w:tc>
      </w:tr>
      <w:tr w:rsidR="7C2F16DA" w:rsidTr="7C2F16DA" w14:paraId="2EA05599">
        <w:trPr>
          <w:trHeight w:val="345"/>
        </w:trPr>
        <w:tc>
          <w:tcPr>
            <w:tcW w:w="3855" w:type="dxa"/>
            <w:tcBorders>
              <w:top w:val="single" w:sz="6"/>
              <w:left w:val="single" w:sz="6"/>
              <w:bottom w:val="single" w:sz="6"/>
              <w:right w:val="single" w:sz="6"/>
            </w:tcBorders>
            <w:tcMar/>
            <w:vAlign w:val="center"/>
          </w:tcPr>
          <w:p w:rsidR="7C2F16DA" w:rsidP="7C2F16DA" w:rsidRDefault="7C2F16DA" w14:paraId="43423A9B" w14:textId="25F374EE">
            <w:pPr>
              <w:spacing w:before="120" w:after="120" w:line="240" w:lineRule="auto"/>
              <w:jc w:val="both"/>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Gross profit</w:t>
            </w:r>
          </w:p>
        </w:tc>
        <w:tc>
          <w:tcPr>
            <w:tcW w:w="1373" w:type="dxa"/>
            <w:tcBorders>
              <w:top w:val="single" w:sz="6"/>
              <w:left w:val="single" w:sz="6"/>
              <w:bottom w:val="single" w:sz="6"/>
              <w:right w:val="single" w:sz="6"/>
            </w:tcBorders>
            <w:tcMar/>
            <w:vAlign w:val="center"/>
          </w:tcPr>
          <w:p w:rsidR="7C2F16DA" w:rsidP="7C2F16DA" w:rsidRDefault="7C2F16DA" w14:paraId="09719014" w14:textId="4D02666E">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5,83,000</w:t>
            </w:r>
          </w:p>
        </w:tc>
        <w:tc>
          <w:tcPr>
            <w:tcW w:w="1373" w:type="dxa"/>
            <w:tcBorders>
              <w:top w:val="single" w:sz="6"/>
              <w:left w:val="single" w:sz="6"/>
              <w:bottom w:val="single" w:sz="6"/>
              <w:right w:val="single" w:sz="6"/>
            </w:tcBorders>
            <w:tcMar/>
            <w:vAlign w:val="center"/>
          </w:tcPr>
          <w:p w:rsidR="7C2F16DA" w:rsidP="7C2F16DA" w:rsidRDefault="7C2F16DA" w14:paraId="07343871" w14:textId="3061D334">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24,35,000</w:t>
            </w:r>
          </w:p>
        </w:tc>
        <w:tc>
          <w:tcPr>
            <w:tcW w:w="1402" w:type="dxa"/>
            <w:tcBorders>
              <w:top w:val="single" w:sz="6"/>
              <w:left w:val="single" w:sz="6"/>
              <w:bottom w:val="single" w:sz="6"/>
              <w:right w:val="single" w:sz="6"/>
            </w:tcBorders>
            <w:tcMar/>
            <w:vAlign w:val="bottom"/>
          </w:tcPr>
          <w:p w:rsidR="7C2F16DA" w:rsidP="7C2F16DA" w:rsidRDefault="7C2F16DA" w14:paraId="72051B40" w14:textId="7101CD19">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-18,52,000</w:t>
            </w:r>
          </w:p>
        </w:tc>
        <w:tc>
          <w:tcPr>
            <w:tcW w:w="1358" w:type="dxa"/>
            <w:tcBorders>
              <w:top w:val="single" w:sz="6"/>
              <w:left w:val="single" w:sz="6"/>
              <w:bottom w:val="single" w:sz="6"/>
              <w:right w:val="single" w:sz="6"/>
            </w:tcBorders>
            <w:tcMar/>
            <w:vAlign w:val="bottom"/>
          </w:tcPr>
          <w:p w:rsidR="7C2F16DA" w:rsidP="7C2F16DA" w:rsidRDefault="7C2F16DA" w14:paraId="29FEE459" w14:textId="52C5C923">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-76%</w:t>
            </w:r>
          </w:p>
        </w:tc>
      </w:tr>
      <w:tr w:rsidR="7C2F16DA" w:rsidTr="7C2F16DA" w14:paraId="0B2D671B">
        <w:trPr>
          <w:trHeight w:val="345"/>
        </w:trPr>
        <w:tc>
          <w:tcPr>
            <w:tcW w:w="3855" w:type="dxa"/>
            <w:tcBorders>
              <w:top w:val="single" w:sz="6"/>
              <w:left w:val="single" w:sz="6"/>
              <w:bottom w:val="single" w:sz="6"/>
              <w:right w:val="single" w:sz="6"/>
            </w:tcBorders>
            <w:tcMar/>
            <w:vAlign w:val="center"/>
          </w:tcPr>
          <w:p w:rsidR="7C2F16DA" w:rsidP="7C2F16DA" w:rsidRDefault="7C2F16DA" w14:paraId="2950637F" w14:textId="5322630D">
            <w:pPr>
              <w:spacing w:before="120" w:after="120" w:line="240" w:lineRule="auto"/>
              <w:jc w:val="both"/>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Operating Expenses</w:t>
            </w:r>
          </w:p>
        </w:tc>
        <w:tc>
          <w:tcPr>
            <w:tcW w:w="1373" w:type="dxa"/>
            <w:tcBorders>
              <w:top w:val="single" w:sz="6"/>
              <w:left w:val="single" w:sz="6"/>
              <w:bottom w:val="single" w:sz="6"/>
              <w:right w:val="single" w:sz="6"/>
            </w:tcBorders>
            <w:tcMar/>
            <w:vAlign w:val="center"/>
          </w:tcPr>
          <w:p w:rsidR="7C2F16DA" w:rsidP="7C2F16DA" w:rsidRDefault="7C2F16DA" w14:paraId="1F2EBB54" w14:textId="6167FC18">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7,02,000</w:t>
            </w:r>
          </w:p>
        </w:tc>
        <w:tc>
          <w:tcPr>
            <w:tcW w:w="1373" w:type="dxa"/>
            <w:tcBorders>
              <w:top w:val="single" w:sz="6"/>
              <w:left w:val="single" w:sz="6"/>
              <w:bottom w:val="single" w:sz="6"/>
              <w:right w:val="single" w:sz="6"/>
            </w:tcBorders>
            <w:tcMar/>
            <w:vAlign w:val="center"/>
          </w:tcPr>
          <w:p w:rsidR="7C2F16DA" w:rsidP="7C2F16DA" w:rsidRDefault="7C2F16DA" w14:paraId="1FB67A8D" w14:textId="29105177">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8,59,000</w:t>
            </w:r>
          </w:p>
        </w:tc>
        <w:tc>
          <w:tcPr>
            <w:tcW w:w="1402" w:type="dxa"/>
            <w:tcBorders>
              <w:top w:val="single" w:sz="6"/>
              <w:left w:val="single" w:sz="6"/>
              <w:bottom w:val="single" w:sz="6"/>
              <w:right w:val="single" w:sz="6"/>
            </w:tcBorders>
            <w:tcMar/>
            <w:vAlign w:val="bottom"/>
          </w:tcPr>
          <w:p w:rsidR="7C2F16DA" w:rsidP="7C2F16DA" w:rsidRDefault="7C2F16DA" w14:paraId="153D48FC" w14:textId="27467D0B">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-1,57,000</w:t>
            </w:r>
          </w:p>
        </w:tc>
        <w:tc>
          <w:tcPr>
            <w:tcW w:w="1358" w:type="dxa"/>
            <w:tcBorders>
              <w:top w:val="single" w:sz="6"/>
              <w:left w:val="single" w:sz="6"/>
              <w:bottom w:val="single" w:sz="6"/>
              <w:right w:val="single" w:sz="6"/>
            </w:tcBorders>
            <w:tcMar/>
            <w:vAlign w:val="bottom"/>
          </w:tcPr>
          <w:p w:rsidR="7C2F16DA" w:rsidP="7C2F16DA" w:rsidRDefault="7C2F16DA" w14:paraId="4237C3E0" w14:textId="18B24E28">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-18%</w:t>
            </w:r>
          </w:p>
        </w:tc>
      </w:tr>
      <w:tr w:rsidR="7C2F16DA" w:rsidTr="7C2F16DA" w14:paraId="4B1200DD">
        <w:trPr>
          <w:trHeight w:val="345"/>
        </w:trPr>
        <w:tc>
          <w:tcPr>
            <w:tcW w:w="3855" w:type="dxa"/>
            <w:tcBorders>
              <w:top w:val="single" w:sz="6"/>
              <w:left w:val="single" w:sz="6"/>
              <w:bottom w:val="single" w:sz="6"/>
              <w:right w:val="single" w:sz="6"/>
            </w:tcBorders>
            <w:tcMar/>
            <w:vAlign w:val="center"/>
          </w:tcPr>
          <w:p w:rsidR="7C2F16DA" w:rsidP="7C2F16DA" w:rsidRDefault="7C2F16DA" w14:paraId="5B481448" w14:textId="184370A7">
            <w:pPr>
              <w:spacing w:before="120" w:after="120" w:line="240" w:lineRule="auto"/>
              <w:jc w:val="both"/>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Operating income</w:t>
            </w:r>
          </w:p>
        </w:tc>
        <w:tc>
          <w:tcPr>
            <w:tcW w:w="1373" w:type="dxa"/>
            <w:tcBorders>
              <w:top w:val="single" w:sz="6"/>
              <w:left w:val="single" w:sz="6"/>
              <w:bottom w:val="single" w:sz="6"/>
              <w:right w:val="single" w:sz="6"/>
            </w:tcBorders>
            <w:tcMar/>
            <w:vAlign w:val="center"/>
          </w:tcPr>
          <w:p w:rsidR="7C2F16DA" w:rsidP="7C2F16DA" w:rsidRDefault="7C2F16DA" w14:paraId="7D1ED408" w14:textId="49F9A52A">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-1,19,000</w:t>
            </w:r>
          </w:p>
        </w:tc>
        <w:tc>
          <w:tcPr>
            <w:tcW w:w="1373" w:type="dxa"/>
            <w:tcBorders>
              <w:top w:val="single" w:sz="6"/>
              <w:left w:val="single" w:sz="6"/>
              <w:bottom w:val="single" w:sz="6"/>
              <w:right w:val="single" w:sz="6"/>
            </w:tcBorders>
            <w:tcMar/>
            <w:vAlign w:val="center"/>
          </w:tcPr>
          <w:p w:rsidR="7C2F16DA" w:rsidP="7C2F16DA" w:rsidRDefault="7C2F16DA" w14:paraId="115D8F80" w14:textId="0E00455A">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15,76,000</w:t>
            </w:r>
          </w:p>
        </w:tc>
        <w:tc>
          <w:tcPr>
            <w:tcW w:w="1402" w:type="dxa"/>
            <w:tcBorders>
              <w:top w:val="single" w:sz="6"/>
              <w:left w:val="single" w:sz="6"/>
              <w:bottom w:val="single" w:sz="6"/>
              <w:right w:val="single" w:sz="6"/>
            </w:tcBorders>
            <w:tcMar/>
            <w:vAlign w:val="bottom"/>
          </w:tcPr>
          <w:p w:rsidR="7C2F16DA" w:rsidP="7C2F16DA" w:rsidRDefault="7C2F16DA" w14:paraId="5F2E26CC" w14:textId="02CC7F4F">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-16,95,000</w:t>
            </w:r>
          </w:p>
        </w:tc>
        <w:tc>
          <w:tcPr>
            <w:tcW w:w="1358" w:type="dxa"/>
            <w:tcBorders>
              <w:top w:val="single" w:sz="6"/>
              <w:left w:val="single" w:sz="6"/>
              <w:bottom w:val="single" w:sz="6"/>
              <w:right w:val="single" w:sz="6"/>
            </w:tcBorders>
            <w:tcMar/>
            <w:vAlign w:val="bottom"/>
          </w:tcPr>
          <w:p w:rsidR="7C2F16DA" w:rsidP="7C2F16DA" w:rsidRDefault="7C2F16DA" w14:paraId="1FC8E153" w14:textId="4E1F5AAF">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-108%</w:t>
            </w:r>
          </w:p>
        </w:tc>
      </w:tr>
      <w:tr w:rsidR="7C2F16DA" w:rsidTr="7C2F16DA" w14:paraId="73D66F67">
        <w:trPr>
          <w:trHeight w:val="345"/>
        </w:trPr>
        <w:tc>
          <w:tcPr>
            <w:tcW w:w="3855" w:type="dxa"/>
            <w:tcBorders>
              <w:top w:val="single" w:sz="6"/>
              <w:left w:val="single" w:sz="6"/>
              <w:bottom w:val="single" w:sz="6"/>
              <w:right w:val="single" w:sz="6"/>
            </w:tcBorders>
            <w:tcMar/>
            <w:vAlign w:val="center"/>
          </w:tcPr>
          <w:p w:rsidR="7C2F16DA" w:rsidP="7C2F16DA" w:rsidRDefault="7C2F16DA" w14:paraId="1A7249E3" w14:textId="0BB50757">
            <w:pPr>
              <w:spacing w:before="120" w:after="120" w:line="240" w:lineRule="auto"/>
              <w:jc w:val="both"/>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Interest Expense</w:t>
            </w:r>
          </w:p>
        </w:tc>
        <w:tc>
          <w:tcPr>
            <w:tcW w:w="1373" w:type="dxa"/>
            <w:tcBorders>
              <w:top w:val="single" w:sz="6"/>
              <w:left w:val="single" w:sz="6"/>
              <w:bottom w:val="single" w:sz="6"/>
              <w:right w:val="single" w:sz="6"/>
            </w:tcBorders>
            <w:tcMar/>
            <w:vAlign w:val="center"/>
          </w:tcPr>
          <w:p w:rsidR="7C2F16DA" w:rsidP="7C2F16DA" w:rsidRDefault="7C2F16DA" w14:paraId="0E52E89A" w14:textId="58E4DE31">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4,29,000</w:t>
            </w:r>
          </w:p>
        </w:tc>
        <w:tc>
          <w:tcPr>
            <w:tcW w:w="1373" w:type="dxa"/>
            <w:tcBorders>
              <w:top w:val="single" w:sz="6"/>
              <w:left w:val="single" w:sz="6"/>
              <w:bottom w:val="single" w:sz="6"/>
              <w:right w:val="single" w:sz="6"/>
            </w:tcBorders>
            <w:tcMar/>
            <w:vAlign w:val="center"/>
          </w:tcPr>
          <w:p w:rsidR="7C2F16DA" w:rsidP="7C2F16DA" w:rsidRDefault="7C2F16DA" w14:paraId="53DD451D" w14:textId="6BEA398A">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4,14,000</w:t>
            </w:r>
          </w:p>
        </w:tc>
        <w:tc>
          <w:tcPr>
            <w:tcW w:w="1402" w:type="dxa"/>
            <w:tcBorders>
              <w:top w:val="single" w:sz="6"/>
              <w:left w:val="single" w:sz="6"/>
              <w:bottom w:val="single" w:sz="6"/>
              <w:right w:val="single" w:sz="6"/>
            </w:tcBorders>
            <w:tcMar/>
            <w:vAlign w:val="bottom"/>
          </w:tcPr>
          <w:p w:rsidR="7C2F16DA" w:rsidP="7C2F16DA" w:rsidRDefault="7C2F16DA" w14:paraId="396E4947" w14:textId="1711D46C">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15,000</w:t>
            </w:r>
          </w:p>
        </w:tc>
        <w:tc>
          <w:tcPr>
            <w:tcW w:w="1358" w:type="dxa"/>
            <w:tcBorders>
              <w:top w:val="single" w:sz="6"/>
              <w:left w:val="single" w:sz="6"/>
              <w:bottom w:val="single" w:sz="6"/>
              <w:right w:val="single" w:sz="6"/>
            </w:tcBorders>
            <w:tcMar/>
            <w:vAlign w:val="bottom"/>
          </w:tcPr>
          <w:p w:rsidR="7C2F16DA" w:rsidP="7C2F16DA" w:rsidRDefault="7C2F16DA" w14:paraId="646266B3" w14:textId="02FADB21">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4%</w:t>
            </w:r>
          </w:p>
        </w:tc>
      </w:tr>
      <w:tr w:rsidR="7C2F16DA" w:rsidTr="7C2F16DA" w14:paraId="3355E717">
        <w:trPr>
          <w:trHeight w:val="345"/>
        </w:trPr>
        <w:tc>
          <w:tcPr>
            <w:tcW w:w="3855" w:type="dxa"/>
            <w:tcBorders>
              <w:top w:val="single" w:sz="6"/>
              <w:left w:val="single" w:sz="6"/>
              <w:bottom w:val="single" w:sz="6"/>
              <w:right w:val="single" w:sz="6"/>
            </w:tcBorders>
            <w:tcMar/>
            <w:vAlign w:val="center"/>
          </w:tcPr>
          <w:p w:rsidR="7C2F16DA" w:rsidP="7C2F16DA" w:rsidRDefault="7C2F16DA" w14:paraId="53B35E76" w14:textId="49EA3820">
            <w:pPr>
              <w:spacing w:before="120" w:after="120" w:line="240" w:lineRule="auto"/>
              <w:jc w:val="both"/>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 xml:space="preserve">Total Other income/ expenses net </w:t>
            </w:r>
          </w:p>
        </w:tc>
        <w:tc>
          <w:tcPr>
            <w:tcW w:w="1373" w:type="dxa"/>
            <w:tcBorders>
              <w:top w:val="single" w:sz="6"/>
              <w:left w:val="single" w:sz="6"/>
              <w:bottom w:val="single" w:sz="6"/>
              <w:right w:val="single" w:sz="6"/>
            </w:tcBorders>
            <w:tcMar/>
            <w:vAlign w:val="center"/>
          </w:tcPr>
          <w:p w:rsidR="7C2F16DA" w:rsidP="7C2F16DA" w:rsidRDefault="7C2F16DA" w14:paraId="3D092F31" w14:textId="5777E7FC">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-3,76,000</w:t>
            </w:r>
          </w:p>
        </w:tc>
        <w:tc>
          <w:tcPr>
            <w:tcW w:w="1373" w:type="dxa"/>
            <w:tcBorders>
              <w:top w:val="single" w:sz="6"/>
              <w:left w:val="single" w:sz="6"/>
              <w:bottom w:val="single" w:sz="6"/>
              <w:right w:val="single" w:sz="6"/>
            </w:tcBorders>
            <w:tcMar/>
            <w:vAlign w:val="center"/>
          </w:tcPr>
          <w:p w:rsidR="7C2F16DA" w:rsidP="7C2F16DA" w:rsidRDefault="7C2F16DA" w14:paraId="53AF3E48" w14:textId="42668F0D">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82,000</w:t>
            </w:r>
          </w:p>
        </w:tc>
        <w:tc>
          <w:tcPr>
            <w:tcW w:w="1402" w:type="dxa"/>
            <w:tcBorders>
              <w:top w:val="single" w:sz="6"/>
              <w:left w:val="single" w:sz="6"/>
              <w:bottom w:val="single" w:sz="6"/>
              <w:right w:val="single" w:sz="6"/>
            </w:tcBorders>
            <w:tcMar/>
            <w:vAlign w:val="bottom"/>
          </w:tcPr>
          <w:p w:rsidR="7C2F16DA" w:rsidP="7C2F16DA" w:rsidRDefault="7C2F16DA" w14:paraId="1FDD8F50" w14:textId="02BAAD61">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-4,58,000</w:t>
            </w:r>
          </w:p>
        </w:tc>
        <w:tc>
          <w:tcPr>
            <w:tcW w:w="1358" w:type="dxa"/>
            <w:tcBorders>
              <w:top w:val="single" w:sz="6"/>
              <w:left w:val="single" w:sz="6"/>
              <w:bottom w:val="single" w:sz="6"/>
              <w:right w:val="single" w:sz="6"/>
            </w:tcBorders>
            <w:tcMar/>
            <w:vAlign w:val="bottom"/>
          </w:tcPr>
          <w:p w:rsidR="7C2F16DA" w:rsidP="7C2F16DA" w:rsidRDefault="7C2F16DA" w14:paraId="52013C6C" w14:textId="616EEBB5">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-559%</w:t>
            </w:r>
          </w:p>
        </w:tc>
      </w:tr>
      <w:tr w:rsidR="7C2F16DA" w:rsidTr="7C2F16DA" w14:paraId="2E2267DD">
        <w:trPr>
          <w:trHeight w:val="345"/>
        </w:trPr>
        <w:tc>
          <w:tcPr>
            <w:tcW w:w="3855" w:type="dxa"/>
            <w:tcBorders>
              <w:top w:val="single" w:sz="6"/>
              <w:left w:val="single" w:sz="6"/>
              <w:bottom w:val="single" w:sz="6"/>
              <w:right w:val="single" w:sz="6"/>
            </w:tcBorders>
            <w:tcMar/>
            <w:vAlign w:val="center"/>
          </w:tcPr>
          <w:p w:rsidR="7C2F16DA" w:rsidP="7C2F16DA" w:rsidRDefault="7C2F16DA" w14:paraId="4C4A9690" w14:textId="3B55828C">
            <w:pPr>
              <w:spacing w:before="120" w:after="120" w:line="240" w:lineRule="auto"/>
              <w:jc w:val="both"/>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Income before taxes</w:t>
            </w:r>
          </w:p>
        </w:tc>
        <w:tc>
          <w:tcPr>
            <w:tcW w:w="1373" w:type="dxa"/>
            <w:tcBorders>
              <w:top w:val="single" w:sz="6"/>
              <w:left w:val="single" w:sz="6"/>
              <w:bottom w:val="single" w:sz="6"/>
              <w:right w:val="single" w:sz="6"/>
            </w:tcBorders>
            <w:tcMar/>
            <w:vAlign w:val="center"/>
          </w:tcPr>
          <w:p w:rsidR="7C2F16DA" w:rsidP="7C2F16DA" w:rsidRDefault="7C2F16DA" w14:paraId="415A93C1" w14:textId="673C09FA">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-9,24,000</w:t>
            </w:r>
          </w:p>
        </w:tc>
        <w:tc>
          <w:tcPr>
            <w:tcW w:w="1373" w:type="dxa"/>
            <w:tcBorders>
              <w:top w:val="single" w:sz="6"/>
              <w:left w:val="single" w:sz="6"/>
              <w:bottom w:val="single" w:sz="6"/>
              <w:right w:val="single" w:sz="6"/>
            </w:tcBorders>
            <w:tcMar/>
            <w:vAlign w:val="center"/>
          </w:tcPr>
          <w:p w:rsidR="7C2F16DA" w:rsidP="7C2F16DA" w:rsidRDefault="7C2F16DA" w14:paraId="50BB1168" w14:textId="52F0BD14">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12,44,000</w:t>
            </w:r>
          </w:p>
        </w:tc>
        <w:tc>
          <w:tcPr>
            <w:tcW w:w="1402" w:type="dxa"/>
            <w:tcBorders>
              <w:top w:val="single" w:sz="6"/>
              <w:left w:val="single" w:sz="6"/>
              <w:bottom w:val="single" w:sz="6"/>
              <w:right w:val="single" w:sz="6"/>
            </w:tcBorders>
            <w:tcMar/>
            <w:vAlign w:val="bottom"/>
          </w:tcPr>
          <w:p w:rsidR="7C2F16DA" w:rsidP="7C2F16DA" w:rsidRDefault="7C2F16DA" w14:paraId="3C11170F" w14:textId="1EA69C3B">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-21,68,000</w:t>
            </w:r>
          </w:p>
        </w:tc>
        <w:tc>
          <w:tcPr>
            <w:tcW w:w="1358" w:type="dxa"/>
            <w:tcBorders>
              <w:top w:val="single" w:sz="6"/>
              <w:left w:val="single" w:sz="6"/>
              <w:bottom w:val="single" w:sz="6"/>
              <w:right w:val="single" w:sz="6"/>
            </w:tcBorders>
            <w:tcMar/>
            <w:vAlign w:val="bottom"/>
          </w:tcPr>
          <w:p w:rsidR="7C2F16DA" w:rsidP="7C2F16DA" w:rsidRDefault="7C2F16DA" w14:paraId="233DA5BD" w14:textId="46232ABB">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-174%</w:t>
            </w:r>
          </w:p>
        </w:tc>
      </w:tr>
      <w:tr w:rsidR="7C2F16DA" w:rsidTr="7C2F16DA" w14:paraId="018E073A">
        <w:trPr>
          <w:trHeight w:val="345"/>
        </w:trPr>
        <w:tc>
          <w:tcPr>
            <w:tcW w:w="3855" w:type="dxa"/>
            <w:tcBorders>
              <w:top w:val="single" w:sz="6"/>
              <w:left w:val="single" w:sz="6"/>
              <w:bottom w:val="single" w:sz="6"/>
              <w:right w:val="single" w:sz="6"/>
            </w:tcBorders>
            <w:tcMar/>
            <w:vAlign w:val="center"/>
          </w:tcPr>
          <w:p w:rsidR="7C2F16DA" w:rsidP="7C2F16DA" w:rsidRDefault="7C2F16DA" w14:paraId="142A0C68" w14:textId="13629639">
            <w:pPr>
              <w:spacing w:before="120" w:after="120" w:line="240" w:lineRule="auto"/>
              <w:jc w:val="both"/>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Net income</w:t>
            </w:r>
          </w:p>
        </w:tc>
        <w:tc>
          <w:tcPr>
            <w:tcW w:w="1373" w:type="dxa"/>
            <w:tcBorders>
              <w:top w:val="single" w:sz="6"/>
              <w:left w:val="single" w:sz="6"/>
              <w:bottom w:val="single" w:sz="6"/>
              <w:right w:val="single" w:sz="6"/>
            </w:tcBorders>
            <w:tcMar/>
            <w:vAlign w:val="center"/>
          </w:tcPr>
          <w:p w:rsidR="7C2F16DA" w:rsidP="7C2F16DA" w:rsidRDefault="7C2F16DA" w14:paraId="5A88ECFB" w14:textId="23BE4BA7">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-7,15,000</w:t>
            </w:r>
          </w:p>
        </w:tc>
        <w:tc>
          <w:tcPr>
            <w:tcW w:w="1373" w:type="dxa"/>
            <w:tcBorders>
              <w:top w:val="single" w:sz="6"/>
              <w:left w:val="single" w:sz="6"/>
              <w:bottom w:val="single" w:sz="6"/>
              <w:right w:val="single" w:sz="6"/>
            </w:tcBorders>
            <w:tcMar/>
            <w:vAlign w:val="center"/>
          </w:tcPr>
          <w:p w:rsidR="7C2F16DA" w:rsidP="7C2F16DA" w:rsidRDefault="7C2F16DA" w14:paraId="7DC6DAA2" w14:textId="6267916F">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8,81,000</w:t>
            </w:r>
          </w:p>
        </w:tc>
        <w:tc>
          <w:tcPr>
            <w:tcW w:w="1402" w:type="dxa"/>
            <w:tcBorders>
              <w:top w:val="single" w:sz="6"/>
              <w:left w:val="single" w:sz="6"/>
              <w:bottom w:val="single" w:sz="6"/>
              <w:right w:val="single" w:sz="6"/>
            </w:tcBorders>
            <w:tcMar/>
            <w:vAlign w:val="bottom"/>
          </w:tcPr>
          <w:p w:rsidR="7C2F16DA" w:rsidP="7C2F16DA" w:rsidRDefault="7C2F16DA" w14:paraId="4BB7D071" w14:textId="77EEE870">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-15,96,000</w:t>
            </w:r>
          </w:p>
        </w:tc>
        <w:tc>
          <w:tcPr>
            <w:tcW w:w="1358" w:type="dxa"/>
            <w:tcBorders>
              <w:top w:val="single" w:sz="6"/>
              <w:left w:val="single" w:sz="6"/>
              <w:bottom w:val="single" w:sz="6"/>
              <w:right w:val="single" w:sz="6"/>
            </w:tcBorders>
            <w:tcMar/>
            <w:vAlign w:val="bottom"/>
          </w:tcPr>
          <w:p w:rsidR="7C2F16DA" w:rsidP="7C2F16DA" w:rsidRDefault="7C2F16DA" w14:paraId="32F0BF99" w14:textId="6792BD8E">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-181%</w:t>
            </w:r>
          </w:p>
        </w:tc>
      </w:tr>
    </w:tbl>
    <w:p xmlns:wp14="http://schemas.microsoft.com/office/word/2010/wordml" w:rsidP="7C2F16DA" w14:paraId="35D6BC51" wp14:textId="3B65D76E">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tbl>
      <w:tblPr>
        <w:tblStyle w:val="TableNormal"/>
        <w:tblW w:w="0" w:type="auto"/>
        <w:tblLayout w:type="fixed"/>
        <w:tblLook w:val="04A0" w:firstRow="1" w:lastRow="0" w:firstColumn="1" w:lastColumn="0" w:noHBand="0" w:noVBand="1"/>
      </w:tblPr>
      <w:tblGrid>
        <w:gridCol w:w="3572"/>
        <w:gridCol w:w="1502"/>
        <w:gridCol w:w="1502"/>
        <w:gridCol w:w="1400"/>
        <w:gridCol w:w="1385"/>
      </w:tblGrid>
      <w:tr w:rsidR="7C2F16DA" w:rsidTr="7C2F16DA" w14:paraId="50E91B42">
        <w:trPr>
          <w:trHeight w:val="465"/>
        </w:trPr>
        <w:tc>
          <w:tcPr>
            <w:tcW w:w="9361" w:type="dxa"/>
            <w:gridSpan w:val="5"/>
            <w:tcBorders>
              <w:top w:val="single" w:color="000000" w:themeColor="text1" w:sz="6"/>
              <w:left w:val="single" w:color="000000" w:themeColor="text1" w:sz="6"/>
              <w:right w:val="single" w:color="000000" w:themeColor="text1" w:sz="6"/>
            </w:tcBorders>
            <w:shd w:val="clear" w:color="auto" w:fill="3A3838"/>
            <w:tcMar/>
            <w:vAlign w:val="bottom"/>
          </w:tcPr>
          <w:p w:rsidR="7C2F16DA" w:rsidP="7C2F16DA" w:rsidRDefault="7C2F16DA" w14:paraId="1A7C3DC2" w14:textId="6D152426">
            <w:pPr>
              <w:spacing w:before="120" w:after="120" w:line="240" w:lineRule="auto"/>
              <w:jc w:val="center"/>
              <w:rPr>
                <w:rFonts w:ascii="Arial" w:hAnsi="Arial" w:eastAsia="Arial" w:cs="Arial"/>
                <w:b w:val="0"/>
                <w:bCs w:val="0"/>
                <w:i w:val="0"/>
                <w:iCs w:val="0"/>
                <w:color w:val="FFFFFF" w:themeColor="background1" w:themeTint="FF" w:themeShade="FF"/>
                <w:sz w:val="28"/>
                <w:szCs w:val="28"/>
              </w:rPr>
            </w:pPr>
            <w:r w:rsidRPr="7C2F16DA" w:rsidR="7C2F16DA">
              <w:rPr>
                <w:rFonts w:ascii="Arial" w:hAnsi="Arial" w:eastAsia="Arial" w:cs="Arial"/>
                <w:b w:val="0"/>
                <w:bCs w:val="0"/>
                <w:i w:val="0"/>
                <w:iCs w:val="0"/>
                <w:color w:val="FFFFFF" w:themeColor="background1" w:themeTint="FF" w:themeShade="FF"/>
                <w:sz w:val="28"/>
                <w:szCs w:val="28"/>
                <w:lang w:val="en-IN"/>
              </w:rPr>
              <w:t>Horizontal Analysis</w:t>
            </w:r>
          </w:p>
        </w:tc>
      </w:tr>
      <w:tr w:rsidR="7C2F16DA" w:rsidTr="7C2F16DA" w14:paraId="310316B5">
        <w:trPr>
          <w:trHeight w:val="405"/>
        </w:trPr>
        <w:tc>
          <w:tcPr>
            <w:tcW w:w="9361" w:type="dxa"/>
            <w:gridSpan w:val="5"/>
            <w:tcBorders>
              <w:top w:val="single" w:color="000000" w:themeColor="text1" w:sz="6"/>
              <w:left w:val="single" w:color="000000" w:themeColor="text1" w:sz="6"/>
              <w:right w:val="single" w:color="000000" w:themeColor="text1" w:sz="6"/>
            </w:tcBorders>
            <w:shd w:val="clear" w:color="auto" w:fill="AEAAAA" w:themeFill="background2" w:themeFillShade="BF"/>
            <w:tcMar/>
            <w:vAlign w:val="bottom"/>
          </w:tcPr>
          <w:p w:rsidR="7C2F16DA" w:rsidP="7C2F16DA" w:rsidRDefault="7C2F16DA" w14:paraId="57120D9B" w14:textId="7C2210EB">
            <w:pPr>
              <w:spacing w:before="120" w:after="120" w:line="240" w:lineRule="auto"/>
              <w:jc w:val="center"/>
              <w:rPr>
                <w:rFonts w:ascii="Arial" w:hAnsi="Arial" w:eastAsia="Arial" w:cs="Arial"/>
                <w:b w:val="0"/>
                <w:bCs w:val="0"/>
                <w:i w:val="0"/>
                <w:iCs w:val="0"/>
                <w:sz w:val="24"/>
                <w:szCs w:val="24"/>
              </w:rPr>
            </w:pPr>
            <w:r w:rsidRPr="7C2F16DA" w:rsidR="7C2F16DA">
              <w:rPr>
                <w:rFonts w:ascii="Arial" w:hAnsi="Arial" w:eastAsia="Arial" w:cs="Arial"/>
                <w:b w:val="1"/>
                <w:bCs w:val="1"/>
                <w:i w:val="0"/>
                <w:iCs w:val="0"/>
                <w:sz w:val="24"/>
                <w:szCs w:val="24"/>
                <w:lang w:val="en-IN"/>
              </w:rPr>
              <w:t>Hilton Worldwide Holding Inc</w:t>
            </w:r>
          </w:p>
        </w:tc>
      </w:tr>
      <w:tr w:rsidR="7C2F16DA" w:rsidTr="7C2F16DA" w14:paraId="329FBBA7">
        <w:trPr>
          <w:trHeight w:val="360"/>
        </w:trPr>
        <w:tc>
          <w:tcPr>
            <w:tcW w:w="3572" w:type="dxa"/>
            <w:tcBorders>
              <w:left w:val="single" w:color="000000" w:themeColor="text1" w:sz="6"/>
              <w:right w:val="single" w:color="000000" w:themeColor="text1" w:sz="6"/>
            </w:tcBorders>
            <w:shd w:val="clear" w:color="auto" w:fill="3A3838"/>
            <w:tcMar/>
            <w:vAlign w:val="bottom"/>
          </w:tcPr>
          <w:p w:rsidR="7C2F16DA" w:rsidP="7C2F16DA" w:rsidRDefault="7C2F16DA" w14:paraId="389D4AC7" w14:textId="46D2A9AE">
            <w:pPr>
              <w:spacing w:before="120" w:after="120" w:line="240" w:lineRule="auto"/>
              <w:jc w:val="both"/>
              <w:rPr>
                <w:rFonts w:ascii="Arial" w:hAnsi="Arial" w:eastAsia="Arial" w:cs="Arial"/>
                <w:b w:val="0"/>
                <w:bCs w:val="0"/>
                <w:i w:val="0"/>
                <w:iCs w:val="0"/>
                <w:color w:val="FFFFFF" w:themeColor="background1" w:themeTint="FF" w:themeShade="FF"/>
                <w:sz w:val="24"/>
                <w:szCs w:val="24"/>
              </w:rPr>
            </w:pPr>
            <w:r w:rsidRPr="7C2F16DA" w:rsidR="7C2F16DA">
              <w:rPr>
                <w:rFonts w:ascii="Arial" w:hAnsi="Arial" w:eastAsia="Arial" w:cs="Arial"/>
                <w:b w:val="1"/>
                <w:bCs w:val="1"/>
                <w:i w:val="0"/>
                <w:iCs w:val="0"/>
                <w:color w:val="FFFFFF" w:themeColor="background1" w:themeTint="FF" w:themeShade="FF"/>
                <w:sz w:val="24"/>
                <w:szCs w:val="24"/>
                <w:lang w:val="en-IN"/>
              </w:rPr>
              <w:t>Balance Sheet</w:t>
            </w:r>
          </w:p>
        </w:tc>
        <w:tc>
          <w:tcPr>
            <w:tcW w:w="1502" w:type="dxa"/>
            <w:shd w:val="clear" w:color="auto" w:fill="3A3838"/>
            <w:tcMar/>
            <w:vAlign w:val="center"/>
          </w:tcPr>
          <w:p w:rsidR="7C2F16DA" w:rsidP="7C2F16DA" w:rsidRDefault="7C2F16DA" w14:paraId="0F265922" w14:textId="4EDBCDD5">
            <w:pPr>
              <w:spacing w:before="120" w:after="120" w:line="240" w:lineRule="auto"/>
              <w:jc w:val="right"/>
              <w:rPr>
                <w:rFonts w:ascii="Arial" w:hAnsi="Arial" w:eastAsia="Arial" w:cs="Arial"/>
                <w:b w:val="0"/>
                <w:bCs w:val="0"/>
                <w:i w:val="0"/>
                <w:iCs w:val="0"/>
                <w:color w:val="FFFFFF" w:themeColor="background1" w:themeTint="FF" w:themeShade="FF"/>
                <w:sz w:val="24"/>
                <w:szCs w:val="24"/>
              </w:rPr>
            </w:pPr>
            <w:r w:rsidRPr="7C2F16DA" w:rsidR="7C2F16DA">
              <w:rPr>
                <w:rFonts w:ascii="Arial" w:hAnsi="Arial" w:eastAsia="Arial" w:cs="Arial"/>
                <w:b w:val="1"/>
                <w:bCs w:val="1"/>
                <w:i w:val="0"/>
                <w:iCs w:val="0"/>
                <w:color w:val="FFFFFF" w:themeColor="background1" w:themeTint="FF" w:themeShade="FF"/>
                <w:sz w:val="24"/>
                <w:szCs w:val="24"/>
                <w:lang w:val="en-IN"/>
              </w:rPr>
              <w:t>2020</w:t>
            </w:r>
          </w:p>
        </w:tc>
        <w:tc>
          <w:tcPr>
            <w:tcW w:w="1502" w:type="dxa"/>
            <w:shd w:val="clear" w:color="auto" w:fill="3A3838"/>
            <w:tcMar/>
            <w:vAlign w:val="center"/>
          </w:tcPr>
          <w:p w:rsidR="7C2F16DA" w:rsidP="7C2F16DA" w:rsidRDefault="7C2F16DA" w14:paraId="1C44EA2D" w14:textId="27AE411A">
            <w:pPr>
              <w:spacing w:before="120" w:after="120" w:line="240" w:lineRule="auto"/>
              <w:jc w:val="right"/>
              <w:rPr>
                <w:rFonts w:ascii="Arial" w:hAnsi="Arial" w:eastAsia="Arial" w:cs="Arial"/>
                <w:b w:val="0"/>
                <w:bCs w:val="0"/>
                <w:i w:val="0"/>
                <w:iCs w:val="0"/>
                <w:color w:val="FFFFFF" w:themeColor="background1" w:themeTint="FF" w:themeShade="FF"/>
                <w:sz w:val="24"/>
                <w:szCs w:val="24"/>
              </w:rPr>
            </w:pPr>
            <w:r w:rsidRPr="7C2F16DA" w:rsidR="7C2F16DA">
              <w:rPr>
                <w:rFonts w:ascii="Arial" w:hAnsi="Arial" w:eastAsia="Arial" w:cs="Arial"/>
                <w:b w:val="1"/>
                <w:bCs w:val="1"/>
                <w:i w:val="0"/>
                <w:iCs w:val="0"/>
                <w:color w:val="FFFFFF" w:themeColor="background1" w:themeTint="FF" w:themeShade="FF"/>
                <w:sz w:val="24"/>
                <w:szCs w:val="24"/>
                <w:lang w:val="en-IN"/>
              </w:rPr>
              <w:t>2019</w:t>
            </w:r>
          </w:p>
        </w:tc>
        <w:tc>
          <w:tcPr>
            <w:tcW w:w="1400" w:type="dxa"/>
            <w:shd w:val="clear" w:color="auto" w:fill="3A3838"/>
            <w:tcMar/>
            <w:vAlign w:val="center"/>
          </w:tcPr>
          <w:p w:rsidR="7C2F16DA" w:rsidP="7C2F16DA" w:rsidRDefault="7C2F16DA" w14:paraId="343CE5D7" w14:textId="633D7846">
            <w:pPr>
              <w:spacing w:before="120" w:after="120" w:line="240" w:lineRule="auto"/>
              <w:jc w:val="right"/>
              <w:rPr>
                <w:rFonts w:ascii="Arial" w:hAnsi="Arial" w:eastAsia="Arial" w:cs="Arial"/>
                <w:b w:val="0"/>
                <w:bCs w:val="0"/>
                <w:i w:val="0"/>
                <w:iCs w:val="0"/>
                <w:color w:val="FFFFFF" w:themeColor="background1" w:themeTint="FF" w:themeShade="FF"/>
                <w:sz w:val="24"/>
                <w:szCs w:val="24"/>
              </w:rPr>
            </w:pPr>
            <w:r w:rsidRPr="7C2F16DA" w:rsidR="7C2F16DA">
              <w:rPr>
                <w:rFonts w:ascii="Arial" w:hAnsi="Arial" w:eastAsia="Arial" w:cs="Arial"/>
                <w:b w:val="1"/>
                <w:bCs w:val="1"/>
                <w:i w:val="0"/>
                <w:iCs w:val="0"/>
                <w:color w:val="FFFFFF" w:themeColor="background1" w:themeTint="FF" w:themeShade="FF"/>
                <w:sz w:val="24"/>
                <w:szCs w:val="24"/>
                <w:lang w:val="en-IN"/>
              </w:rPr>
              <w:t xml:space="preserve">   Change</w:t>
            </w:r>
          </w:p>
        </w:tc>
        <w:tc>
          <w:tcPr>
            <w:tcW w:w="1385" w:type="dxa"/>
            <w:tcBorders>
              <w:right w:val="single" w:color="000000" w:themeColor="text1" w:sz="6"/>
            </w:tcBorders>
            <w:shd w:val="clear" w:color="auto" w:fill="3A3838"/>
            <w:tcMar/>
            <w:vAlign w:val="center"/>
          </w:tcPr>
          <w:p w:rsidR="7C2F16DA" w:rsidP="7C2F16DA" w:rsidRDefault="7C2F16DA" w14:paraId="051FADC0" w14:textId="0E89AAD3">
            <w:pPr>
              <w:spacing w:before="120" w:after="120" w:line="240" w:lineRule="auto"/>
              <w:jc w:val="right"/>
              <w:rPr>
                <w:rFonts w:ascii="Arial" w:hAnsi="Arial" w:eastAsia="Arial" w:cs="Arial"/>
                <w:b w:val="0"/>
                <w:bCs w:val="0"/>
                <w:i w:val="0"/>
                <w:iCs w:val="0"/>
                <w:color w:val="FFFFFF" w:themeColor="background1" w:themeTint="FF" w:themeShade="FF"/>
                <w:sz w:val="24"/>
                <w:szCs w:val="24"/>
              </w:rPr>
            </w:pPr>
            <w:r w:rsidRPr="7C2F16DA" w:rsidR="7C2F16DA">
              <w:rPr>
                <w:rFonts w:ascii="Arial" w:hAnsi="Arial" w:eastAsia="Arial" w:cs="Arial"/>
                <w:b w:val="1"/>
                <w:bCs w:val="1"/>
                <w:i w:val="0"/>
                <w:iCs w:val="0"/>
                <w:color w:val="FFFFFF" w:themeColor="background1" w:themeTint="FF" w:themeShade="FF"/>
                <w:sz w:val="24"/>
                <w:szCs w:val="24"/>
                <w:lang w:val="en-IN"/>
              </w:rPr>
              <w:t>% Change</w:t>
            </w:r>
          </w:p>
        </w:tc>
      </w:tr>
      <w:tr w:rsidR="7C2F16DA" w:rsidTr="7C2F16DA" w14:paraId="01D9C605">
        <w:trPr>
          <w:trHeight w:val="360"/>
        </w:trPr>
        <w:tc>
          <w:tcPr>
            <w:tcW w:w="3572" w:type="dxa"/>
            <w:tcBorders>
              <w:left w:val="single" w:color="000000" w:themeColor="text1" w:sz="6"/>
            </w:tcBorders>
            <w:tcMar/>
            <w:vAlign w:val="center"/>
          </w:tcPr>
          <w:p w:rsidR="7C2F16DA" w:rsidP="7C2F16DA" w:rsidRDefault="7C2F16DA" w14:paraId="09BB53E4" w14:textId="5C755DFA">
            <w:pPr>
              <w:spacing w:before="120" w:after="120" w:line="240" w:lineRule="auto"/>
              <w:jc w:val="both"/>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Current Asset</w:t>
            </w:r>
          </w:p>
        </w:tc>
        <w:tc>
          <w:tcPr>
            <w:tcW w:w="1502" w:type="dxa"/>
            <w:tcMar/>
            <w:vAlign w:val="center"/>
          </w:tcPr>
          <w:p w:rsidR="7C2F16DA" w:rsidP="7C2F16DA" w:rsidRDefault="7C2F16DA" w14:paraId="252D5D53" w14:textId="0EA5FBA9">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42,02,000</w:t>
            </w:r>
          </w:p>
        </w:tc>
        <w:tc>
          <w:tcPr>
            <w:tcW w:w="1502" w:type="dxa"/>
            <w:tcMar/>
            <w:vAlign w:val="center"/>
          </w:tcPr>
          <w:p w:rsidR="7C2F16DA" w:rsidP="7C2F16DA" w:rsidRDefault="7C2F16DA" w14:paraId="1611ED66" w14:textId="2DAFDBEC">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20,93,000</w:t>
            </w:r>
          </w:p>
        </w:tc>
        <w:tc>
          <w:tcPr>
            <w:tcW w:w="1400" w:type="dxa"/>
            <w:tcMar/>
            <w:vAlign w:val="bottom"/>
          </w:tcPr>
          <w:p w:rsidR="7C2F16DA" w:rsidP="7C2F16DA" w:rsidRDefault="7C2F16DA" w14:paraId="7DA3AF73" w14:textId="4C0C8233">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21,09,000</w:t>
            </w:r>
          </w:p>
        </w:tc>
        <w:tc>
          <w:tcPr>
            <w:tcW w:w="1385" w:type="dxa"/>
            <w:tcBorders>
              <w:right w:val="single" w:color="000000" w:themeColor="text1" w:sz="6"/>
            </w:tcBorders>
            <w:tcMar/>
            <w:vAlign w:val="bottom"/>
          </w:tcPr>
          <w:p w:rsidR="7C2F16DA" w:rsidP="7C2F16DA" w:rsidRDefault="7C2F16DA" w14:paraId="4D045E33" w14:textId="6AC71954">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101%</w:t>
            </w:r>
          </w:p>
        </w:tc>
      </w:tr>
      <w:tr w:rsidR="7C2F16DA" w:rsidTr="7C2F16DA" w14:paraId="484310F6">
        <w:trPr>
          <w:trHeight w:val="360"/>
        </w:trPr>
        <w:tc>
          <w:tcPr>
            <w:tcW w:w="3572" w:type="dxa"/>
            <w:tcBorders>
              <w:left w:val="single" w:color="000000" w:themeColor="text1" w:sz="6"/>
            </w:tcBorders>
            <w:tcMar/>
            <w:vAlign w:val="center"/>
          </w:tcPr>
          <w:p w:rsidR="7C2F16DA" w:rsidP="7C2F16DA" w:rsidRDefault="7C2F16DA" w14:paraId="7EAAFE89" w14:textId="59BA8BC8">
            <w:pPr>
              <w:spacing w:before="120" w:after="120" w:line="240" w:lineRule="auto"/>
              <w:jc w:val="both"/>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Non-Current Asset</w:t>
            </w:r>
          </w:p>
        </w:tc>
        <w:tc>
          <w:tcPr>
            <w:tcW w:w="1502" w:type="dxa"/>
            <w:tcMar/>
            <w:vAlign w:val="center"/>
          </w:tcPr>
          <w:p w:rsidR="7C2F16DA" w:rsidP="7C2F16DA" w:rsidRDefault="7C2F16DA" w14:paraId="548E413C" w14:textId="7FCF1087">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1,58,10,000</w:t>
            </w:r>
          </w:p>
        </w:tc>
        <w:tc>
          <w:tcPr>
            <w:tcW w:w="1502" w:type="dxa"/>
            <w:tcMar/>
            <w:vAlign w:val="center"/>
          </w:tcPr>
          <w:p w:rsidR="7C2F16DA" w:rsidP="7C2F16DA" w:rsidRDefault="7C2F16DA" w14:paraId="05C68276" w14:textId="5FD3EDC8">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1,25,58,000</w:t>
            </w:r>
          </w:p>
        </w:tc>
        <w:tc>
          <w:tcPr>
            <w:tcW w:w="1400" w:type="dxa"/>
            <w:tcMar/>
            <w:vAlign w:val="bottom"/>
          </w:tcPr>
          <w:p w:rsidR="7C2F16DA" w:rsidP="7C2F16DA" w:rsidRDefault="7C2F16DA" w14:paraId="10BCE94D" w14:textId="58E99350">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32,52,000</w:t>
            </w:r>
          </w:p>
        </w:tc>
        <w:tc>
          <w:tcPr>
            <w:tcW w:w="1385" w:type="dxa"/>
            <w:tcBorders>
              <w:right w:val="single" w:color="000000" w:themeColor="text1" w:sz="6"/>
            </w:tcBorders>
            <w:tcMar/>
            <w:vAlign w:val="bottom"/>
          </w:tcPr>
          <w:p w:rsidR="7C2F16DA" w:rsidP="7C2F16DA" w:rsidRDefault="7C2F16DA" w14:paraId="0370C394" w14:textId="23063CB5">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26%</w:t>
            </w:r>
          </w:p>
        </w:tc>
      </w:tr>
      <w:tr w:rsidR="7C2F16DA" w:rsidTr="7C2F16DA" w14:paraId="7C63056B">
        <w:trPr>
          <w:trHeight w:val="360"/>
        </w:trPr>
        <w:tc>
          <w:tcPr>
            <w:tcW w:w="3572" w:type="dxa"/>
            <w:tcBorders>
              <w:left w:val="single" w:color="000000" w:themeColor="text1" w:sz="6"/>
            </w:tcBorders>
            <w:tcMar/>
            <w:vAlign w:val="center"/>
          </w:tcPr>
          <w:p w:rsidR="7C2F16DA" w:rsidP="7C2F16DA" w:rsidRDefault="7C2F16DA" w14:paraId="5406FE8B" w14:textId="7D1B09F9">
            <w:pPr>
              <w:spacing w:before="120" w:after="120" w:line="240" w:lineRule="auto"/>
              <w:jc w:val="both"/>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Total Asset</w:t>
            </w:r>
          </w:p>
        </w:tc>
        <w:tc>
          <w:tcPr>
            <w:tcW w:w="1502" w:type="dxa"/>
            <w:tcMar/>
            <w:vAlign w:val="center"/>
          </w:tcPr>
          <w:p w:rsidR="7C2F16DA" w:rsidP="7C2F16DA" w:rsidRDefault="7C2F16DA" w14:paraId="3F3C96D0" w14:textId="5BDFBC5B">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1,67,55,000</w:t>
            </w:r>
          </w:p>
        </w:tc>
        <w:tc>
          <w:tcPr>
            <w:tcW w:w="1502" w:type="dxa"/>
            <w:tcMar/>
            <w:vAlign w:val="center"/>
          </w:tcPr>
          <w:p w:rsidR="7C2F16DA" w:rsidP="7C2F16DA" w:rsidRDefault="7C2F16DA" w14:paraId="766DE8E4" w14:textId="4D288DC8">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1,49,57,000</w:t>
            </w:r>
          </w:p>
        </w:tc>
        <w:tc>
          <w:tcPr>
            <w:tcW w:w="1400" w:type="dxa"/>
            <w:tcMar/>
            <w:vAlign w:val="bottom"/>
          </w:tcPr>
          <w:p w:rsidR="7C2F16DA" w:rsidP="7C2F16DA" w:rsidRDefault="7C2F16DA" w14:paraId="1440CBE9" w14:textId="2BD12694">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17,98,000</w:t>
            </w:r>
          </w:p>
        </w:tc>
        <w:tc>
          <w:tcPr>
            <w:tcW w:w="1385" w:type="dxa"/>
            <w:tcBorders>
              <w:right w:val="single" w:color="000000" w:themeColor="text1" w:sz="6"/>
            </w:tcBorders>
            <w:tcMar/>
            <w:vAlign w:val="bottom"/>
          </w:tcPr>
          <w:p w:rsidR="7C2F16DA" w:rsidP="7C2F16DA" w:rsidRDefault="7C2F16DA" w14:paraId="2E26A213" w14:textId="57787D5C">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12%</w:t>
            </w:r>
          </w:p>
        </w:tc>
      </w:tr>
      <w:tr w:rsidR="7C2F16DA" w:rsidTr="7C2F16DA" w14:paraId="2FB76837">
        <w:trPr>
          <w:trHeight w:val="360"/>
        </w:trPr>
        <w:tc>
          <w:tcPr>
            <w:tcW w:w="3572" w:type="dxa"/>
            <w:tcBorders>
              <w:left w:val="single" w:color="000000" w:themeColor="text1" w:sz="6"/>
            </w:tcBorders>
            <w:tcMar/>
            <w:vAlign w:val="center"/>
          </w:tcPr>
          <w:p w:rsidR="7C2F16DA" w:rsidP="7C2F16DA" w:rsidRDefault="7C2F16DA" w14:paraId="5570BFBB" w14:textId="767DD348">
            <w:pPr>
              <w:spacing w:before="120" w:after="120" w:line="240" w:lineRule="auto"/>
              <w:jc w:val="both"/>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Current Liabilities</w:t>
            </w:r>
          </w:p>
        </w:tc>
        <w:tc>
          <w:tcPr>
            <w:tcW w:w="1502" w:type="dxa"/>
            <w:tcMar/>
            <w:vAlign w:val="center"/>
          </w:tcPr>
          <w:p w:rsidR="7C2F16DA" w:rsidP="7C2F16DA" w:rsidRDefault="7C2F16DA" w14:paraId="57035820" w14:textId="37391D60">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24,31,000</w:t>
            </w:r>
          </w:p>
        </w:tc>
        <w:tc>
          <w:tcPr>
            <w:tcW w:w="1502" w:type="dxa"/>
            <w:tcMar/>
            <w:vAlign w:val="center"/>
          </w:tcPr>
          <w:p w:rsidR="7C2F16DA" w:rsidP="7C2F16DA" w:rsidRDefault="7C2F16DA" w14:paraId="5C35D9A1" w14:textId="2448D1FB">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28,71,000</w:t>
            </w:r>
          </w:p>
        </w:tc>
        <w:tc>
          <w:tcPr>
            <w:tcW w:w="1400" w:type="dxa"/>
            <w:tcMar/>
            <w:vAlign w:val="bottom"/>
          </w:tcPr>
          <w:p w:rsidR="7C2F16DA" w:rsidP="7C2F16DA" w:rsidRDefault="7C2F16DA" w14:paraId="78A71C5E" w14:textId="719CB7D2">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-4,40,000</w:t>
            </w:r>
          </w:p>
        </w:tc>
        <w:tc>
          <w:tcPr>
            <w:tcW w:w="1385" w:type="dxa"/>
            <w:tcBorders>
              <w:right w:val="single" w:color="000000" w:themeColor="text1" w:sz="6"/>
            </w:tcBorders>
            <w:tcMar/>
            <w:vAlign w:val="bottom"/>
          </w:tcPr>
          <w:p w:rsidR="7C2F16DA" w:rsidP="7C2F16DA" w:rsidRDefault="7C2F16DA" w14:paraId="4C98303F" w14:textId="11D19768">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-15%</w:t>
            </w:r>
          </w:p>
        </w:tc>
      </w:tr>
      <w:tr w:rsidR="7C2F16DA" w:rsidTr="7C2F16DA" w14:paraId="5D92361C">
        <w:trPr>
          <w:trHeight w:val="360"/>
        </w:trPr>
        <w:tc>
          <w:tcPr>
            <w:tcW w:w="3572" w:type="dxa"/>
            <w:tcBorders>
              <w:left w:val="single" w:color="000000" w:themeColor="text1" w:sz="6"/>
            </w:tcBorders>
            <w:tcMar/>
            <w:vAlign w:val="center"/>
          </w:tcPr>
          <w:p w:rsidR="7C2F16DA" w:rsidP="7C2F16DA" w:rsidRDefault="7C2F16DA" w14:paraId="50924D4C" w14:textId="3B7151C9">
            <w:pPr>
              <w:spacing w:before="120" w:after="120" w:line="240" w:lineRule="auto"/>
              <w:jc w:val="both"/>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Non-current Liabilities</w:t>
            </w:r>
          </w:p>
        </w:tc>
        <w:tc>
          <w:tcPr>
            <w:tcW w:w="1502" w:type="dxa"/>
            <w:tcMar/>
            <w:vAlign w:val="center"/>
          </w:tcPr>
          <w:p w:rsidR="7C2F16DA" w:rsidP="7C2F16DA" w:rsidRDefault="7C2F16DA" w14:paraId="591A65E7" w14:textId="60428BDC">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1,58,10,000</w:t>
            </w:r>
          </w:p>
        </w:tc>
        <w:tc>
          <w:tcPr>
            <w:tcW w:w="1502" w:type="dxa"/>
            <w:tcMar/>
            <w:vAlign w:val="center"/>
          </w:tcPr>
          <w:p w:rsidR="7C2F16DA" w:rsidP="7C2F16DA" w:rsidRDefault="7C2F16DA" w14:paraId="769A24FC" w14:textId="47C9E687">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1,25,58,000</w:t>
            </w:r>
          </w:p>
        </w:tc>
        <w:tc>
          <w:tcPr>
            <w:tcW w:w="1400" w:type="dxa"/>
            <w:tcMar/>
            <w:vAlign w:val="bottom"/>
          </w:tcPr>
          <w:p w:rsidR="7C2F16DA" w:rsidP="7C2F16DA" w:rsidRDefault="7C2F16DA" w14:paraId="0FB72514" w14:textId="5D5738BB">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32,52,000</w:t>
            </w:r>
          </w:p>
        </w:tc>
        <w:tc>
          <w:tcPr>
            <w:tcW w:w="1385" w:type="dxa"/>
            <w:tcBorders>
              <w:right w:val="single" w:color="000000" w:themeColor="text1" w:sz="6"/>
            </w:tcBorders>
            <w:tcMar/>
            <w:vAlign w:val="bottom"/>
          </w:tcPr>
          <w:p w:rsidR="7C2F16DA" w:rsidP="7C2F16DA" w:rsidRDefault="7C2F16DA" w14:paraId="1C123B58" w14:textId="0CC79B94">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26%</w:t>
            </w:r>
          </w:p>
        </w:tc>
      </w:tr>
      <w:tr w:rsidR="7C2F16DA" w:rsidTr="7C2F16DA" w14:paraId="485A7F75">
        <w:trPr>
          <w:trHeight w:val="360"/>
        </w:trPr>
        <w:tc>
          <w:tcPr>
            <w:tcW w:w="3572" w:type="dxa"/>
            <w:tcBorders>
              <w:left w:val="single" w:color="000000" w:themeColor="text1" w:sz="6"/>
            </w:tcBorders>
            <w:tcMar/>
            <w:vAlign w:val="center"/>
          </w:tcPr>
          <w:p w:rsidR="7C2F16DA" w:rsidP="7C2F16DA" w:rsidRDefault="7C2F16DA" w14:paraId="39007C1E" w14:textId="7285D463">
            <w:pPr>
              <w:spacing w:before="120" w:after="120" w:line="240" w:lineRule="auto"/>
              <w:jc w:val="both"/>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Total Liabilities</w:t>
            </w:r>
          </w:p>
        </w:tc>
        <w:tc>
          <w:tcPr>
            <w:tcW w:w="1502" w:type="dxa"/>
            <w:tcMar/>
            <w:vAlign w:val="center"/>
          </w:tcPr>
          <w:p w:rsidR="7C2F16DA" w:rsidP="7C2F16DA" w:rsidRDefault="7C2F16DA" w14:paraId="3435033E" w14:textId="5BC7579B">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1,82,41,000</w:t>
            </w:r>
          </w:p>
        </w:tc>
        <w:tc>
          <w:tcPr>
            <w:tcW w:w="1502" w:type="dxa"/>
            <w:tcMar/>
            <w:vAlign w:val="center"/>
          </w:tcPr>
          <w:p w:rsidR="7C2F16DA" w:rsidP="7C2F16DA" w:rsidRDefault="7C2F16DA" w14:paraId="768AD10E" w14:textId="0352BD1B">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1,54,29,000</w:t>
            </w:r>
          </w:p>
        </w:tc>
        <w:tc>
          <w:tcPr>
            <w:tcW w:w="1400" w:type="dxa"/>
            <w:tcMar/>
            <w:vAlign w:val="bottom"/>
          </w:tcPr>
          <w:p w:rsidR="7C2F16DA" w:rsidP="7C2F16DA" w:rsidRDefault="7C2F16DA" w14:paraId="4AF55DB3" w14:textId="50C1FED4">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28,12,000</w:t>
            </w:r>
          </w:p>
        </w:tc>
        <w:tc>
          <w:tcPr>
            <w:tcW w:w="1385" w:type="dxa"/>
            <w:tcBorders>
              <w:right w:val="single" w:color="000000" w:themeColor="text1" w:sz="6"/>
            </w:tcBorders>
            <w:tcMar/>
            <w:vAlign w:val="bottom"/>
          </w:tcPr>
          <w:p w:rsidR="7C2F16DA" w:rsidP="7C2F16DA" w:rsidRDefault="7C2F16DA" w14:paraId="7539F964" w14:textId="54B360BF">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18%</w:t>
            </w:r>
          </w:p>
        </w:tc>
      </w:tr>
      <w:tr w:rsidR="7C2F16DA" w:rsidTr="7C2F16DA" w14:paraId="189F611B">
        <w:trPr>
          <w:trHeight w:val="360"/>
        </w:trPr>
        <w:tc>
          <w:tcPr>
            <w:tcW w:w="3572" w:type="dxa"/>
            <w:tcBorders>
              <w:left w:val="single" w:color="000000" w:themeColor="text1" w:sz="6"/>
            </w:tcBorders>
            <w:tcMar/>
            <w:vAlign w:val="center"/>
          </w:tcPr>
          <w:p w:rsidR="7C2F16DA" w:rsidP="7C2F16DA" w:rsidRDefault="7C2F16DA" w14:paraId="4698C357" w14:textId="4CC35086">
            <w:pPr>
              <w:spacing w:before="120" w:after="120" w:line="240" w:lineRule="auto"/>
              <w:jc w:val="both"/>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Common Stock</w:t>
            </w:r>
          </w:p>
        </w:tc>
        <w:tc>
          <w:tcPr>
            <w:tcW w:w="1502" w:type="dxa"/>
            <w:tcMar/>
            <w:vAlign w:val="center"/>
          </w:tcPr>
          <w:p w:rsidR="7C2F16DA" w:rsidP="7C2F16DA" w:rsidRDefault="7C2F16DA" w14:paraId="19A4AC98" w14:textId="378D7F40">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3,000</w:t>
            </w:r>
          </w:p>
        </w:tc>
        <w:tc>
          <w:tcPr>
            <w:tcW w:w="1502" w:type="dxa"/>
            <w:tcMar/>
            <w:vAlign w:val="center"/>
          </w:tcPr>
          <w:p w:rsidR="7C2F16DA" w:rsidP="7C2F16DA" w:rsidRDefault="7C2F16DA" w14:paraId="1908DD53" w14:textId="07D3786E">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3,000</w:t>
            </w:r>
          </w:p>
        </w:tc>
        <w:tc>
          <w:tcPr>
            <w:tcW w:w="1400" w:type="dxa"/>
            <w:tcMar/>
            <w:vAlign w:val="bottom"/>
          </w:tcPr>
          <w:p w:rsidR="7C2F16DA" w:rsidP="7C2F16DA" w:rsidRDefault="7C2F16DA" w14:paraId="7A7E2DEA" w14:textId="013251D8">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0</w:t>
            </w:r>
          </w:p>
        </w:tc>
        <w:tc>
          <w:tcPr>
            <w:tcW w:w="1385" w:type="dxa"/>
            <w:tcBorders>
              <w:right w:val="single" w:color="000000" w:themeColor="text1" w:sz="6"/>
            </w:tcBorders>
            <w:tcMar/>
            <w:vAlign w:val="bottom"/>
          </w:tcPr>
          <w:p w:rsidR="7C2F16DA" w:rsidP="7C2F16DA" w:rsidRDefault="7C2F16DA" w14:paraId="27C2277F" w14:textId="50E1D169">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0%</w:t>
            </w:r>
          </w:p>
        </w:tc>
      </w:tr>
      <w:tr w:rsidR="7C2F16DA" w:rsidTr="7C2F16DA" w14:paraId="76BCE24D">
        <w:trPr>
          <w:trHeight w:val="360"/>
        </w:trPr>
        <w:tc>
          <w:tcPr>
            <w:tcW w:w="3572" w:type="dxa"/>
            <w:tcBorders>
              <w:left w:val="single" w:color="000000" w:themeColor="text1" w:sz="6"/>
            </w:tcBorders>
            <w:tcMar/>
            <w:vAlign w:val="center"/>
          </w:tcPr>
          <w:p w:rsidR="7C2F16DA" w:rsidP="7C2F16DA" w:rsidRDefault="7C2F16DA" w14:paraId="00B384DE" w14:textId="57668D89">
            <w:pPr>
              <w:spacing w:before="120" w:after="120" w:line="240" w:lineRule="auto"/>
              <w:jc w:val="both"/>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Retained Earnings</w:t>
            </w:r>
          </w:p>
        </w:tc>
        <w:tc>
          <w:tcPr>
            <w:tcW w:w="1502" w:type="dxa"/>
            <w:tcMar/>
            <w:vAlign w:val="center"/>
          </w:tcPr>
          <w:p w:rsidR="7C2F16DA" w:rsidP="7C2F16DA" w:rsidRDefault="7C2F16DA" w14:paraId="06BEA181" w14:textId="2BD01A36">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-67,32,000</w:t>
            </w:r>
          </w:p>
        </w:tc>
        <w:tc>
          <w:tcPr>
            <w:tcW w:w="1502" w:type="dxa"/>
            <w:tcMar/>
            <w:vAlign w:val="center"/>
          </w:tcPr>
          <w:p w:rsidR="7C2F16DA" w:rsidP="7C2F16DA" w:rsidRDefault="7C2F16DA" w14:paraId="2F8582A2" w14:textId="06975542">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-59,65,000</w:t>
            </w:r>
          </w:p>
        </w:tc>
        <w:tc>
          <w:tcPr>
            <w:tcW w:w="1400" w:type="dxa"/>
            <w:tcMar/>
            <w:vAlign w:val="bottom"/>
          </w:tcPr>
          <w:p w:rsidR="7C2F16DA" w:rsidP="7C2F16DA" w:rsidRDefault="7C2F16DA" w14:paraId="0AA47E19" w14:textId="45851C86">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-7,67,000</w:t>
            </w:r>
          </w:p>
        </w:tc>
        <w:tc>
          <w:tcPr>
            <w:tcW w:w="1385" w:type="dxa"/>
            <w:tcBorders>
              <w:right w:val="single" w:color="000000" w:themeColor="text1" w:sz="6"/>
            </w:tcBorders>
            <w:tcMar/>
            <w:vAlign w:val="bottom"/>
          </w:tcPr>
          <w:p w:rsidR="7C2F16DA" w:rsidP="7C2F16DA" w:rsidRDefault="7C2F16DA" w14:paraId="08768DCD" w14:textId="0E54D7C9">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13%</w:t>
            </w:r>
          </w:p>
        </w:tc>
      </w:tr>
      <w:tr w:rsidR="7C2F16DA" w:rsidTr="7C2F16DA" w14:paraId="439D885B">
        <w:trPr>
          <w:trHeight w:val="360"/>
        </w:trPr>
        <w:tc>
          <w:tcPr>
            <w:tcW w:w="3572" w:type="dxa"/>
            <w:tcBorders>
              <w:left w:val="single" w:color="000000" w:themeColor="text1" w:sz="6"/>
            </w:tcBorders>
            <w:tcMar/>
            <w:vAlign w:val="center"/>
          </w:tcPr>
          <w:p w:rsidR="7C2F16DA" w:rsidP="7C2F16DA" w:rsidRDefault="7C2F16DA" w14:paraId="7FDA1124" w14:textId="7A346F53">
            <w:pPr>
              <w:spacing w:before="120" w:after="120" w:line="240" w:lineRule="auto"/>
              <w:jc w:val="both"/>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Total Stockholders' Equity</w:t>
            </w:r>
          </w:p>
        </w:tc>
        <w:tc>
          <w:tcPr>
            <w:tcW w:w="1502" w:type="dxa"/>
            <w:tcMar/>
            <w:vAlign w:val="center"/>
          </w:tcPr>
          <w:p w:rsidR="7C2F16DA" w:rsidP="7C2F16DA" w:rsidRDefault="7C2F16DA" w14:paraId="4F8F5117" w14:textId="7F684F85">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-14,90,000</w:t>
            </w:r>
          </w:p>
        </w:tc>
        <w:tc>
          <w:tcPr>
            <w:tcW w:w="1502" w:type="dxa"/>
            <w:tcMar/>
            <w:vAlign w:val="center"/>
          </w:tcPr>
          <w:p w:rsidR="7C2F16DA" w:rsidP="7C2F16DA" w:rsidRDefault="7C2F16DA" w14:paraId="44DB4692" w14:textId="73169866">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-4,82,000</w:t>
            </w:r>
          </w:p>
        </w:tc>
        <w:tc>
          <w:tcPr>
            <w:tcW w:w="1400" w:type="dxa"/>
            <w:tcMar/>
            <w:vAlign w:val="bottom"/>
          </w:tcPr>
          <w:p w:rsidR="7C2F16DA" w:rsidP="7C2F16DA" w:rsidRDefault="7C2F16DA" w14:paraId="2DE6E4E1" w14:textId="5A1D5ECC">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-10,08,000</w:t>
            </w:r>
          </w:p>
        </w:tc>
        <w:tc>
          <w:tcPr>
            <w:tcW w:w="1385" w:type="dxa"/>
            <w:tcBorders>
              <w:right w:val="single" w:color="000000" w:themeColor="text1" w:sz="6"/>
            </w:tcBorders>
            <w:tcMar/>
            <w:vAlign w:val="bottom"/>
          </w:tcPr>
          <w:p w:rsidR="7C2F16DA" w:rsidP="7C2F16DA" w:rsidRDefault="7C2F16DA" w14:paraId="2CB85C6D" w14:textId="38DEEE03">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209%</w:t>
            </w:r>
          </w:p>
        </w:tc>
      </w:tr>
      <w:tr w:rsidR="7C2F16DA" w:rsidTr="7C2F16DA" w14:paraId="22C42C30">
        <w:trPr>
          <w:trHeight w:val="360"/>
        </w:trPr>
        <w:tc>
          <w:tcPr>
            <w:tcW w:w="3572" w:type="dxa"/>
            <w:tcBorders>
              <w:left w:val="single" w:color="000000" w:themeColor="text1" w:sz="6"/>
              <w:bottom w:val="single" w:color="000000" w:themeColor="text1" w:sz="6"/>
            </w:tcBorders>
            <w:tcMar/>
            <w:vAlign w:val="center"/>
          </w:tcPr>
          <w:p w:rsidR="7C2F16DA" w:rsidP="7C2F16DA" w:rsidRDefault="7C2F16DA" w14:paraId="59775403" w14:textId="5DC9C27B">
            <w:pPr>
              <w:spacing w:before="120" w:after="120" w:line="240" w:lineRule="auto"/>
              <w:jc w:val="both"/>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Total Liabilities and Stockholder</w:t>
            </w:r>
          </w:p>
        </w:tc>
        <w:tc>
          <w:tcPr>
            <w:tcW w:w="1502" w:type="dxa"/>
            <w:tcBorders>
              <w:bottom w:val="single" w:color="000000" w:themeColor="text1" w:sz="6"/>
            </w:tcBorders>
            <w:tcMar/>
            <w:vAlign w:val="center"/>
          </w:tcPr>
          <w:p w:rsidR="7C2F16DA" w:rsidP="7C2F16DA" w:rsidRDefault="7C2F16DA" w14:paraId="022AD977" w14:textId="2EA2668D">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1,67,55,000</w:t>
            </w:r>
          </w:p>
        </w:tc>
        <w:tc>
          <w:tcPr>
            <w:tcW w:w="1502" w:type="dxa"/>
            <w:tcBorders>
              <w:bottom w:val="single" w:color="000000" w:themeColor="text1" w:sz="6"/>
            </w:tcBorders>
            <w:tcMar/>
            <w:vAlign w:val="center"/>
          </w:tcPr>
          <w:p w:rsidR="7C2F16DA" w:rsidP="7C2F16DA" w:rsidRDefault="7C2F16DA" w14:paraId="1C9875CE" w14:textId="4CADFA42">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1,49,57,000</w:t>
            </w:r>
          </w:p>
        </w:tc>
        <w:tc>
          <w:tcPr>
            <w:tcW w:w="1400" w:type="dxa"/>
            <w:tcBorders>
              <w:bottom w:val="single" w:color="000000" w:themeColor="text1" w:sz="6"/>
            </w:tcBorders>
            <w:tcMar/>
            <w:vAlign w:val="bottom"/>
          </w:tcPr>
          <w:p w:rsidR="7C2F16DA" w:rsidP="7C2F16DA" w:rsidRDefault="7C2F16DA" w14:paraId="6F40EA19" w14:textId="0401DBDF">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17,98,000</w:t>
            </w:r>
          </w:p>
        </w:tc>
        <w:tc>
          <w:tcPr>
            <w:tcW w:w="1385" w:type="dxa"/>
            <w:tcBorders>
              <w:bottom w:val="single" w:color="000000" w:themeColor="text1" w:sz="6"/>
              <w:right w:val="single" w:color="000000" w:themeColor="text1" w:sz="6"/>
            </w:tcBorders>
            <w:tcMar/>
            <w:vAlign w:val="bottom"/>
          </w:tcPr>
          <w:p w:rsidR="7C2F16DA" w:rsidP="7C2F16DA" w:rsidRDefault="7C2F16DA" w14:paraId="0FCE74C0" w14:textId="640C51C1">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12%</w:t>
            </w:r>
          </w:p>
        </w:tc>
      </w:tr>
    </w:tbl>
    <w:p xmlns:wp14="http://schemas.microsoft.com/office/word/2010/wordml" w:rsidP="7C2F16DA" w14:paraId="4CC50960" wp14:textId="693530A7">
      <w:pPr>
        <w:pStyle w:val="Heading1"/>
        <w:spacing w:before="120" w:after="120" w:line="360" w:lineRule="auto"/>
        <w:jc w:val="both"/>
        <w:rPr>
          <w:rFonts w:ascii="Arial" w:hAnsi="Arial" w:eastAsia="Arial" w:cs="Arial"/>
          <w:b w:val="1"/>
          <w:bCs w:val="1"/>
          <w:i w:val="0"/>
          <w:iCs w:val="0"/>
          <w:caps w:val="0"/>
          <w:smallCaps w:val="0"/>
          <w:noProof w:val="0"/>
          <w:color w:val="2F5496" w:themeColor="accent1" w:themeTint="FF" w:themeShade="BF"/>
          <w:sz w:val="32"/>
          <w:szCs w:val="32"/>
          <w:lang w:val="en-US"/>
        </w:rPr>
      </w:pPr>
      <w:r w:rsidRPr="7C2F16DA" w:rsidR="7C2F16DA">
        <w:rPr>
          <w:rFonts w:ascii="Arial" w:hAnsi="Arial" w:eastAsia="Arial" w:cs="Arial"/>
          <w:b w:val="1"/>
          <w:bCs w:val="1"/>
          <w:i w:val="0"/>
          <w:iCs w:val="0"/>
          <w:caps w:val="0"/>
          <w:smallCaps w:val="0"/>
          <w:noProof w:val="0"/>
          <w:color w:val="2F5496" w:themeColor="accent1" w:themeTint="FF" w:themeShade="BF"/>
          <w:sz w:val="32"/>
          <w:szCs w:val="32"/>
          <w:lang w:val="en-GB"/>
        </w:rPr>
        <w:t>Financial Analysis Trends</w:t>
      </w:r>
      <w:r>
        <w:tab/>
      </w:r>
    </w:p>
    <w:p xmlns:wp14="http://schemas.microsoft.com/office/word/2010/wordml" w:rsidP="7C2F16DA" w14:paraId="6A125C6C" wp14:textId="15770D66">
      <w:pPr>
        <w:pStyle w:val="Heading2"/>
        <w:spacing w:before="120" w:after="120" w:line="360" w:lineRule="auto"/>
        <w:jc w:val="both"/>
        <w:rPr>
          <w:rFonts w:ascii="Arial" w:hAnsi="Arial" w:eastAsia="Arial" w:cs="Arial"/>
          <w:b w:val="1"/>
          <w:bCs w:val="1"/>
          <w:i w:val="0"/>
          <w:iCs w:val="0"/>
          <w:caps w:val="0"/>
          <w:smallCaps w:val="0"/>
          <w:noProof w:val="0"/>
          <w:color w:val="ED7D31" w:themeColor="accent2" w:themeTint="FF" w:themeShade="FF"/>
          <w:sz w:val="28"/>
          <w:szCs w:val="28"/>
          <w:lang w:val="en-US"/>
        </w:rPr>
      </w:pPr>
      <w:r w:rsidRPr="7C2F16DA" w:rsidR="7C2F16DA">
        <w:rPr>
          <w:rFonts w:ascii="Arial" w:hAnsi="Arial" w:eastAsia="Arial" w:cs="Arial"/>
          <w:b w:val="1"/>
          <w:bCs w:val="1"/>
          <w:i w:val="0"/>
          <w:iCs w:val="0"/>
          <w:caps w:val="0"/>
          <w:smallCaps w:val="0"/>
          <w:noProof w:val="0"/>
          <w:color w:val="ED7D31" w:themeColor="accent2" w:themeTint="FF" w:themeShade="FF"/>
          <w:sz w:val="28"/>
          <w:szCs w:val="28"/>
          <w:lang w:val="en-GB"/>
        </w:rPr>
        <w:t>A) Calculation of Horizontal Ratios for 2019 and 2020</w:t>
      </w:r>
    </w:p>
    <w:tbl>
      <w:tblPr>
        <w:tblStyle w:val="TableNormal"/>
        <w:tblW w:w="0" w:type="auto"/>
        <w:tblLayout w:type="fixed"/>
        <w:tblLook w:val="04A0" w:firstRow="1" w:lastRow="0" w:firstColumn="1" w:lastColumn="0" w:noHBand="0" w:noVBand="1"/>
      </w:tblPr>
      <w:tblGrid>
        <w:gridCol w:w="3849"/>
        <w:gridCol w:w="1370"/>
        <w:gridCol w:w="1502"/>
        <w:gridCol w:w="1268"/>
        <w:gridCol w:w="1370"/>
      </w:tblGrid>
      <w:tr w:rsidR="7C2F16DA" w:rsidTr="7C2F16DA" w14:paraId="444A32CF">
        <w:trPr>
          <w:trHeight w:val="405"/>
        </w:trPr>
        <w:tc>
          <w:tcPr>
            <w:tcW w:w="9359" w:type="dxa"/>
            <w:gridSpan w:val="5"/>
            <w:tcBorders>
              <w:top w:val="single" w:sz="6"/>
              <w:left w:val="single" w:sz="6"/>
              <w:bottom w:val="nil"/>
              <w:right w:val="single" w:sz="6"/>
            </w:tcBorders>
            <w:shd w:val="clear" w:color="auto" w:fill="333F4F"/>
            <w:tcMar/>
            <w:vAlign w:val="bottom"/>
          </w:tcPr>
          <w:p w:rsidR="7C2F16DA" w:rsidP="7C2F16DA" w:rsidRDefault="7C2F16DA" w14:paraId="1A3AA5A4" w14:textId="5CCC4ED9">
            <w:pPr>
              <w:spacing w:before="120" w:after="120" w:line="240" w:lineRule="auto"/>
              <w:jc w:val="center"/>
              <w:rPr>
                <w:rFonts w:ascii="Arial" w:hAnsi="Arial" w:eastAsia="Arial" w:cs="Arial"/>
                <w:b w:val="0"/>
                <w:bCs w:val="0"/>
                <w:i w:val="0"/>
                <w:iCs w:val="0"/>
                <w:color w:val="FFFFFF" w:themeColor="background1" w:themeTint="FF" w:themeShade="FF"/>
                <w:sz w:val="28"/>
                <w:szCs w:val="28"/>
              </w:rPr>
            </w:pPr>
            <w:r w:rsidRPr="7C2F16DA" w:rsidR="7C2F16DA">
              <w:rPr>
                <w:rFonts w:ascii="Arial" w:hAnsi="Arial" w:eastAsia="Arial" w:cs="Arial"/>
                <w:b w:val="1"/>
                <w:bCs w:val="1"/>
                <w:i w:val="0"/>
                <w:iCs w:val="0"/>
                <w:color w:val="FFFFFF" w:themeColor="background1" w:themeTint="FF" w:themeShade="FF"/>
                <w:sz w:val="28"/>
                <w:szCs w:val="28"/>
                <w:lang w:val="en-IN"/>
              </w:rPr>
              <w:t>Horizontal Analysis</w:t>
            </w:r>
          </w:p>
        </w:tc>
      </w:tr>
      <w:tr w:rsidR="7C2F16DA" w:rsidTr="7C2F16DA" w14:paraId="1405969D">
        <w:trPr>
          <w:trHeight w:val="360"/>
        </w:trPr>
        <w:tc>
          <w:tcPr>
            <w:tcW w:w="9359" w:type="dxa"/>
            <w:gridSpan w:val="5"/>
            <w:tcBorders>
              <w:top w:val="nil" w:sz="6"/>
              <w:left w:val="single" w:sz="6"/>
              <w:bottom w:val="nil"/>
              <w:right w:val="single" w:sz="6"/>
            </w:tcBorders>
            <w:shd w:val="clear" w:color="auto" w:fill="AEAAAA" w:themeFill="background2" w:themeFillShade="BF"/>
            <w:tcMar/>
            <w:vAlign w:val="bottom"/>
          </w:tcPr>
          <w:p w:rsidR="7C2F16DA" w:rsidP="7C2F16DA" w:rsidRDefault="7C2F16DA" w14:paraId="4F04182C" w14:textId="6A24D2B9">
            <w:pPr>
              <w:spacing w:before="120" w:after="120" w:line="240" w:lineRule="auto"/>
              <w:jc w:val="center"/>
              <w:rPr>
                <w:rFonts w:ascii="Arial" w:hAnsi="Arial" w:eastAsia="Arial" w:cs="Arial"/>
                <w:b w:val="0"/>
                <w:bCs w:val="0"/>
                <w:i w:val="0"/>
                <w:iCs w:val="0"/>
                <w:sz w:val="24"/>
                <w:szCs w:val="24"/>
              </w:rPr>
            </w:pPr>
            <w:r w:rsidRPr="7C2F16DA" w:rsidR="7C2F16DA">
              <w:rPr>
                <w:rFonts w:ascii="Arial" w:hAnsi="Arial" w:eastAsia="Arial" w:cs="Arial"/>
                <w:b w:val="1"/>
                <w:bCs w:val="1"/>
                <w:i w:val="0"/>
                <w:iCs w:val="0"/>
                <w:sz w:val="24"/>
                <w:szCs w:val="24"/>
                <w:lang w:val="en-IN"/>
              </w:rPr>
              <w:t>Hilton Worldwide Holding Inc</w:t>
            </w:r>
          </w:p>
        </w:tc>
      </w:tr>
      <w:tr w:rsidR="7C2F16DA" w:rsidTr="7C2F16DA" w14:paraId="2BA667F8">
        <w:trPr>
          <w:trHeight w:val="330"/>
        </w:trPr>
        <w:tc>
          <w:tcPr>
            <w:tcW w:w="3849" w:type="dxa"/>
            <w:tcBorders>
              <w:top w:val="nil"/>
              <w:left w:val="single" w:sz="6"/>
              <w:bottom w:val="single" w:sz="6"/>
              <w:right w:val="nil" w:sz="6"/>
            </w:tcBorders>
            <w:shd w:val="clear" w:color="auto" w:fill="333F4F"/>
            <w:tcMar/>
            <w:vAlign w:val="bottom"/>
          </w:tcPr>
          <w:p w:rsidR="7C2F16DA" w:rsidP="7C2F16DA" w:rsidRDefault="7C2F16DA" w14:paraId="19C973AC" w14:textId="3583351C">
            <w:pPr>
              <w:spacing w:before="120" w:after="120" w:line="240" w:lineRule="auto"/>
              <w:jc w:val="both"/>
              <w:rPr>
                <w:rFonts w:ascii="Arial" w:hAnsi="Arial" w:eastAsia="Arial" w:cs="Arial"/>
                <w:b w:val="0"/>
                <w:bCs w:val="0"/>
                <w:i w:val="0"/>
                <w:iCs w:val="0"/>
                <w:color w:val="FFFFFF" w:themeColor="background1" w:themeTint="FF" w:themeShade="FF"/>
                <w:sz w:val="24"/>
                <w:szCs w:val="24"/>
              </w:rPr>
            </w:pPr>
            <w:r w:rsidRPr="7C2F16DA" w:rsidR="7C2F16DA">
              <w:rPr>
                <w:rFonts w:ascii="Arial" w:hAnsi="Arial" w:eastAsia="Arial" w:cs="Arial"/>
                <w:b w:val="1"/>
                <w:bCs w:val="1"/>
                <w:i w:val="0"/>
                <w:iCs w:val="0"/>
                <w:color w:val="FFFFFF" w:themeColor="background1" w:themeTint="FF" w:themeShade="FF"/>
                <w:sz w:val="24"/>
                <w:szCs w:val="24"/>
                <w:lang w:val="en-IN"/>
              </w:rPr>
              <w:t>Income Statement</w:t>
            </w:r>
          </w:p>
        </w:tc>
        <w:tc>
          <w:tcPr>
            <w:tcW w:w="1370" w:type="dxa"/>
            <w:tcBorders>
              <w:top w:val="nil"/>
              <w:left w:val="nil"/>
              <w:bottom w:val="single" w:sz="6"/>
              <w:right w:val="nil"/>
            </w:tcBorders>
            <w:shd w:val="clear" w:color="auto" w:fill="333F4F"/>
            <w:tcMar/>
            <w:vAlign w:val="center"/>
          </w:tcPr>
          <w:p w:rsidR="7C2F16DA" w:rsidP="7C2F16DA" w:rsidRDefault="7C2F16DA" w14:paraId="6680EDB6" w14:textId="72666AA9">
            <w:pPr>
              <w:spacing w:before="120" w:after="120" w:line="240" w:lineRule="auto"/>
              <w:jc w:val="right"/>
              <w:rPr>
                <w:rFonts w:ascii="Arial" w:hAnsi="Arial" w:eastAsia="Arial" w:cs="Arial"/>
                <w:b w:val="0"/>
                <w:bCs w:val="0"/>
                <w:i w:val="0"/>
                <w:iCs w:val="0"/>
                <w:color w:val="FFFFFF" w:themeColor="background1" w:themeTint="FF" w:themeShade="FF"/>
                <w:sz w:val="24"/>
                <w:szCs w:val="24"/>
              </w:rPr>
            </w:pPr>
            <w:r w:rsidRPr="7C2F16DA" w:rsidR="7C2F16DA">
              <w:rPr>
                <w:rFonts w:ascii="Arial" w:hAnsi="Arial" w:eastAsia="Arial" w:cs="Arial"/>
                <w:b w:val="1"/>
                <w:bCs w:val="1"/>
                <w:i w:val="0"/>
                <w:iCs w:val="0"/>
                <w:color w:val="FFFFFF" w:themeColor="background1" w:themeTint="FF" w:themeShade="FF"/>
                <w:sz w:val="24"/>
                <w:szCs w:val="24"/>
                <w:lang w:val="en-IN"/>
              </w:rPr>
              <w:t>2020</w:t>
            </w:r>
          </w:p>
        </w:tc>
        <w:tc>
          <w:tcPr>
            <w:tcW w:w="1502" w:type="dxa"/>
            <w:tcBorders>
              <w:top w:val="nil"/>
              <w:left w:val="nil"/>
              <w:bottom w:val="single" w:sz="6"/>
              <w:right w:val="nil"/>
            </w:tcBorders>
            <w:shd w:val="clear" w:color="auto" w:fill="333F4F"/>
            <w:tcMar/>
            <w:vAlign w:val="center"/>
          </w:tcPr>
          <w:p w:rsidR="7C2F16DA" w:rsidP="7C2F16DA" w:rsidRDefault="7C2F16DA" w14:paraId="069407F8" w14:textId="4D1914F5">
            <w:pPr>
              <w:spacing w:before="120" w:after="120" w:line="240" w:lineRule="auto"/>
              <w:jc w:val="right"/>
              <w:rPr>
                <w:rFonts w:ascii="Arial" w:hAnsi="Arial" w:eastAsia="Arial" w:cs="Arial"/>
                <w:b w:val="0"/>
                <w:bCs w:val="0"/>
                <w:i w:val="0"/>
                <w:iCs w:val="0"/>
                <w:color w:val="FFFFFF" w:themeColor="background1" w:themeTint="FF" w:themeShade="FF"/>
                <w:sz w:val="24"/>
                <w:szCs w:val="24"/>
              </w:rPr>
            </w:pPr>
            <w:r w:rsidRPr="7C2F16DA" w:rsidR="7C2F16DA">
              <w:rPr>
                <w:rFonts w:ascii="Arial" w:hAnsi="Arial" w:eastAsia="Arial" w:cs="Arial"/>
                <w:b w:val="1"/>
                <w:bCs w:val="1"/>
                <w:i w:val="0"/>
                <w:iCs w:val="0"/>
                <w:color w:val="FFFFFF" w:themeColor="background1" w:themeTint="FF" w:themeShade="FF"/>
                <w:sz w:val="24"/>
                <w:szCs w:val="24"/>
                <w:lang w:val="en-IN"/>
              </w:rPr>
              <w:t>2019</w:t>
            </w:r>
          </w:p>
        </w:tc>
        <w:tc>
          <w:tcPr>
            <w:tcW w:w="1268" w:type="dxa"/>
            <w:tcBorders>
              <w:top w:val="nil"/>
              <w:left w:val="nil"/>
              <w:bottom w:val="single" w:sz="6"/>
              <w:right w:val="nil"/>
            </w:tcBorders>
            <w:shd w:val="clear" w:color="auto" w:fill="333F4F"/>
            <w:tcMar/>
            <w:vAlign w:val="center"/>
          </w:tcPr>
          <w:p w:rsidR="7C2F16DA" w:rsidP="7C2F16DA" w:rsidRDefault="7C2F16DA" w14:paraId="2C4D5D99" w14:textId="65CA10B3">
            <w:pPr>
              <w:spacing w:before="120" w:after="120" w:line="240" w:lineRule="auto"/>
              <w:jc w:val="right"/>
              <w:rPr>
                <w:rFonts w:ascii="Arial" w:hAnsi="Arial" w:eastAsia="Arial" w:cs="Arial"/>
                <w:b w:val="0"/>
                <w:bCs w:val="0"/>
                <w:i w:val="0"/>
                <w:iCs w:val="0"/>
                <w:color w:val="FFFFFF" w:themeColor="background1" w:themeTint="FF" w:themeShade="FF"/>
                <w:sz w:val="24"/>
                <w:szCs w:val="24"/>
              </w:rPr>
            </w:pPr>
            <w:r w:rsidRPr="7C2F16DA" w:rsidR="7C2F16DA">
              <w:rPr>
                <w:rFonts w:ascii="Arial" w:hAnsi="Arial" w:eastAsia="Arial" w:cs="Arial"/>
                <w:b w:val="1"/>
                <w:bCs w:val="1"/>
                <w:i w:val="0"/>
                <w:iCs w:val="0"/>
                <w:color w:val="FFFFFF" w:themeColor="background1" w:themeTint="FF" w:themeShade="FF"/>
                <w:sz w:val="24"/>
                <w:szCs w:val="24"/>
                <w:lang w:val="en-IN"/>
              </w:rPr>
              <w:t>Change</w:t>
            </w:r>
          </w:p>
        </w:tc>
        <w:tc>
          <w:tcPr>
            <w:tcW w:w="1370" w:type="dxa"/>
            <w:tcBorders>
              <w:top w:val="nil"/>
              <w:left w:val="nil"/>
              <w:bottom w:val="single" w:sz="6"/>
              <w:right w:val="single" w:sz="6"/>
            </w:tcBorders>
            <w:shd w:val="clear" w:color="auto" w:fill="333F4F"/>
            <w:tcMar/>
            <w:vAlign w:val="center"/>
          </w:tcPr>
          <w:p w:rsidR="7C2F16DA" w:rsidP="7C2F16DA" w:rsidRDefault="7C2F16DA" w14:paraId="044C9AA5" w14:textId="7B311ECD">
            <w:pPr>
              <w:spacing w:before="120" w:after="120" w:line="240" w:lineRule="auto"/>
              <w:jc w:val="right"/>
              <w:rPr>
                <w:rFonts w:ascii="Arial" w:hAnsi="Arial" w:eastAsia="Arial" w:cs="Arial"/>
                <w:b w:val="0"/>
                <w:bCs w:val="0"/>
                <w:i w:val="0"/>
                <w:iCs w:val="0"/>
                <w:color w:val="FFFFFF" w:themeColor="background1" w:themeTint="FF" w:themeShade="FF"/>
                <w:sz w:val="24"/>
                <w:szCs w:val="24"/>
              </w:rPr>
            </w:pPr>
            <w:r w:rsidRPr="7C2F16DA" w:rsidR="7C2F16DA">
              <w:rPr>
                <w:rFonts w:ascii="Arial" w:hAnsi="Arial" w:eastAsia="Arial" w:cs="Arial"/>
                <w:b w:val="1"/>
                <w:bCs w:val="1"/>
                <w:i w:val="0"/>
                <w:iCs w:val="0"/>
                <w:color w:val="FFFFFF" w:themeColor="background1" w:themeTint="FF" w:themeShade="FF"/>
                <w:sz w:val="24"/>
                <w:szCs w:val="24"/>
                <w:lang w:val="en-IN"/>
              </w:rPr>
              <w:t>% Change</w:t>
            </w:r>
          </w:p>
        </w:tc>
      </w:tr>
      <w:tr w:rsidR="7C2F16DA" w:rsidTr="7C2F16DA" w14:paraId="6490A8B6">
        <w:trPr>
          <w:trHeight w:val="330"/>
        </w:trPr>
        <w:tc>
          <w:tcPr>
            <w:tcW w:w="3849" w:type="dxa"/>
            <w:tcBorders>
              <w:top w:val="single" w:sz="6"/>
              <w:left w:val="single" w:sz="6"/>
              <w:bottom w:val="single" w:sz="6"/>
              <w:right w:val="single" w:sz="6"/>
            </w:tcBorders>
            <w:tcMar/>
            <w:vAlign w:val="center"/>
          </w:tcPr>
          <w:p w:rsidR="7C2F16DA" w:rsidP="7C2F16DA" w:rsidRDefault="7C2F16DA" w14:paraId="3F2171C5" w14:textId="7E1419CE">
            <w:pPr>
              <w:spacing w:before="120" w:after="120" w:line="240" w:lineRule="auto"/>
              <w:jc w:val="both"/>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1"/>
                <w:bCs w:val="1"/>
                <w:i w:val="0"/>
                <w:iCs w:val="0"/>
                <w:color w:val="000000" w:themeColor="text1" w:themeTint="FF" w:themeShade="FF"/>
                <w:sz w:val="22"/>
                <w:szCs w:val="22"/>
                <w:lang w:val="en-IN"/>
              </w:rPr>
              <w:t>Fiscal Year Ends</w:t>
            </w:r>
          </w:p>
        </w:tc>
        <w:tc>
          <w:tcPr>
            <w:tcW w:w="1370" w:type="dxa"/>
            <w:tcBorders>
              <w:top w:val="single" w:sz="6"/>
              <w:left w:val="single" w:sz="6"/>
              <w:bottom w:val="single" w:sz="6"/>
              <w:right w:val="single" w:sz="6"/>
            </w:tcBorders>
            <w:tcMar/>
            <w:vAlign w:val="center"/>
          </w:tcPr>
          <w:p w:rsidR="7C2F16DA" w:rsidP="7C2F16DA" w:rsidRDefault="7C2F16DA" w14:paraId="2161A332" w14:textId="6AF87E12">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1"/>
                <w:bCs w:val="1"/>
                <w:i w:val="0"/>
                <w:iCs w:val="0"/>
                <w:color w:val="000000" w:themeColor="text1" w:themeTint="FF" w:themeShade="FF"/>
                <w:sz w:val="22"/>
                <w:szCs w:val="22"/>
                <w:lang w:val="en-IN"/>
              </w:rPr>
              <w:t>31-12-2021</w:t>
            </w:r>
          </w:p>
        </w:tc>
        <w:tc>
          <w:tcPr>
            <w:tcW w:w="1502" w:type="dxa"/>
            <w:tcBorders>
              <w:top w:val="single" w:sz="6"/>
              <w:left w:val="single" w:sz="6"/>
              <w:bottom w:val="single" w:sz="6"/>
              <w:right w:val="single" w:sz="6"/>
            </w:tcBorders>
            <w:tcMar/>
            <w:vAlign w:val="center"/>
          </w:tcPr>
          <w:p w:rsidR="7C2F16DA" w:rsidP="7C2F16DA" w:rsidRDefault="7C2F16DA" w14:paraId="02D09331" w14:textId="54F941E6">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1"/>
                <w:bCs w:val="1"/>
                <w:i w:val="0"/>
                <w:iCs w:val="0"/>
                <w:color w:val="000000" w:themeColor="text1" w:themeTint="FF" w:themeShade="FF"/>
                <w:sz w:val="22"/>
                <w:szCs w:val="22"/>
                <w:lang w:val="en-IN"/>
              </w:rPr>
              <w:t>31-12-2020</w:t>
            </w:r>
          </w:p>
        </w:tc>
        <w:tc>
          <w:tcPr>
            <w:tcW w:w="1268" w:type="dxa"/>
            <w:tcBorders>
              <w:top w:val="single" w:sz="6"/>
              <w:left w:val="single" w:sz="6"/>
              <w:bottom w:val="single" w:sz="6"/>
              <w:right w:val="single" w:sz="6"/>
            </w:tcBorders>
            <w:tcMar/>
            <w:vAlign w:val="bottom"/>
          </w:tcPr>
          <w:p w:rsidR="7C2F16DA" w:rsidP="7C2F16DA" w:rsidRDefault="7C2F16DA" w14:paraId="3CE97B13" w14:textId="5D98D1BF">
            <w:pPr>
              <w:spacing w:before="120" w:after="120" w:line="240" w:lineRule="auto"/>
              <w:jc w:val="right"/>
              <w:rPr>
                <w:rFonts w:ascii="Arial" w:hAnsi="Arial" w:eastAsia="Arial" w:cs="Arial"/>
                <w:b w:val="0"/>
                <w:bCs w:val="0"/>
                <w:i w:val="0"/>
                <w:iCs w:val="0"/>
                <w:color w:val="000000" w:themeColor="text1" w:themeTint="FF" w:themeShade="FF"/>
                <w:sz w:val="24"/>
                <w:szCs w:val="24"/>
              </w:rPr>
            </w:pPr>
          </w:p>
        </w:tc>
        <w:tc>
          <w:tcPr>
            <w:tcW w:w="1370" w:type="dxa"/>
            <w:tcBorders>
              <w:top w:val="single" w:sz="6"/>
              <w:left w:val="single" w:sz="6"/>
              <w:bottom w:val="single" w:sz="6"/>
              <w:right w:val="single" w:sz="6"/>
            </w:tcBorders>
            <w:tcMar/>
            <w:vAlign w:val="bottom"/>
          </w:tcPr>
          <w:p w:rsidR="7C2F16DA" w:rsidP="7C2F16DA" w:rsidRDefault="7C2F16DA" w14:paraId="114081FE" w14:textId="7C09C66C">
            <w:pPr>
              <w:spacing w:before="120" w:after="120" w:line="240" w:lineRule="auto"/>
              <w:jc w:val="both"/>
              <w:rPr>
                <w:rFonts w:ascii="Arial" w:hAnsi="Arial" w:eastAsia="Arial" w:cs="Arial"/>
                <w:b w:val="0"/>
                <w:bCs w:val="0"/>
                <w:i w:val="0"/>
                <w:iCs w:val="0"/>
                <w:sz w:val="24"/>
                <w:szCs w:val="24"/>
              </w:rPr>
            </w:pPr>
          </w:p>
        </w:tc>
      </w:tr>
      <w:tr w:rsidR="7C2F16DA" w:rsidTr="7C2F16DA" w14:paraId="199100AE">
        <w:trPr>
          <w:trHeight w:val="330"/>
        </w:trPr>
        <w:tc>
          <w:tcPr>
            <w:tcW w:w="3849" w:type="dxa"/>
            <w:tcBorders>
              <w:top w:val="single" w:sz="6"/>
              <w:left w:val="single" w:sz="6"/>
              <w:bottom w:val="single" w:sz="6"/>
              <w:right w:val="single" w:sz="6"/>
            </w:tcBorders>
            <w:tcMar/>
            <w:vAlign w:val="center"/>
          </w:tcPr>
          <w:p w:rsidR="7C2F16DA" w:rsidP="7C2F16DA" w:rsidRDefault="7C2F16DA" w14:paraId="2921E092" w14:textId="0F45823E">
            <w:pPr>
              <w:spacing w:before="120" w:after="120" w:line="240" w:lineRule="auto"/>
              <w:jc w:val="both"/>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Sales</w:t>
            </w:r>
          </w:p>
        </w:tc>
        <w:tc>
          <w:tcPr>
            <w:tcW w:w="1370" w:type="dxa"/>
            <w:tcBorders>
              <w:top w:val="single" w:sz="6"/>
              <w:left w:val="single" w:sz="6"/>
              <w:bottom w:val="single" w:sz="6"/>
              <w:right w:val="single" w:sz="6"/>
            </w:tcBorders>
            <w:tcMar/>
            <w:vAlign w:val="center"/>
          </w:tcPr>
          <w:p w:rsidR="7C2F16DA" w:rsidP="7C2F16DA" w:rsidRDefault="7C2F16DA" w14:paraId="07A644DC" w14:textId="541AFC5F">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43,07,000</w:t>
            </w:r>
          </w:p>
        </w:tc>
        <w:tc>
          <w:tcPr>
            <w:tcW w:w="1502" w:type="dxa"/>
            <w:tcBorders>
              <w:top w:val="single" w:sz="6"/>
              <w:left w:val="single" w:sz="6"/>
              <w:bottom w:val="single" w:sz="6"/>
              <w:right w:val="single" w:sz="6"/>
            </w:tcBorders>
            <w:tcMar/>
            <w:vAlign w:val="center"/>
          </w:tcPr>
          <w:p w:rsidR="7C2F16DA" w:rsidP="7C2F16DA" w:rsidRDefault="7C2F16DA" w14:paraId="4BF6FB23" w14:textId="02C44C91">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94,52,000</w:t>
            </w:r>
          </w:p>
        </w:tc>
        <w:tc>
          <w:tcPr>
            <w:tcW w:w="1268" w:type="dxa"/>
            <w:tcBorders>
              <w:top w:val="single" w:sz="6"/>
              <w:left w:val="single" w:sz="6"/>
              <w:bottom w:val="single" w:sz="6"/>
              <w:right w:val="single" w:sz="6"/>
            </w:tcBorders>
            <w:tcMar/>
            <w:vAlign w:val="bottom"/>
          </w:tcPr>
          <w:p w:rsidR="7C2F16DA" w:rsidP="7C2F16DA" w:rsidRDefault="7C2F16DA" w14:paraId="2E7D0E8F" w14:textId="34D4E379">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-51,45,000</w:t>
            </w:r>
          </w:p>
        </w:tc>
        <w:tc>
          <w:tcPr>
            <w:tcW w:w="1370" w:type="dxa"/>
            <w:tcBorders>
              <w:top w:val="single" w:sz="6"/>
              <w:left w:val="single" w:sz="6"/>
              <w:bottom w:val="single" w:sz="6"/>
              <w:right w:val="single" w:sz="6"/>
            </w:tcBorders>
            <w:tcMar/>
            <w:vAlign w:val="bottom"/>
          </w:tcPr>
          <w:p w:rsidR="7C2F16DA" w:rsidP="7C2F16DA" w:rsidRDefault="7C2F16DA" w14:paraId="50A4BB9F" w14:textId="14AC8901">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-54%</w:t>
            </w:r>
          </w:p>
        </w:tc>
      </w:tr>
      <w:tr w:rsidR="7C2F16DA" w:rsidTr="7C2F16DA" w14:paraId="3DAA7F81">
        <w:trPr>
          <w:trHeight w:val="330"/>
        </w:trPr>
        <w:tc>
          <w:tcPr>
            <w:tcW w:w="3849" w:type="dxa"/>
            <w:tcBorders>
              <w:top w:val="single" w:sz="6"/>
              <w:left w:val="single" w:sz="6"/>
              <w:bottom w:val="single" w:sz="6"/>
              <w:right w:val="single" w:sz="6"/>
            </w:tcBorders>
            <w:tcMar/>
            <w:vAlign w:val="center"/>
          </w:tcPr>
          <w:p w:rsidR="7C2F16DA" w:rsidP="7C2F16DA" w:rsidRDefault="7C2F16DA" w14:paraId="27A9087E" w14:textId="76AFE7D9">
            <w:pPr>
              <w:spacing w:before="120" w:after="120" w:line="240" w:lineRule="auto"/>
              <w:jc w:val="both"/>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Cost of goods sold</w:t>
            </w:r>
          </w:p>
        </w:tc>
        <w:tc>
          <w:tcPr>
            <w:tcW w:w="1370" w:type="dxa"/>
            <w:tcBorders>
              <w:top w:val="single" w:sz="6"/>
              <w:left w:val="single" w:sz="6"/>
              <w:bottom w:val="single" w:sz="6"/>
              <w:right w:val="single" w:sz="6"/>
            </w:tcBorders>
            <w:tcMar/>
            <w:vAlign w:val="center"/>
          </w:tcPr>
          <w:p w:rsidR="7C2F16DA" w:rsidP="7C2F16DA" w:rsidRDefault="7C2F16DA" w14:paraId="39C442E1" w14:textId="3AA5D5C1">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37,24,000</w:t>
            </w:r>
          </w:p>
        </w:tc>
        <w:tc>
          <w:tcPr>
            <w:tcW w:w="1502" w:type="dxa"/>
            <w:tcBorders>
              <w:top w:val="single" w:sz="6"/>
              <w:left w:val="single" w:sz="6"/>
              <w:bottom w:val="single" w:sz="6"/>
              <w:right w:val="single" w:sz="6"/>
            </w:tcBorders>
            <w:tcMar/>
            <w:vAlign w:val="center"/>
          </w:tcPr>
          <w:p w:rsidR="7C2F16DA" w:rsidP="7C2F16DA" w:rsidRDefault="7C2F16DA" w14:paraId="6D02274B" w14:textId="1B7EE667">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70,17,000</w:t>
            </w:r>
          </w:p>
        </w:tc>
        <w:tc>
          <w:tcPr>
            <w:tcW w:w="1268" w:type="dxa"/>
            <w:tcBorders>
              <w:top w:val="single" w:sz="6"/>
              <w:left w:val="single" w:sz="6"/>
              <w:bottom w:val="single" w:sz="6"/>
              <w:right w:val="single" w:sz="6"/>
            </w:tcBorders>
            <w:tcMar/>
            <w:vAlign w:val="bottom"/>
          </w:tcPr>
          <w:p w:rsidR="7C2F16DA" w:rsidP="7C2F16DA" w:rsidRDefault="7C2F16DA" w14:paraId="6B819070" w14:textId="0687E036">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-32,93,000</w:t>
            </w:r>
          </w:p>
        </w:tc>
        <w:tc>
          <w:tcPr>
            <w:tcW w:w="1370" w:type="dxa"/>
            <w:tcBorders>
              <w:top w:val="single" w:sz="6"/>
              <w:left w:val="single" w:sz="6"/>
              <w:bottom w:val="single" w:sz="6"/>
              <w:right w:val="single" w:sz="6"/>
            </w:tcBorders>
            <w:tcMar/>
            <w:vAlign w:val="bottom"/>
          </w:tcPr>
          <w:p w:rsidR="7C2F16DA" w:rsidP="7C2F16DA" w:rsidRDefault="7C2F16DA" w14:paraId="4AEA7947" w14:textId="0E427171">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-47%</w:t>
            </w:r>
          </w:p>
        </w:tc>
      </w:tr>
      <w:tr w:rsidR="7C2F16DA" w:rsidTr="7C2F16DA" w14:paraId="22F1EC0E">
        <w:trPr>
          <w:trHeight w:val="330"/>
        </w:trPr>
        <w:tc>
          <w:tcPr>
            <w:tcW w:w="3849" w:type="dxa"/>
            <w:tcBorders>
              <w:top w:val="single" w:sz="6"/>
              <w:left w:val="single" w:sz="6"/>
              <w:bottom w:val="single" w:sz="6"/>
              <w:right w:val="single" w:sz="6"/>
            </w:tcBorders>
            <w:tcMar/>
            <w:vAlign w:val="center"/>
          </w:tcPr>
          <w:p w:rsidR="7C2F16DA" w:rsidP="7C2F16DA" w:rsidRDefault="7C2F16DA" w14:paraId="5F595274" w14:textId="0A7D7675">
            <w:pPr>
              <w:spacing w:before="120" w:after="120" w:line="240" w:lineRule="auto"/>
              <w:jc w:val="both"/>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Gross profit</w:t>
            </w:r>
          </w:p>
        </w:tc>
        <w:tc>
          <w:tcPr>
            <w:tcW w:w="1370" w:type="dxa"/>
            <w:tcBorders>
              <w:top w:val="single" w:sz="6"/>
              <w:left w:val="single" w:sz="6"/>
              <w:bottom w:val="single" w:sz="6"/>
              <w:right w:val="single" w:sz="6"/>
            </w:tcBorders>
            <w:tcMar/>
            <w:vAlign w:val="center"/>
          </w:tcPr>
          <w:p w:rsidR="7C2F16DA" w:rsidP="7C2F16DA" w:rsidRDefault="7C2F16DA" w14:paraId="34524D2E" w14:textId="2C0ED0B8">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5,83,000</w:t>
            </w:r>
          </w:p>
        </w:tc>
        <w:tc>
          <w:tcPr>
            <w:tcW w:w="1502" w:type="dxa"/>
            <w:tcBorders>
              <w:top w:val="single" w:sz="6"/>
              <w:left w:val="single" w:sz="6"/>
              <w:bottom w:val="single" w:sz="6"/>
              <w:right w:val="single" w:sz="6"/>
            </w:tcBorders>
            <w:tcMar/>
            <w:vAlign w:val="center"/>
          </w:tcPr>
          <w:p w:rsidR="7C2F16DA" w:rsidP="7C2F16DA" w:rsidRDefault="7C2F16DA" w14:paraId="7FE8AC8C" w14:textId="464EC47B">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24,35,000</w:t>
            </w:r>
          </w:p>
        </w:tc>
        <w:tc>
          <w:tcPr>
            <w:tcW w:w="1268" w:type="dxa"/>
            <w:tcBorders>
              <w:top w:val="single" w:sz="6"/>
              <w:left w:val="single" w:sz="6"/>
              <w:bottom w:val="single" w:sz="6"/>
              <w:right w:val="single" w:sz="6"/>
            </w:tcBorders>
            <w:tcMar/>
            <w:vAlign w:val="bottom"/>
          </w:tcPr>
          <w:p w:rsidR="7C2F16DA" w:rsidP="7C2F16DA" w:rsidRDefault="7C2F16DA" w14:paraId="58E0C650" w14:textId="32C29AA2">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-18,52,000</w:t>
            </w:r>
          </w:p>
        </w:tc>
        <w:tc>
          <w:tcPr>
            <w:tcW w:w="1370" w:type="dxa"/>
            <w:tcBorders>
              <w:top w:val="single" w:sz="6"/>
              <w:left w:val="single" w:sz="6"/>
              <w:bottom w:val="single" w:sz="6"/>
              <w:right w:val="single" w:sz="6"/>
            </w:tcBorders>
            <w:tcMar/>
            <w:vAlign w:val="bottom"/>
          </w:tcPr>
          <w:p w:rsidR="7C2F16DA" w:rsidP="7C2F16DA" w:rsidRDefault="7C2F16DA" w14:paraId="2204BD25" w14:textId="6DF4D582">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-76%</w:t>
            </w:r>
          </w:p>
        </w:tc>
      </w:tr>
      <w:tr w:rsidR="7C2F16DA" w:rsidTr="7C2F16DA" w14:paraId="6A8D23EB">
        <w:trPr>
          <w:trHeight w:val="330"/>
        </w:trPr>
        <w:tc>
          <w:tcPr>
            <w:tcW w:w="3849" w:type="dxa"/>
            <w:tcBorders>
              <w:top w:val="single" w:sz="6"/>
              <w:left w:val="single" w:sz="6"/>
              <w:bottom w:val="single" w:sz="6"/>
              <w:right w:val="single" w:sz="6"/>
            </w:tcBorders>
            <w:tcMar/>
            <w:vAlign w:val="center"/>
          </w:tcPr>
          <w:p w:rsidR="7C2F16DA" w:rsidP="7C2F16DA" w:rsidRDefault="7C2F16DA" w14:paraId="292BA557" w14:textId="3D6D9F4F">
            <w:pPr>
              <w:spacing w:before="120" w:after="120" w:line="240" w:lineRule="auto"/>
              <w:jc w:val="both"/>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Operating Expenses</w:t>
            </w:r>
          </w:p>
        </w:tc>
        <w:tc>
          <w:tcPr>
            <w:tcW w:w="1370" w:type="dxa"/>
            <w:tcBorders>
              <w:top w:val="single" w:sz="6"/>
              <w:left w:val="single" w:sz="6"/>
              <w:bottom w:val="single" w:sz="6"/>
              <w:right w:val="single" w:sz="6"/>
            </w:tcBorders>
            <w:tcMar/>
            <w:vAlign w:val="center"/>
          </w:tcPr>
          <w:p w:rsidR="7C2F16DA" w:rsidP="7C2F16DA" w:rsidRDefault="7C2F16DA" w14:paraId="580E52B8" w14:textId="2FB1690B">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7,02,000</w:t>
            </w:r>
          </w:p>
        </w:tc>
        <w:tc>
          <w:tcPr>
            <w:tcW w:w="1502" w:type="dxa"/>
            <w:tcBorders>
              <w:top w:val="single" w:sz="6"/>
              <w:left w:val="single" w:sz="6"/>
              <w:bottom w:val="single" w:sz="6"/>
              <w:right w:val="single" w:sz="6"/>
            </w:tcBorders>
            <w:tcMar/>
            <w:vAlign w:val="center"/>
          </w:tcPr>
          <w:p w:rsidR="7C2F16DA" w:rsidP="7C2F16DA" w:rsidRDefault="7C2F16DA" w14:paraId="454C69A4" w14:textId="73D5BAEC">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8,59,000</w:t>
            </w:r>
          </w:p>
        </w:tc>
        <w:tc>
          <w:tcPr>
            <w:tcW w:w="1268" w:type="dxa"/>
            <w:tcBorders>
              <w:top w:val="single" w:sz="6"/>
              <w:left w:val="single" w:sz="6"/>
              <w:bottom w:val="single" w:sz="6"/>
              <w:right w:val="single" w:sz="6"/>
            </w:tcBorders>
            <w:tcMar/>
            <w:vAlign w:val="bottom"/>
          </w:tcPr>
          <w:p w:rsidR="7C2F16DA" w:rsidP="7C2F16DA" w:rsidRDefault="7C2F16DA" w14:paraId="06272736" w14:textId="41F1DE64">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-1,57,000</w:t>
            </w:r>
          </w:p>
        </w:tc>
        <w:tc>
          <w:tcPr>
            <w:tcW w:w="1370" w:type="dxa"/>
            <w:tcBorders>
              <w:top w:val="single" w:sz="6"/>
              <w:left w:val="single" w:sz="6"/>
              <w:bottom w:val="single" w:sz="6"/>
              <w:right w:val="single" w:sz="6"/>
            </w:tcBorders>
            <w:tcMar/>
            <w:vAlign w:val="bottom"/>
          </w:tcPr>
          <w:p w:rsidR="7C2F16DA" w:rsidP="7C2F16DA" w:rsidRDefault="7C2F16DA" w14:paraId="671B1D21" w14:textId="003BE1C6">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-18%</w:t>
            </w:r>
          </w:p>
        </w:tc>
      </w:tr>
      <w:tr w:rsidR="7C2F16DA" w:rsidTr="7C2F16DA" w14:paraId="32CDA1F5">
        <w:trPr>
          <w:trHeight w:val="330"/>
        </w:trPr>
        <w:tc>
          <w:tcPr>
            <w:tcW w:w="3849" w:type="dxa"/>
            <w:tcBorders>
              <w:top w:val="single" w:sz="6"/>
              <w:left w:val="single" w:sz="6"/>
              <w:bottom w:val="single" w:sz="6"/>
              <w:right w:val="single" w:sz="6"/>
            </w:tcBorders>
            <w:tcMar/>
            <w:vAlign w:val="center"/>
          </w:tcPr>
          <w:p w:rsidR="7C2F16DA" w:rsidP="7C2F16DA" w:rsidRDefault="7C2F16DA" w14:paraId="620680A2" w14:textId="48F3760D">
            <w:pPr>
              <w:spacing w:before="120" w:after="120" w:line="240" w:lineRule="auto"/>
              <w:jc w:val="both"/>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Operating income</w:t>
            </w:r>
          </w:p>
        </w:tc>
        <w:tc>
          <w:tcPr>
            <w:tcW w:w="1370" w:type="dxa"/>
            <w:tcBorders>
              <w:top w:val="single" w:sz="6"/>
              <w:left w:val="single" w:sz="6"/>
              <w:bottom w:val="single" w:sz="6"/>
              <w:right w:val="single" w:sz="6"/>
            </w:tcBorders>
            <w:tcMar/>
            <w:vAlign w:val="center"/>
          </w:tcPr>
          <w:p w:rsidR="7C2F16DA" w:rsidP="7C2F16DA" w:rsidRDefault="7C2F16DA" w14:paraId="4BB575E6" w14:textId="700D70BE">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-1,19,000</w:t>
            </w:r>
          </w:p>
        </w:tc>
        <w:tc>
          <w:tcPr>
            <w:tcW w:w="1502" w:type="dxa"/>
            <w:tcBorders>
              <w:top w:val="single" w:sz="6"/>
              <w:left w:val="single" w:sz="6"/>
              <w:bottom w:val="single" w:sz="6"/>
              <w:right w:val="single" w:sz="6"/>
            </w:tcBorders>
            <w:tcMar/>
            <w:vAlign w:val="center"/>
          </w:tcPr>
          <w:p w:rsidR="7C2F16DA" w:rsidP="7C2F16DA" w:rsidRDefault="7C2F16DA" w14:paraId="2A68001E" w14:textId="2E6280DC">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15,76,000</w:t>
            </w:r>
          </w:p>
        </w:tc>
        <w:tc>
          <w:tcPr>
            <w:tcW w:w="1268" w:type="dxa"/>
            <w:tcBorders>
              <w:top w:val="single" w:sz="6"/>
              <w:left w:val="single" w:sz="6"/>
              <w:bottom w:val="single" w:sz="6"/>
              <w:right w:val="single" w:sz="6"/>
            </w:tcBorders>
            <w:tcMar/>
            <w:vAlign w:val="bottom"/>
          </w:tcPr>
          <w:p w:rsidR="7C2F16DA" w:rsidP="7C2F16DA" w:rsidRDefault="7C2F16DA" w14:paraId="38ADA142" w14:textId="102E9DF4">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-16,95,000</w:t>
            </w:r>
          </w:p>
        </w:tc>
        <w:tc>
          <w:tcPr>
            <w:tcW w:w="1370" w:type="dxa"/>
            <w:tcBorders>
              <w:top w:val="single" w:sz="6"/>
              <w:left w:val="single" w:sz="6"/>
              <w:bottom w:val="single" w:sz="6"/>
              <w:right w:val="single" w:sz="6"/>
            </w:tcBorders>
            <w:tcMar/>
            <w:vAlign w:val="bottom"/>
          </w:tcPr>
          <w:p w:rsidR="7C2F16DA" w:rsidP="7C2F16DA" w:rsidRDefault="7C2F16DA" w14:paraId="611A4949" w14:textId="52459F05">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-108%</w:t>
            </w:r>
          </w:p>
        </w:tc>
      </w:tr>
      <w:tr w:rsidR="7C2F16DA" w:rsidTr="7C2F16DA" w14:paraId="61B8C374">
        <w:trPr>
          <w:trHeight w:val="330"/>
        </w:trPr>
        <w:tc>
          <w:tcPr>
            <w:tcW w:w="3849" w:type="dxa"/>
            <w:tcBorders>
              <w:top w:val="single" w:sz="6"/>
              <w:left w:val="single" w:sz="6"/>
              <w:bottom w:val="single" w:sz="6"/>
              <w:right w:val="single" w:sz="6"/>
            </w:tcBorders>
            <w:tcMar/>
            <w:vAlign w:val="center"/>
          </w:tcPr>
          <w:p w:rsidR="7C2F16DA" w:rsidP="7C2F16DA" w:rsidRDefault="7C2F16DA" w14:paraId="58794988" w14:textId="5A101F4B">
            <w:pPr>
              <w:spacing w:before="120" w:after="120" w:line="240" w:lineRule="auto"/>
              <w:jc w:val="both"/>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Interest Expense</w:t>
            </w:r>
          </w:p>
        </w:tc>
        <w:tc>
          <w:tcPr>
            <w:tcW w:w="1370" w:type="dxa"/>
            <w:tcBorders>
              <w:top w:val="single" w:sz="6"/>
              <w:left w:val="single" w:sz="6"/>
              <w:bottom w:val="single" w:sz="6"/>
              <w:right w:val="single" w:sz="6"/>
            </w:tcBorders>
            <w:tcMar/>
            <w:vAlign w:val="center"/>
          </w:tcPr>
          <w:p w:rsidR="7C2F16DA" w:rsidP="7C2F16DA" w:rsidRDefault="7C2F16DA" w14:paraId="688BBDCD" w14:textId="1338F2FF">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4,29,000</w:t>
            </w:r>
          </w:p>
        </w:tc>
        <w:tc>
          <w:tcPr>
            <w:tcW w:w="1502" w:type="dxa"/>
            <w:tcBorders>
              <w:top w:val="single" w:sz="6"/>
              <w:left w:val="single" w:sz="6"/>
              <w:bottom w:val="single" w:sz="6"/>
              <w:right w:val="single" w:sz="6"/>
            </w:tcBorders>
            <w:tcMar/>
            <w:vAlign w:val="center"/>
          </w:tcPr>
          <w:p w:rsidR="7C2F16DA" w:rsidP="7C2F16DA" w:rsidRDefault="7C2F16DA" w14:paraId="1B178B4E" w14:textId="6F155C14">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4,14,000</w:t>
            </w:r>
          </w:p>
        </w:tc>
        <w:tc>
          <w:tcPr>
            <w:tcW w:w="1268" w:type="dxa"/>
            <w:tcBorders>
              <w:top w:val="single" w:sz="6"/>
              <w:left w:val="single" w:sz="6"/>
              <w:bottom w:val="single" w:sz="6"/>
              <w:right w:val="single" w:sz="6"/>
            </w:tcBorders>
            <w:tcMar/>
            <w:vAlign w:val="bottom"/>
          </w:tcPr>
          <w:p w:rsidR="7C2F16DA" w:rsidP="7C2F16DA" w:rsidRDefault="7C2F16DA" w14:paraId="2BF8C7A6" w14:textId="177679F3">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15,000</w:t>
            </w:r>
          </w:p>
        </w:tc>
        <w:tc>
          <w:tcPr>
            <w:tcW w:w="1370" w:type="dxa"/>
            <w:tcBorders>
              <w:top w:val="single" w:sz="6"/>
              <w:left w:val="single" w:sz="6"/>
              <w:bottom w:val="single" w:sz="6"/>
              <w:right w:val="single" w:sz="6"/>
            </w:tcBorders>
            <w:tcMar/>
            <w:vAlign w:val="bottom"/>
          </w:tcPr>
          <w:p w:rsidR="7C2F16DA" w:rsidP="7C2F16DA" w:rsidRDefault="7C2F16DA" w14:paraId="72FFB64C" w14:textId="190D6378">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4%</w:t>
            </w:r>
          </w:p>
        </w:tc>
      </w:tr>
      <w:tr w:rsidR="7C2F16DA" w:rsidTr="7C2F16DA" w14:paraId="4670BD2A">
        <w:trPr>
          <w:trHeight w:val="330"/>
        </w:trPr>
        <w:tc>
          <w:tcPr>
            <w:tcW w:w="3849" w:type="dxa"/>
            <w:tcBorders>
              <w:top w:val="single" w:sz="6"/>
              <w:left w:val="single" w:sz="6"/>
              <w:bottom w:val="single" w:sz="6"/>
              <w:right w:val="single" w:sz="6"/>
            </w:tcBorders>
            <w:tcMar/>
            <w:vAlign w:val="center"/>
          </w:tcPr>
          <w:p w:rsidR="7C2F16DA" w:rsidP="7C2F16DA" w:rsidRDefault="7C2F16DA" w14:paraId="46B4AF99" w14:textId="5A99F565">
            <w:pPr>
              <w:spacing w:before="120" w:after="120" w:line="240" w:lineRule="auto"/>
              <w:jc w:val="both"/>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 xml:space="preserve">Total Other income/ expenses net </w:t>
            </w:r>
          </w:p>
        </w:tc>
        <w:tc>
          <w:tcPr>
            <w:tcW w:w="1370" w:type="dxa"/>
            <w:tcBorders>
              <w:top w:val="single" w:sz="6"/>
              <w:left w:val="single" w:sz="6"/>
              <w:bottom w:val="single" w:sz="6"/>
              <w:right w:val="single" w:sz="6"/>
            </w:tcBorders>
            <w:tcMar/>
            <w:vAlign w:val="center"/>
          </w:tcPr>
          <w:p w:rsidR="7C2F16DA" w:rsidP="7C2F16DA" w:rsidRDefault="7C2F16DA" w14:paraId="70038581" w14:textId="56864382">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-3,76,000</w:t>
            </w:r>
          </w:p>
        </w:tc>
        <w:tc>
          <w:tcPr>
            <w:tcW w:w="1502" w:type="dxa"/>
            <w:tcBorders>
              <w:top w:val="single" w:sz="6"/>
              <w:left w:val="single" w:sz="6"/>
              <w:bottom w:val="single" w:sz="6"/>
              <w:right w:val="single" w:sz="6"/>
            </w:tcBorders>
            <w:tcMar/>
            <w:vAlign w:val="center"/>
          </w:tcPr>
          <w:p w:rsidR="7C2F16DA" w:rsidP="7C2F16DA" w:rsidRDefault="7C2F16DA" w14:paraId="36782316" w14:textId="53292926">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82,000</w:t>
            </w:r>
          </w:p>
        </w:tc>
        <w:tc>
          <w:tcPr>
            <w:tcW w:w="1268" w:type="dxa"/>
            <w:tcBorders>
              <w:top w:val="single" w:sz="6"/>
              <w:left w:val="single" w:sz="6"/>
              <w:bottom w:val="single" w:sz="6"/>
              <w:right w:val="single" w:sz="6"/>
            </w:tcBorders>
            <w:tcMar/>
            <w:vAlign w:val="bottom"/>
          </w:tcPr>
          <w:p w:rsidR="7C2F16DA" w:rsidP="7C2F16DA" w:rsidRDefault="7C2F16DA" w14:paraId="0F155929" w14:textId="37563CB4">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-4,58,000</w:t>
            </w:r>
          </w:p>
        </w:tc>
        <w:tc>
          <w:tcPr>
            <w:tcW w:w="1370" w:type="dxa"/>
            <w:tcBorders>
              <w:top w:val="single" w:sz="6"/>
              <w:left w:val="single" w:sz="6"/>
              <w:bottom w:val="single" w:sz="6"/>
              <w:right w:val="single" w:sz="6"/>
            </w:tcBorders>
            <w:tcMar/>
            <w:vAlign w:val="bottom"/>
          </w:tcPr>
          <w:p w:rsidR="7C2F16DA" w:rsidP="7C2F16DA" w:rsidRDefault="7C2F16DA" w14:paraId="4286803D" w14:textId="4B9168F7">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-559%</w:t>
            </w:r>
          </w:p>
        </w:tc>
      </w:tr>
      <w:tr w:rsidR="7C2F16DA" w:rsidTr="7C2F16DA" w14:paraId="0EBD6A53">
        <w:trPr>
          <w:trHeight w:val="330"/>
        </w:trPr>
        <w:tc>
          <w:tcPr>
            <w:tcW w:w="3849" w:type="dxa"/>
            <w:tcBorders>
              <w:top w:val="single" w:sz="6"/>
              <w:left w:val="single" w:sz="6"/>
              <w:bottom w:val="single" w:sz="6"/>
              <w:right w:val="single" w:sz="6"/>
            </w:tcBorders>
            <w:tcMar/>
            <w:vAlign w:val="center"/>
          </w:tcPr>
          <w:p w:rsidR="7C2F16DA" w:rsidP="7C2F16DA" w:rsidRDefault="7C2F16DA" w14:paraId="5EFB0D81" w14:textId="1C44BD02">
            <w:pPr>
              <w:spacing w:before="120" w:after="120" w:line="240" w:lineRule="auto"/>
              <w:jc w:val="both"/>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Income before taxes</w:t>
            </w:r>
          </w:p>
        </w:tc>
        <w:tc>
          <w:tcPr>
            <w:tcW w:w="1370" w:type="dxa"/>
            <w:tcBorders>
              <w:top w:val="single" w:sz="6"/>
              <w:left w:val="single" w:sz="6"/>
              <w:bottom w:val="single" w:sz="6"/>
              <w:right w:val="single" w:sz="6"/>
            </w:tcBorders>
            <w:tcMar/>
            <w:vAlign w:val="center"/>
          </w:tcPr>
          <w:p w:rsidR="7C2F16DA" w:rsidP="7C2F16DA" w:rsidRDefault="7C2F16DA" w14:paraId="207DF936" w14:textId="56570532">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-9,24,000</w:t>
            </w:r>
          </w:p>
        </w:tc>
        <w:tc>
          <w:tcPr>
            <w:tcW w:w="1502" w:type="dxa"/>
            <w:tcBorders>
              <w:top w:val="single" w:sz="6"/>
              <w:left w:val="single" w:sz="6"/>
              <w:bottom w:val="single" w:sz="6"/>
              <w:right w:val="single" w:sz="6"/>
            </w:tcBorders>
            <w:tcMar/>
            <w:vAlign w:val="center"/>
          </w:tcPr>
          <w:p w:rsidR="7C2F16DA" w:rsidP="7C2F16DA" w:rsidRDefault="7C2F16DA" w14:paraId="1BCA7F0F" w14:textId="05062A9E">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12,44,000</w:t>
            </w:r>
          </w:p>
        </w:tc>
        <w:tc>
          <w:tcPr>
            <w:tcW w:w="1268" w:type="dxa"/>
            <w:tcBorders>
              <w:top w:val="single" w:sz="6"/>
              <w:left w:val="single" w:sz="6"/>
              <w:bottom w:val="single" w:sz="6"/>
              <w:right w:val="single" w:sz="6"/>
            </w:tcBorders>
            <w:tcMar/>
            <w:vAlign w:val="bottom"/>
          </w:tcPr>
          <w:p w:rsidR="7C2F16DA" w:rsidP="7C2F16DA" w:rsidRDefault="7C2F16DA" w14:paraId="315FB978" w14:textId="041A2D72">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-21,68,000</w:t>
            </w:r>
          </w:p>
        </w:tc>
        <w:tc>
          <w:tcPr>
            <w:tcW w:w="1370" w:type="dxa"/>
            <w:tcBorders>
              <w:top w:val="single" w:sz="6"/>
              <w:left w:val="single" w:sz="6"/>
              <w:bottom w:val="single" w:sz="6"/>
              <w:right w:val="single" w:sz="6"/>
            </w:tcBorders>
            <w:tcMar/>
            <w:vAlign w:val="bottom"/>
          </w:tcPr>
          <w:p w:rsidR="7C2F16DA" w:rsidP="7C2F16DA" w:rsidRDefault="7C2F16DA" w14:paraId="2C07101C" w14:textId="06B685B3">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-174%</w:t>
            </w:r>
          </w:p>
        </w:tc>
      </w:tr>
      <w:tr w:rsidR="7C2F16DA" w:rsidTr="7C2F16DA" w14:paraId="2DAAC8CB">
        <w:trPr>
          <w:trHeight w:val="330"/>
        </w:trPr>
        <w:tc>
          <w:tcPr>
            <w:tcW w:w="3849" w:type="dxa"/>
            <w:tcBorders>
              <w:top w:val="single" w:sz="6"/>
              <w:left w:val="single" w:sz="6"/>
              <w:bottom w:val="single" w:sz="6"/>
              <w:right w:val="single" w:sz="6"/>
            </w:tcBorders>
            <w:tcMar/>
            <w:vAlign w:val="center"/>
          </w:tcPr>
          <w:p w:rsidR="7C2F16DA" w:rsidP="7C2F16DA" w:rsidRDefault="7C2F16DA" w14:paraId="5532512B" w14:textId="280B885D">
            <w:pPr>
              <w:spacing w:before="120" w:after="120" w:line="240" w:lineRule="auto"/>
              <w:jc w:val="both"/>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Net income</w:t>
            </w:r>
          </w:p>
        </w:tc>
        <w:tc>
          <w:tcPr>
            <w:tcW w:w="1370" w:type="dxa"/>
            <w:tcBorders>
              <w:top w:val="single" w:sz="6"/>
              <w:left w:val="single" w:sz="6"/>
              <w:bottom w:val="single" w:sz="6"/>
              <w:right w:val="single" w:sz="6"/>
            </w:tcBorders>
            <w:tcMar/>
            <w:vAlign w:val="center"/>
          </w:tcPr>
          <w:p w:rsidR="7C2F16DA" w:rsidP="7C2F16DA" w:rsidRDefault="7C2F16DA" w14:paraId="6E27F75D" w14:textId="4B81BCD9">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-7,15,000</w:t>
            </w:r>
          </w:p>
        </w:tc>
        <w:tc>
          <w:tcPr>
            <w:tcW w:w="1502" w:type="dxa"/>
            <w:tcBorders>
              <w:top w:val="single" w:sz="6"/>
              <w:left w:val="single" w:sz="6"/>
              <w:bottom w:val="single" w:sz="6"/>
              <w:right w:val="single" w:sz="6"/>
            </w:tcBorders>
            <w:tcMar/>
            <w:vAlign w:val="center"/>
          </w:tcPr>
          <w:p w:rsidR="7C2F16DA" w:rsidP="7C2F16DA" w:rsidRDefault="7C2F16DA" w14:paraId="19C13899" w14:textId="4D8EF09A">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8,81,000</w:t>
            </w:r>
          </w:p>
        </w:tc>
        <w:tc>
          <w:tcPr>
            <w:tcW w:w="1268" w:type="dxa"/>
            <w:tcBorders>
              <w:top w:val="single" w:sz="6"/>
              <w:left w:val="single" w:sz="6"/>
              <w:bottom w:val="single" w:sz="6"/>
              <w:right w:val="single" w:sz="6"/>
            </w:tcBorders>
            <w:tcMar/>
            <w:vAlign w:val="bottom"/>
          </w:tcPr>
          <w:p w:rsidR="7C2F16DA" w:rsidP="7C2F16DA" w:rsidRDefault="7C2F16DA" w14:paraId="12862297" w14:textId="6DA158BE">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-15,96,000</w:t>
            </w:r>
          </w:p>
        </w:tc>
        <w:tc>
          <w:tcPr>
            <w:tcW w:w="1370" w:type="dxa"/>
            <w:tcBorders>
              <w:top w:val="single" w:sz="6"/>
              <w:left w:val="single" w:sz="6"/>
              <w:bottom w:val="single" w:sz="6"/>
              <w:right w:val="single" w:sz="6"/>
            </w:tcBorders>
            <w:tcMar/>
            <w:vAlign w:val="bottom"/>
          </w:tcPr>
          <w:p w:rsidR="7C2F16DA" w:rsidP="7C2F16DA" w:rsidRDefault="7C2F16DA" w14:paraId="27434EA7" w14:textId="57F5ED59">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-181%</w:t>
            </w:r>
          </w:p>
        </w:tc>
      </w:tr>
      <w:tr w:rsidR="7C2F16DA" w:rsidTr="7C2F16DA" w14:paraId="25F9700E">
        <w:trPr>
          <w:trHeight w:val="330"/>
        </w:trPr>
        <w:tc>
          <w:tcPr>
            <w:tcW w:w="3849" w:type="dxa"/>
            <w:tcBorders>
              <w:top w:val="single" w:sz="6"/>
              <w:left w:val="single" w:sz="6"/>
              <w:bottom w:val="nil"/>
              <w:right w:val="nil"/>
            </w:tcBorders>
            <w:tcMar/>
            <w:vAlign w:val="bottom"/>
          </w:tcPr>
          <w:p w:rsidR="7C2F16DA" w:rsidP="7C2F16DA" w:rsidRDefault="7C2F16DA" w14:paraId="3A69AE0C" w14:textId="73D240E1">
            <w:pPr>
              <w:spacing w:before="120" w:after="120" w:line="240" w:lineRule="auto"/>
              <w:jc w:val="right"/>
              <w:rPr>
                <w:rFonts w:ascii="Arial" w:hAnsi="Arial" w:eastAsia="Arial" w:cs="Arial"/>
                <w:b w:val="0"/>
                <w:bCs w:val="0"/>
                <w:i w:val="0"/>
                <w:iCs w:val="0"/>
                <w:color w:val="000000" w:themeColor="text1" w:themeTint="FF" w:themeShade="FF"/>
                <w:sz w:val="20"/>
                <w:szCs w:val="20"/>
              </w:rPr>
            </w:pPr>
          </w:p>
        </w:tc>
        <w:tc>
          <w:tcPr>
            <w:tcW w:w="1370" w:type="dxa"/>
            <w:tcBorders>
              <w:top w:val="single" w:sz="6"/>
              <w:left w:val="nil"/>
              <w:bottom w:val="nil"/>
              <w:right w:val="nil"/>
            </w:tcBorders>
            <w:tcMar/>
            <w:vAlign w:val="bottom"/>
          </w:tcPr>
          <w:p w:rsidR="7C2F16DA" w:rsidP="7C2F16DA" w:rsidRDefault="7C2F16DA" w14:paraId="56D26560" w14:textId="2E163941">
            <w:pPr>
              <w:spacing w:before="120" w:after="120" w:line="240" w:lineRule="auto"/>
              <w:jc w:val="both"/>
              <w:rPr>
                <w:rFonts w:ascii="Arial" w:hAnsi="Arial" w:eastAsia="Arial" w:cs="Arial"/>
                <w:b w:val="0"/>
                <w:bCs w:val="0"/>
                <w:i w:val="0"/>
                <w:iCs w:val="0"/>
                <w:sz w:val="20"/>
                <w:szCs w:val="20"/>
              </w:rPr>
            </w:pPr>
          </w:p>
        </w:tc>
        <w:tc>
          <w:tcPr>
            <w:tcW w:w="1502" w:type="dxa"/>
            <w:tcBorders>
              <w:top w:val="single" w:sz="6"/>
              <w:left w:val="nil"/>
              <w:bottom w:val="nil"/>
              <w:right w:val="nil"/>
            </w:tcBorders>
            <w:tcMar/>
            <w:vAlign w:val="bottom"/>
          </w:tcPr>
          <w:p w:rsidR="7C2F16DA" w:rsidP="7C2F16DA" w:rsidRDefault="7C2F16DA" w14:paraId="3B01D8A2" w14:textId="6165C904">
            <w:pPr>
              <w:spacing w:before="120" w:after="120" w:line="240" w:lineRule="auto"/>
              <w:jc w:val="both"/>
              <w:rPr>
                <w:rFonts w:ascii="Arial" w:hAnsi="Arial" w:eastAsia="Arial" w:cs="Arial"/>
                <w:b w:val="0"/>
                <w:bCs w:val="0"/>
                <w:i w:val="0"/>
                <w:iCs w:val="0"/>
                <w:sz w:val="20"/>
                <w:szCs w:val="20"/>
              </w:rPr>
            </w:pPr>
          </w:p>
        </w:tc>
        <w:tc>
          <w:tcPr>
            <w:tcW w:w="1268" w:type="dxa"/>
            <w:tcBorders>
              <w:top w:val="single" w:sz="6"/>
              <w:left w:val="nil"/>
              <w:bottom w:val="nil"/>
              <w:right w:val="nil"/>
            </w:tcBorders>
            <w:tcMar/>
            <w:vAlign w:val="bottom"/>
          </w:tcPr>
          <w:p w:rsidR="7C2F16DA" w:rsidP="7C2F16DA" w:rsidRDefault="7C2F16DA" w14:paraId="3C3A5886" w14:textId="0525051B">
            <w:pPr>
              <w:spacing w:before="120" w:after="120" w:line="240" w:lineRule="auto"/>
              <w:jc w:val="both"/>
              <w:rPr>
                <w:rFonts w:ascii="Arial" w:hAnsi="Arial" w:eastAsia="Arial" w:cs="Arial"/>
                <w:b w:val="0"/>
                <w:bCs w:val="0"/>
                <w:i w:val="0"/>
                <w:iCs w:val="0"/>
                <w:sz w:val="20"/>
                <w:szCs w:val="20"/>
              </w:rPr>
            </w:pPr>
          </w:p>
        </w:tc>
        <w:tc>
          <w:tcPr>
            <w:tcW w:w="1370" w:type="dxa"/>
            <w:tcBorders>
              <w:top w:val="single" w:sz="6"/>
              <w:left w:val="nil"/>
              <w:bottom w:val="nil"/>
              <w:right w:val="single" w:sz="6"/>
            </w:tcBorders>
            <w:tcMar/>
            <w:vAlign w:val="bottom"/>
          </w:tcPr>
          <w:p w:rsidR="7C2F16DA" w:rsidP="7C2F16DA" w:rsidRDefault="7C2F16DA" w14:paraId="2BDFDD17" w14:textId="664C6D51">
            <w:pPr>
              <w:spacing w:before="120" w:after="120" w:line="240" w:lineRule="auto"/>
              <w:jc w:val="both"/>
              <w:rPr>
                <w:rFonts w:ascii="Arial" w:hAnsi="Arial" w:eastAsia="Arial" w:cs="Arial"/>
                <w:b w:val="0"/>
                <w:bCs w:val="0"/>
                <w:i w:val="0"/>
                <w:iCs w:val="0"/>
                <w:sz w:val="20"/>
                <w:szCs w:val="20"/>
              </w:rPr>
            </w:pPr>
          </w:p>
        </w:tc>
      </w:tr>
      <w:tr w:rsidR="7C2F16DA" w:rsidTr="7C2F16DA" w14:paraId="6C3593C8">
        <w:trPr>
          <w:trHeight w:val="420"/>
        </w:trPr>
        <w:tc>
          <w:tcPr>
            <w:tcW w:w="3849" w:type="dxa"/>
            <w:tcBorders>
              <w:top w:val="nil"/>
              <w:left w:val="single" w:sz="6"/>
              <w:bottom w:val="nil"/>
              <w:right w:val="nil"/>
            </w:tcBorders>
            <w:shd w:val="clear" w:color="auto" w:fill="333F4F"/>
            <w:tcMar/>
            <w:vAlign w:val="bottom"/>
          </w:tcPr>
          <w:p w:rsidR="7C2F16DA" w:rsidP="7C2F16DA" w:rsidRDefault="7C2F16DA" w14:paraId="5BCF3805" w14:textId="51AEC67C">
            <w:pPr>
              <w:spacing w:before="120" w:after="120" w:line="240" w:lineRule="auto"/>
              <w:jc w:val="both"/>
              <w:rPr>
                <w:rFonts w:ascii="Arial" w:hAnsi="Arial" w:eastAsia="Arial" w:cs="Arial"/>
                <w:b w:val="0"/>
                <w:bCs w:val="0"/>
                <w:i w:val="0"/>
                <w:iCs w:val="0"/>
                <w:color w:val="FFFFFF" w:themeColor="background1" w:themeTint="FF" w:themeShade="FF"/>
                <w:sz w:val="28"/>
                <w:szCs w:val="28"/>
              </w:rPr>
            </w:pPr>
            <w:r w:rsidRPr="7C2F16DA" w:rsidR="7C2F16DA">
              <w:rPr>
                <w:rFonts w:ascii="Arial" w:hAnsi="Arial" w:eastAsia="Arial" w:cs="Arial"/>
                <w:b w:val="1"/>
                <w:bCs w:val="1"/>
                <w:i w:val="0"/>
                <w:iCs w:val="0"/>
                <w:color w:val="FFFFFF" w:themeColor="background1" w:themeTint="FF" w:themeShade="FF"/>
                <w:sz w:val="28"/>
                <w:szCs w:val="28"/>
                <w:lang w:val="en-IN"/>
              </w:rPr>
              <w:t>Ratios</w:t>
            </w:r>
          </w:p>
        </w:tc>
        <w:tc>
          <w:tcPr>
            <w:tcW w:w="1370" w:type="dxa"/>
            <w:tcBorders>
              <w:top w:val="nil"/>
              <w:left w:val="nil"/>
              <w:bottom w:val="nil"/>
              <w:right w:val="nil"/>
            </w:tcBorders>
            <w:shd w:val="clear" w:color="auto" w:fill="333F4F"/>
            <w:tcMar/>
            <w:vAlign w:val="bottom"/>
          </w:tcPr>
          <w:p w:rsidR="7C2F16DA" w:rsidP="7C2F16DA" w:rsidRDefault="7C2F16DA" w14:paraId="2D805C98" w14:textId="2EBB3D71">
            <w:pPr>
              <w:spacing w:before="120" w:after="120" w:line="240" w:lineRule="auto"/>
              <w:jc w:val="right"/>
              <w:rPr>
                <w:rFonts w:ascii="Arial" w:hAnsi="Arial" w:eastAsia="Arial" w:cs="Arial"/>
                <w:b w:val="0"/>
                <w:bCs w:val="0"/>
                <w:i w:val="0"/>
                <w:iCs w:val="0"/>
                <w:color w:val="FFFFFF" w:themeColor="background1" w:themeTint="FF" w:themeShade="FF"/>
                <w:sz w:val="24"/>
                <w:szCs w:val="24"/>
              </w:rPr>
            </w:pPr>
            <w:r w:rsidRPr="7C2F16DA" w:rsidR="7C2F16DA">
              <w:rPr>
                <w:rFonts w:ascii="Arial" w:hAnsi="Arial" w:eastAsia="Arial" w:cs="Arial"/>
                <w:b w:val="1"/>
                <w:bCs w:val="1"/>
                <w:i w:val="0"/>
                <w:iCs w:val="0"/>
                <w:color w:val="FFFFFF" w:themeColor="background1" w:themeTint="FF" w:themeShade="FF"/>
                <w:sz w:val="24"/>
                <w:szCs w:val="24"/>
                <w:lang w:val="en-IN"/>
              </w:rPr>
              <w:t>2020</w:t>
            </w:r>
          </w:p>
        </w:tc>
        <w:tc>
          <w:tcPr>
            <w:tcW w:w="1502" w:type="dxa"/>
            <w:tcBorders>
              <w:top w:val="nil"/>
              <w:left w:val="nil"/>
              <w:bottom w:val="nil"/>
              <w:right w:val="nil"/>
            </w:tcBorders>
            <w:shd w:val="clear" w:color="auto" w:fill="333F4F"/>
            <w:tcMar/>
            <w:vAlign w:val="bottom"/>
          </w:tcPr>
          <w:p w:rsidR="7C2F16DA" w:rsidP="7C2F16DA" w:rsidRDefault="7C2F16DA" w14:paraId="600CC94A" w14:textId="721C88C5">
            <w:pPr>
              <w:spacing w:before="120" w:after="120" w:line="240" w:lineRule="auto"/>
              <w:jc w:val="right"/>
              <w:rPr>
                <w:rFonts w:ascii="Arial" w:hAnsi="Arial" w:eastAsia="Arial" w:cs="Arial"/>
                <w:b w:val="0"/>
                <w:bCs w:val="0"/>
                <w:i w:val="0"/>
                <w:iCs w:val="0"/>
                <w:color w:val="FFFFFF" w:themeColor="background1" w:themeTint="FF" w:themeShade="FF"/>
                <w:sz w:val="24"/>
                <w:szCs w:val="24"/>
              </w:rPr>
            </w:pPr>
            <w:r w:rsidRPr="7C2F16DA" w:rsidR="7C2F16DA">
              <w:rPr>
                <w:rFonts w:ascii="Arial" w:hAnsi="Arial" w:eastAsia="Arial" w:cs="Arial"/>
                <w:b w:val="1"/>
                <w:bCs w:val="1"/>
                <w:i w:val="0"/>
                <w:iCs w:val="0"/>
                <w:color w:val="FFFFFF" w:themeColor="background1" w:themeTint="FF" w:themeShade="FF"/>
                <w:sz w:val="24"/>
                <w:szCs w:val="24"/>
                <w:lang w:val="en-IN"/>
              </w:rPr>
              <w:t>2019</w:t>
            </w:r>
          </w:p>
        </w:tc>
        <w:tc>
          <w:tcPr>
            <w:tcW w:w="1268" w:type="dxa"/>
            <w:tcBorders>
              <w:top w:val="nil"/>
              <w:left w:val="nil"/>
              <w:bottom w:val="nil"/>
              <w:right w:val="nil"/>
            </w:tcBorders>
            <w:shd w:val="clear" w:color="auto" w:fill="333F4F"/>
            <w:tcMar/>
            <w:vAlign w:val="bottom"/>
          </w:tcPr>
          <w:p w:rsidR="7C2F16DA" w:rsidP="7C2F16DA" w:rsidRDefault="7C2F16DA" w14:paraId="40B37CD7" w14:textId="2084988D">
            <w:pPr>
              <w:spacing w:before="120" w:after="120" w:line="240" w:lineRule="auto"/>
              <w:jc w:val="right"/>
              <w:rPr>
                <w:rFonts w:ascii="Arial" w:hAnsi="Arial" w:eastAsia="Arial" w:cs="Arial"/>
                <w:b w:val="0"/>
                <w:bCs w:val="0"/>
                <w:i w:val="0"/>
                <w:iCs w:val="0"/>
                <w:color w:val="FFFFFF" w:themeColor="background1" w:themeTint="FF" w:themeShade="FF"/>
                <w:sz w:val="24"/>
                <w:szCs w:val="24"/>
              </w:rPr>
            </w:pPr>
            <w:r w:rsidRPr="7C2F16DA" w:rsidR="7C2F16DA">
              <w:rPr>
                <w:rFonts w:ascii="Arial" w:hAnsi="Arial" w:eastAsia="Arial" w:cs="Arial"/>
                <w:b w:val="1"/>
                <w:bCs w:val="1"/>
                <w:i w:val="0"/>
                <w:iCs w:val="0"/>
                <w:color w:val="FFFFFF" w:themeColor="background1" w:themeTint="FF" w:themeShade="FF"/>
                <w:sz w:val="24"/>
                <w:szCs w:val="24"/>
                <w:lang w:val="en-IN"/>
              </w:rPr>
              <w:t>Change</w:t>
            </w:r>
          </w:p>
        </w:tc>
        <w:tc>
          <w:tcPr>
            <w:tcW w:w="1370" w:type="dxa"/>
            <w:tcBorders>
              <w:top w:val="nil"/>
              <w:left w:val="nil"/>
              <w:bottom w:val="nil"/>
              <w:right w:val="single" w:sz="6"/>
            </w:tcBorders>
            <w:shd w:val="clear" w:color="auto" w:fill="333F4F"/>
            <w:tcMar/>
            <w:vAlign w:val="bottom"/>
          </w:tcPr>
          <w:p w:rsidR="7C2F16DA" w:rsidP="7C2F16DA" w:rsidRDefault="7C2F16DA" w14:paraId="5927634C" w14:textId="19D3E7BD">
            <w:pPr>
              <w:spacing w:before="120" w:after="120" w:line="240" w:lineRule="auto"/>
              <w:jc w:val="right"/>
              <w:rPr>
                <w:rFonts w:ascii="Arial" w:hAnsi="Arial" w:eastAsia="Arial" w:cs="Arial"/>
                <w:b w:val="0"/>
                <w:bCs w:val="0"/>
                <w:i w:val="0"/>
                <w:iCs w:val="0"/>
                <w:color w:val="FFFFFF" w:themeColor="background1" w:themeTint="FF" w:themeShade="FF"/>
                <w:sz w:val="24"/>
                <w:szCs w:val="24"/>
              </w:rPr>
            </w:pPr>
            <w:r w:rsidRPr="7C2F16DA" w:rsidR="7C2F16DA">
              <w:rPr>
                <w:rFonts w:ascii="Arial" w:hAnsi="Arial" w:eastAsia="Arial" w:cs="Arial"/>
                <w:b w:val="1"/>
                <w:bCs w:val="1"/>
                <w:i w:val="0"/>
                <w:iCs w:val="0"/>
                <w:color w:val="FFFFFF" w:themeColor="background1" w:themeTint="FF" w:themeShade="FF"/>
                <w:sz w:val="24"/>
                <w:szCs w:val="24"/>
                <w:lang w:val="en-IN"/>
              </w:rPr>
              <w:t>% Change</w:t>
            </w:r>
          </w:p>
        </w:tc>
      </w:tr>
      <w:tr w:rsidR="7C2F16DA" w:rsidTr="7C2F16DA" w14:paraId="7B813764">
        <w:trPr>
          <w:trHeight w:val="330"/>
        </w:trPr>
        <w:tc>
          <w:tcPr>
            <w:tcW w:w="3849" w:type="dxa"/>
            <w:tcBorders>
              <w:top w:val="single" w:sz="6"/>
              <w:left w:val="single" w:sz="6"/>
              <w:bottom w:val="single" w:sz="6"/>
              <w:right w:val="single" w:sz="6"/>
            </w:tcBorders>
            <w:tcMar/>
            <w:vAlign w:val="center"/>
          </w:tcPr>
          <w:p w:rsidR="7C2F16DA" w:rsidP="7C2F16DA" w:rsidRDefault="7C2F16DA" w14:paraId="2191CE6D" w14:textId="6619E7F9">
            <w:pPr>
              <w:spacing w:before="120" w:after="120" w:line="240" w:lineRule="auto"/>
              <w:jc w:val="both"/>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Gross Profit Ratio</w:t>
            </w:r>
          </w:p>
        </w:tc>
        <w:tc>
          <w:tcPr>
            <w:tcW w:w="1370" w:type="dxa"/>
            <w:tcBorders>
              <w:top w:val="single" w:sz="6"/>
              <w:left w:val="single" w:sz="6"/>
              <w:bottom w:val="single" w:sz="6"/>
              <w:right w:val="single" w:sz="6"/>
            </w:tcBorders>
            <w:tcMar/>
            <w:vAlign w:val="bottom"/>
          </w:tcPr>
          <w:p w:rsidR="7C2F16DA" w:rsidP="7C2F16DA" w:rsidRDefault="7C2F16DA" w14:paraId="06FC4440" w14:textId="41CCE658">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0.14</w:t>
            </w:r>
          </w:p>
        </w:tc>
        <w:tc>
          <w:tcPr>
            <w:tcW w:w="1502" w:type="dxa"/>
            <w:tcBorders>
              <w:top w:val="single" w:sz="6"/>
              <w:left w:val="single" w:sz="6"/>
              <w:bottom w:val="single" w:sz="6"/>
              <w:right w:val="single" w:sz="6"/>
            </w:tcBorders>
            <w:tcMar/>
            <w:vAlign w:val="bottom"/>
          </w:tcPr>
          <w:p w:rsidR="7C2F16DA" w:rsidP="7C2F16DA" w:rsidRDefault="7C2F16DA" w14:paraId="7616537F" w14:textId="4E225334">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0.26</w:t>
            </w:r>
          </w:p>
        </w:tc>
        <w:tc>
          <w:tcPr>
            <w:tcW w:w="1268" w:type="dxa"/>
            <w:tcBorders>
              <w:top w:val="single" w:sz="6"/>
              <w:left w:val="single" w:sz="6"/>
              <w:bottom w:val="single" w:sz="6"/>
              <w:right w:val="single" w:sz="6"/>
            </w:tcBorders>
            <w:tcMar/>
            <w:vAlign w:val="bottom"/>
          </w:tcPr>
          <w:p w:rsidR="7C2F16DA" w:rsidP="7C2F16DA" w:rsidRDefault="7C2F16DA" w14:paraId="35457CF7" w14:textId="69441206">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-0.12</w:t>
            </w:r>
          </w:p>
        </w:tc>
        <w:tc>
          <w:tcPr>
            <w:tcW w:w="1370" w:type="dxa"/>
            <w:tcBorders>
              <w:top w:val="single" w:sz="6"/>
              <w:left w:val="single" w:sz="6"/>
              <w:bottom w:val="single" w:sz="6"/>
              <w:right w:val="single" w:sz="6"/>
            </w:tcBorders>
            <w:tcMar/>
            <w:vAlign w:val="bottom"/>
          </w:tcPr>
          <w:p w:rsidR="7C2F16DA" w:rsidP="7C2F16DA" w:rsidRDefault="7C2F16DA" w14:paraId="2409B46F" w14:textId="57C67845">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-47%</w:t>
            </w:r>
          </w:p>
        </w:tc>
      </w:tr>
      <w:tr w:rsidR="7C2F16DA" w:rsidTr="7C2F16DA" w14:paraId="70486CD0">
        <w:trPr>
          <w:trHeight w:val="330"/>
        </w:trPr>
        <w:tc>
          <w:tcPr>
            <w:tcW w:w="3849" w:type="dxa"/>
            <w:tcBorders>
              <w:top w:val="single" w:sz="6"/>
              <w:left w:val="single" w:sz="6"/>
              <w:bottom w:val="single" w:sz="6"/>
              <w:right w:val="single" w:sz="6"/>
            </w:tcBorders>
            <w:tcMar/>
            <w:vAlign w:val="center"/>
          </w:tcPr>
          <w:p w:rsidR="7C2F16DA" w:rsidP="7C2F16DA" w:rsidRDefault="7C2F16DA" w14:paraId="4E870A06" w14:textId="7AF3B3A5">
            <w:pPr>
              <w:spacing w:before="120" w:after="120" w:line="240" w:lineRule="auto"/>
              <w:jc w:val="both"/>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Operating Profit Ratio</w:t>
            </w:r>
          </w:p>
        </w:tc>
        <w:tc>
          <w:tcPr>
            <w:tcW w:w="1370" w:type="dxa"/>
            <w:tcBorders>
              <w:top w:val="single" w:sz="6"/>
              <w:left w:val="single" w:sz="6"/>
              <w:bottom w:val="single" w:sz="6"/>
              <w:right w:val="single" w:sz="6"/>
            </w:tcBorders>
            <w:tcMar/>
            <w:vAlign w:val="bottom"/>
          </w:tcPr>
          <w:p w:rsidR="7C2F16DA" w:rsidP="7C2F16DA" w:rsidRDefault="7C2F16DA" w14:paraId="50683AC6" w14:textId="342BD8B9">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-0.03</w:t>
            </w:r>
          </w:p>
        </w:tc>
        <w:tc>
          <w:tcPr>
            <w:tcW w:w="1502" w:type="dxa"/>
            <w:tcBorders>
              <w:top w:val="single" w:sz="6"/>
              <w:left w:val="single" w:sz="6"/>
              <w:bottom w:val="single" w:sz="6"/>
              <w:right w:val="single" w:sz="6"/>
            </w:tcBorders>
            <w:tcMar/>
            <w:vAlign w:val="bottom"/>
          </w:tcPr>
          <w:p w:rsidR="7C2F16DA" w:rsidP="7C2F16DA" w:rsidRDefault="7C2F16DA" w14:paraId="68757A97" w14:textId="3209184B">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0.17</w:t>
            </w:r>
          </w:p>
        </w:tc>
        <w:tc>
          <w:tcPr>
            <w:tcW w:w="1268" w:type="dxa"/>
            <w:tcBorders>
              <w:top w:val="single" w:sz="6"/>
              <w:left w:val="single" w:sz="6"/>
              <w:bottom w:val="single" w:sz="6"/>
              <w:right w:val="single" w:sz="6"/>
            </w:tcBorders>
            <w:tcMar/>
            <w:vAlign w:val="bottom"/>
          </w:tcPr>
          <w:p w:rsidR="7C2F16DA" w:rsidP="7C2F16DA" w:rsidRDefault="7C2F16DA" w14:paraId="4E95FE6A" w14:textId="603075A3">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-0.19</w:t>
            </w:r>
          </w:p>
        </w:tc>
        <w:tc>
          <w:tcPr>
            <w:tcW w:w="1370" w:type="dxa"/>
            <w:tcBorders>
              <w:top w:val="single" w:sz="6"/>
              <w:left w:val="single" w:sz="6"/>
              <w:bottom w:val="single" w:sz="6"/>
              <w:right w:val="single" w:sz="6"/>
            </w:tcBorders>
            <w:tcMar/>
            <w:vAlign w:val="bottom"/>
          </w:tcPr>
          <w:p w:rsidR="7C2F16DA" w:rsidP="7C2F16DA" w:rsidRDefault="7C2F16DA" w14:paraId="779DB813" w14:textId="3428A43C">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-117%</w:t>
            </w:r>
          </w:p>
        </w:tc>
      </w:tr>
      <w:tr w:rsidR="7C2F16DA" w:rsidTr="7C2F16DA" w14:paraId="68CD54C6">
        <w:trPr>
          <w:trHeight w:val="330"/>
        </w:trPr>
        <w:tc>
          <w:tcPr>
            <w:tcW w:w="3849" w:type="dxa"/>
            <w:tcBorders>
              <w:top w:val="single" w:sz="6"/>
              <w:left w:val="single" w:sz="6"/>
              <w:bottom w:val="single" w:sz="6"/>
              <w:right w:val="single" w:sz="6"/>
            </w:tcBorders>
            <w:tcMar/>
            <w:vAlign w:val="center"/>
          </w:tcPr>
          <w:p w:rsidR="7C2F16DA" w:rsidP="7C2F16DA" w:rsidRDefault="7C2F16DA" w14:paraId="73CFACAF" w14:textId="05E96F23">
            <w:pPr>
              <w:spacing w:before="120" w:after="120" w:line="240" w:lineRule="auto"/>
              <w:jc w:val="both"/>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Net Profit Ratio</w:t>
            </w:r>
          </w:p>
        </w:tc>
        <w:tc>
          <w:tcPr>
            <w:tcW w:w="1370" w:type="dxa"/>
            <w:tcBorders>
              <w:top w:val="single" w:sz="6"/>
              <w:left w:val="single" w:sz="6"/>
              <w:bottom w:val="single" w:sz="6"/>
              <w:right w:val="single" w:sz="6"/>
            </w:tcBorders>
            <w:tcMar/>
            <w:vAlign w:val="bottom"/>
          </w:tcPr>
          <w:p w:rsidR="7C2F16DA" w:rsidP="7C2F16DA" w:rsidRDefault="7C2F16DA" w14:paraId="7711D889" w14:textId="7AB0260B">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-0.17</w:t>
            </w:r>
          </w:p>
        </w:tc>
        <w:tc>
          <w:tcPr>
            <w:tcW w:w="1502" w:type="dxa"/>
            <w:tcBorders>
              <w:top w:val="single" w:sz="6"/>
              <w:left w:val="single" w:sz="6"/>
              <w:bottom w:val="single" w:sz="6"/>
              <w:right w:val="single" w:sz="6"/>
            </w:tcBorders>
            <w:tcMar/>
            <w:vAlign w:val="bottom"/>
          </w:tcPr>
          <w:p w:rsidR="7C2F16DA" w:rsidP="7C2F16DA" w:rsidRDefault="7C2F16DA" w14:paraId="56447EFB" w14:textId="03A542D2">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0.09</w:t>
            </w:r>
          </w:p>
        </w:tc>
        <w:tc>
          <w:tcPr>
            <w:tcW w:w="1268" w:type="dxa"/>
            <w:tcBorders>
              <w:top w:val="single" w:sz="6"/>
              <w:left w:val="single" w:sz="6"/>
              <w:bottom w:val="single" w:sz="6"/>
              <w:right w:val="single" w:sz="6"/>
            </w:tcBorders>
            <w:tcMar/>
            <w:vAlign w:val="bottom"/>
          </w:tcPr>
          <w:p w:rsidR="7C2F16DA" w:rsidP="7C2F16DA" w:rsidRDefault="7C2F16DA" w14:paraId="14BF04E0" w14:textId="693B8308">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-0.26</w:t>
            </w:r>
          </w:p>
        </w:tc>
        <w:tc>
          <w:tcPr>
            <w:tcW w:w="1370" w:type="dxa"/>
            <w:tcBorders>
              <w:top w:val="single" w:sz="6"/>
              <w:left w:val="single" w:sz="6"/>
              <w:bottom w:val="single" w:sz="6"/>
              <w:right w:val="single" w:sz="6"/>
            </w:tcBorders>
            <w:tcMar/>
            <w:vAlign w:val="bottom"/>
          </w:tcPr>
          <w:p w:rsidR="7C2F16DA" w:rsidP="7C2F16DA" w:rsidRDefault="7C2F16DA" w14:paraId="1427FED7" w14:textId="0289A4AF">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-278%</w:t>
            </w:r>
          </w:p>
        </w:tc>
      </w:tr>
      <w:tr w:rsidR="7C2F16DA" w:rsidTr="7C2F16DA" w14:paraId="4E3363AD">
        <w:trPr>
          <w:trHeight w:val="330"/>
        </w:trPr>
        <w:tc>
          <w:tcPr>
            <w:tcW w:w="3849" w:type="dxa"/>
            <w:tcBorders>
              <w:top w:val="single" w:sz="6"/>
              <w:left w:val="single" w:sz="6"/>
              <w:bottom w:val="single" w:sz="6"/>
              <w:right w:val="single" w:sz="6"/>
            </w:tcBorders>
            <w:tcMar/>
            <w:vAlign w:val="center"/>
          </w:tcPr>
          <w:p w:rsidR="7C2F16DA" w:rsidP="7C2F16DA" w:rsidRDefault="7C2F16DA" w14:paraId="49D7FF2B" w14:textId="58AB17C1">
            <w:pPr>
              <w:spacing w:before="120" w:after="120" w:line="240" w:lineRule="auto"/>
              <w:jc w:val="both"/>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Interest Coverage Ratio</w:t>
            </w:r>
          </w:p>
        </w:tc>
        <w:tc>
          <w:tcPr>
            <w:tcW w:w="1370" w:type="dxa"/>
            <w:tcBorders>
              <w:top w:val="single" w:sz="6"/>
              <w:left w:val="single" w:sz="6"/>
              <w:bottom w:val="single" w:sz="6"/>
              <w:right w:val="single" w:sz="6"/>
            </w:tcBorders>
            <w:tcMar/>
            <w:vAlign w:val="bottom"/>
          </w:tcPr>
          <w:p w:rsidR="7C2F16DA" w:rsidP="7C2F16DA" w:rsidRDefault="7C2F16DA" w14:paraId="415BBB3B" w14:textId="50BC6D86">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-0.28</w:t>
            </w:r>
          </w:p>
        </w:tc>
        <w:tc>
          <w:tcPr>
            <w:tcW w:w="1502" w:type="dxa"/>
            <w:tcBorders>
              <w:top w:val="single" w:sz="6"/>
              <w:left w:val="single" w:sz="6"/>
              <w:bottom w:val="single" w:sz="6"/>
              <w:right w:val="single" w:sz="6"/>
            </w:tcBorders>
            <w:tcMar/>
            <w:vAlign w:val="bottom"/>
          </w:tcPr>
          <w:p w:rsidR="7C2F16DA" w:rsidP="7C2F16DA" w:rsidRDefault="7C2F16DA" w14:paraId="13E7AC3C" w14:textId="7371D126">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3.81</w:t>
            </w:r>
          </w:p>
        </w:tc>
        <w:tc>
          <w:tcPr>
            <w:tcW w:w="1268" w:type="dxa"/>
            <w:tcBorders>
              <w:top w:val="single" w:sz="6"/>
              <w:left w:val="single" w:sz="6"/>
              <w:bottom w:val="single" w:sz="6"/>
              <w:right w:val="single" w:sz="6"/>
            </w:tcBorders>
            <w:tcMar/>
            <w:vAlign w:val="bottom"/>
          </w:tcPr>
          <w:p w:rsidR="7C2F16DA" w:rsidP="7C2F16DA" w:rsidRDefault="7C2F16DA" w14:paraId="24DAB0D2" w14:textId="7D870648">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-4.08</w:t>
            </w:r>
          </w:p>
        </w:tc>
        <w:tc>
          <w:tcPr>
            <w:tcW w:w="1370" w:type="dxa"/>
            <w:tcBorders>
              <w:top w:val="single" w:sz="6"/>
              <w:left w:val="single" w:sz="6"/>
              <w:bottom w:val="single" w:sz="6"/>
              <w:right w:val="single" w:sz="6"/>
            </w:tcBorders>
            <w:tcMar/>
            <w:vAlign w:val="bottom"/>
          </w:tcPr>
          <w:p w:rsidR="7C2F16DA" w:rsidP="7C2F16DA" w:rsidRDefault="7C2F16DA" w14:paraId="183CE80B" w14:textId="68CDE4B1">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-107%</w:t>
            </w:r>
          </w:p>
        </w:tc>
      </w:tr>
    </w:tbl>
    <w:p xmlns:wp14="http://schemas.microsoft.com/office/word/2010/wordml" w:rsidP="7C2F16DA" w14:paraId="27A555E9" wp14:textId="294CFC1D">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tbl>
      <w:tblPr>
        <w:tblStyle w:val="TableNormal"/>
        <w:tblW w:w="0" w:type="auto"/>
        <w:tblLayout w:type="fixed"/>
        <w:tblLook w:val="04A0" w:firstRow="1" w:lastRow="0" w:firstColumn="1" w:lastColumn="0" w:noHBand="0" w:noVBand="1"/>
      </w:tblPr>
      <w:tblGrid>
        <w:gridCol w:w="3589"/>
        <w:gridCol w:w="1509"/>
        <w:gridCol w:w="1509"/>
        <w:gridCol w:w="1333"/>
        <w:gridCol w:w="1421"/>
      </w:tblGrid>
      <w:tr w:rsidR="7C2F16DA" w:rsidTr="7C2F16DA" w14:paraId="6D6BA8AF">
        <w:trPr>
          <w:trHeight w:val="360"/>
        </w:trPr>
        <w:tc>
          <w:tcPr>
            <w:tcW w:w="9361" w:type="dxa"/>
            <w:gridSpan w:val="5"/>
            <w:tcBorders>
              <w:top w:val="single" w:sz="6"/>
              <w:left w:val="single" w:sz="6"/>
              <w:bottom w:val="nil"/>
              <w:right w:val="single" w:sz="6"/>
            </w:tcBorders>
            <w:shd w:val="clear" w:color="auto" w:fill="3A3838"/>
            <w:tcMar/>
            <w:vAlign w:val="bottom"/>
          </w:tcPr>
          <w:p w:rsidR="7C2F16DA" w:rsidP="7C2F16DA" w:rsidRDefault="7C2F16DA" w14:paraId="5E6001A7" w14:textId="53A940EE">
            <w:pPr>
              <w:spacing w:before="120" w:after="120" w:line="240" w:lineRule="auto"/>
              <w:jc w:val="center"/>
              <w:rPr>
                <w:rFonts w:ascii="Arial" w:hAnsi="Arial" w:eastAsia="Arial" w:cs="Arial"/>
                <w:b w:val="0"/>
                <w:bCs w:val="0"/>
                <w:i w:val="0"/>
                <w:iCs w:val="0"/>
                <w:color w:val="FFFFFF" w:themeColor="background1" w:themeTint="FF" w:themeShade="FF"/>
                <w:sz w:val="28"/>
                <w:szCs w:val="28"/>
              </w:rPr>
            </w:pPr>
            <w:r w:rsidRPr="7C2F16DA" w:rsidR="7C2F16DA">
              <w:rPr>
                <w:rFonts w:ascii="Arial" w:hAnsi="Arial" w:eastAsia="Arial" w:cs="Arial"/>
                <w:b w:val="1"/>
                <w:bCs w:val="1"/>
                <w:i w:val="0"/>
                <w:iCs w:val="0"/>
                <w:color w:val="FFFFFF" w:themeColor="background1" w:themeTint="FF" w:themeShade="FF"/>
                <w:sz w:val="28"/>
                <w:szCs w:val="28"/>
                <w:lang w:val="en-IN"/>
              </w:rPr>
              <w:t>Horizontal Analysis</w:t>
            </w:r>
          </w:p>
        </w:tc>
      </w:tr>
      <w:tr w:rsidR="7C2F16DA" w:rsidTr="7C2F16DA" w14:paraId="2D8306D3">
        <w:trPr>
          <w:trHeight w:val="315"/>
        </w:trPr>
        <w:tc>
          <w:tcPr>
            <w:tcW w:w="9361" w:type="dxa"/>
            <w:gridSpan w:val="5"/>
            <w:tcBorders>
              <w:top w:val="nil" w:sz="6"/>
              <w:left w:val="single" w:sz="6"/>
              <w:bottom w:val="nil"/>
              <w:right w:val="single" w:sz="6"/>
            </w:tcBorders>
            <w:shd w:val="clear" w:color="auto" w:fill="AEAAAA" w:themeFill="background2" w:themeFillShade="BF"/>
            <w:tcMar/>
            <w:vAlign w:val="bottom"/>
          </w:tcPr>
          <w:p w:rsidR="7C2F16DA" w:rsidP="7C2F16DA" w:rsidRDefault="7C2F16DA" w14:paraId="130519CD" w14:textId="6D21DC62">
            <w:pPr>
              <w:spacing w:before="120" w:after="120" w:line="240" w:lineRule="auto"/>
              <w:jc w:val="center"/>
              <w:rPr>
                <w:rFonts w:ascii="Arial" w:hAnsi="Arial" w:eastAsia="Arial" w:cs="Arial"/>
                <w:b w:val="0"/>
                <w:bCs w:val="0"/>
                <w:i w:val="0"/>
                <w:iCs w:val="0"/>
                <w:sz w:val="24"/>
                <w:szCs w:val="24"/>
              </w:rPr>
            </w:pPr>
            <w:r w:rsidRPr="7C2F16DA" w:rsidR="7C2F16DA">
              <w:rPr>
                <w:rFonts w:ascii="Arial" w:hAnsi="Arial" w:eastAsia="Arial" w:cs="Arial"/>
                <w:b w:val="1"/>
                <w:bCs w:val="1"/>
                <w:i w:val="0"/>
                <w:iCs w:val="0"/>
                <w:sz w:val="24"/>
                <w:szCs w:val="24"/>
                <w:lang w:val="en-IN"/>
              </w:rPr>
              <w:t>Hilton Worldwide Holding Inc</w:t>
            </w:r>
          </w:p>
        </w:tc>
      </w:tr>
      <w:tr w:rsidR="7C2F16DA" w:rsidTr="7C2F16DA" w14:paraId="13F9E9A6">
        <w:trPr>
          <w:trHeight w:val="270"/>
        </w:trPr>
        <w:tc>
          <w:tcPr>
            <w:tcW w:w="3589" w:type="dxa"/>
            <w:tcBorders>
              <w:top w:val="nil"/>
              <w:left w:val="single" w:sz="6"/>
              <w:bottom w:val="nil"/>
              <w:right w:val="nil" w:sz="6"/>
            </w:tcBorders>
            <w:shd w:val="clear" w:color="auto" w:fill="3A3838"/>
            <w:tcMar/>
            <w:vAlign w:val="center"/>
          </w:tcPr>
          <w:p w:rsidR="7C2F16DA" w:rsidP="7C2F16DA" w:rsidRDefault="7C2F16DA" w14:paraId="5FE91E79" w14:textId="458CB931">
            <w:pPr>
              <w:spacing w:before="120" w:after="120" w:line="240" w:lineRule="auto"/>
              <w:jc w:val="left"/>
              <w:rPr>
                <w:rFonts w:ascii="Arial" w:hAnsi="Arial" w:eastAsia="Arial" w:cs="Arial"/>
                <w:b w:val="0"/>
                <w:bCs w:val="0"/>
                <w:i w:val="0"/>
                <w:iCs w:val="0"/>
                <w:color w:val="FFFFFF" w:themeColor="background1" w:themeTint="FF" w:themeShade="FF"/>
                <w:sz w:val="24"/>
                <w:szCs w:val="24"/>
              </w:rPr>
            </w:pPr>
            <w:r w:rsidRPr="7C2F16DA" w:rsidR="7C2F16DA">
              <w:rPr>
                <w:rFonts w:ascii="Arial" w:hAnsi="Arial" w:eastAsia="Arial" w:cs="Arial"/>
                <w:b w:val="1"/>
                <w:bCs w:val="1"/>
                <w:i w:val="0"/>
                <w:iCs w:val="0"/>
                <w:color w:val="FFFFFF" w:themeColor="background1" w:themeTint="FF" w:themeShade="FF"/>
                <w:sz w:val="24"/>
                <w:szCs w:val="24"/>
                <w:lang w:val="en-IN"/>
              </w:rPr>
              <w:t>Balance Sheet</w:t>
            </w:r>
          </w:p>
        </w:tc>
        <w:tc>
          <w:tcPr>
            <w:tcW w:w="1509" w:type="dxa"/>
            <w:tcBorders>
              <w:top w:val="nil"/>
              <w:left w:val="nil"/>
              <w:bottom w:val="nil"/>
              <w:right w:val="nil"/>
            </w:tcBorders>
            <w:shd w:val="clear" w:color="auto" w:fill="3A3838"/>
            <w:tcMar/>
            <w:vAlign w:val="center"/>
          </w:tcPr>
          <w:p w:rsidR="7C2F16DA" w:rsidP="7C2F16DA" w:rsidRDefault="7C2F16DA" w14:paraId="5461F788" w14:textId="3B2CB52A">
            <w:pPr>
              <w:spacing w:before="120" w:after="120" w:line="240" w:lineRule="auto"/>
              <w:jc w:val="right"/>
              <w:rPr>
                <w:rFonts w:ascii="Arial" w:hAnsi="Arial" w:eastAsia="Arial" w:cs="Arial"/>
                <w:b w:val="0"/>
                <w:bCs w:val="0"/>
                <w:i w:val="0"/>
                <w:iCs w:val="0"/>
                <w:color w:val="FFFFFF" w:themeColor="background1" w:themeTint="FF" w:themeShade="FF"/>
                <w:sz w:val="24"/>
                <w:szCs w:val="24"/>
              </w:rPr>
            </w:pPr>
            <w:r w:rsidRPr="7C2F16DA" w:rsidR="7C2F16DA">
              <w:rPr>
                <w:rFonts w:ascii="Arial" w:hAnsi="Arial" w:eastAsia="Arial" w:cs="Arial"/>
                <w:b w:val="1"/>
                <w:bCs w:val="1"/>
                <w:i w:val="0"/>
                <w:iCs w:val="0"/>
                <w:color w:val="FFFFFF" w:themeColor="background1" w:themeTint="FF" w:themeShade="FF"/>
                <w:sz w:val="24"/>
                <w:szCs w:val="24"/>
                <w:lang w:val="en-IN"/>
              </w:rPr>
              <w:t>2020</w:t>
            </w:r>
          </w:p>
        </w:tc>
        <w:tc>
          <w:tcPr>
            <w:tcW w:w="1509" w:type="dxa"/>
            <w:tcBorders>
              <w:top w:val="nil"/>
              <w:left w:val="nil"/>
              <w:bottom w:val="nil"/>
              <w:right w:val="nil"/>
            </w:tcBorders>
            <w:shd w:val="clear" w:color="auto" w:fill="3A3838"/>
            <w:tcMar/>
            <w:vAlign w:val="center"/>
          </w:tcPr>
          <w:p w:rsidR="7C2F16DA" w:rsidP="7C2F16DA" w:rsidRDefault="7C2F16DA" w14:paraId="4FDD1F59" w14:textId="2B359CD8">
            <w:pPr>
              <w:spacing w:before="120" w:after="120" w:line="240" w:lineRule="auto"/>
              <w:jc w:val="right"/>
              <w:rPr>
                <w:rFonts w:ascii="Arial" w:hAnsi="Arial" w:eastAsia="Arial" w:cs="Arial"/>
                <w:b w:val="0"/>
                <w:bCs w:val="0"/>
                <w:i w:val="0"/>
                <w:iCs w:val="0"/>
                <w:color w:val="FFFFFF" w:themeColor="background1" w:themeTint="FF" w:themeShade="FF"/>
                <w:sz w:val="24"/>
                <w:szCs w:val="24"/>
              </w:rPr>
            </w:pPr>
            <w:r w:rsidRPr="7C2F16DA" w:rsidR="7C2F16DA">
              <w:rPr>
                <w:rFonts w:ascii="Arial" w:hAnsi="Arial" w:eastAsia="Arial" w:cs="Arial"/>
                <w:b w:val="1"/>
                <w:bCs w:val="1"/>
                <w:i w:val="0"/>
                <w:iCs w:val="0"/>
                <w:color w:val="FFFFFF" w:themeColor="background1" w:themeTint="FF" w:themeShade="FF"/>
                <w:sz w:val="24"/>
                <w:szCs w:val="24"/>
                <w:lang w:val="en-IN"/>
              </w:rPr>
              <w:t>2019</w:t>
            </w:r>
          </w:p>
        </w:tc>
        <w:tc>
          <w:tcPr>
            <w:tcW w:w="1333" w:type="dxa"/>
            <w:tcBorders>
              <w:top w:val="nil"/>
              <w:left w:val="nil"/>
              <w:bottom w:val="nil"/>
              <w:right w:val="nil"/>
            </w:tcBorders>
            <w:shd w:val="clear" w:color="auto" w:fill="3A3838"/>
            <w:tcMar/>
            <w:vAlign w:val="center"/>
          </w:tcPr>
          <w:p w:rsidR="7C2F16DA" w:rsidP="7C2F16DA" w:rsidRDefault="7C2F16DA" w14:paraId="456C9185" w14:textId="08D2EA7F">
            <w:pPr>
              <w:spacing w:before="120" w:after="120" w:line="240" w:lineRule="auto"/>
              <w:jc w:val="right"/>
              <w:rPr>
                <w:rFonts w:ascii="Arial" w:hAnsi="Arial" w:eastAsia="Arial" w:cs="Arial"/>
                <w:b w:val="0"/>
                <w:bCs w:val="0"/>
                <w:i w:val="0"/>
                <w:iCs w:val="0"/>
                <w:color w:val="FFFFFF" w:themeColor="background1" w:themeTint="FF" w:themeShade="FF"/>
                <w:sz w:val="24"/>
                <w:szCs w:val="24"/>
              </w:rPr>
            </w:pPr>
            <w:r w:rsidRPr="7C2F16DA" w:rsidR="7C2F16DA">
              <w:rPr>
                <w:rFonts w:ascii="Arial" w:hAnsi="Arial" w:eastAsia="Arial" w:cs="Arial"/>
                <w:b w:val="1"/>
                <w:bCs w:val="1"/>
                <w:i w:val="0"/>
                <w:iCs w:val="0"/>
                <w:color w:val="FFFFFF" w:themeColor="background1" w:themeTint="FF" w:themeShade="FF"/>
                <w:sz w:val="24"/>
                <w:szCs w:val="24"/>
                <w:lang w:val="en-IN"/>
              </w:rPr>
              <w:t>Change</w:t>
            </w:r>
          </w:p>
        </w:tc>
        <w:tc>
          <w:tcPr>
            <w:tcW w:w="1421" w:type="dxa"/>
            <w:tcBorders>
              <w:top w:val="nil"/>
              <w:left w:val="nil"/>
              <w:bottom w:val="nil"/>
              <w:right w:val="single" w:sz="6"/>
            </w:tcBorders>
            <w:shd w:val="clear" w:color="auto" w:fill="3A3838"/>
            <w:tcMar/>
            <w:vAlign w:val="center"/>
          </w:tcPr>
          <w:p w:rsidR="7C2F16DA" w:rsidP="7C2F16DA" w:rsidRDefault="7C2F16DA" w14:paraId="04AC08CE" w14:textId="573977D9">
            <w:pPr>
              <w:spacing w:before="120" w:after="120" w:line="240" w:lineRule="auto"/>
              <w:jc w:val="right"/>
              <w:rPr>
                <w:rFonts w:ascii="Arial" w:hAnsi="Arial" w:eastAsia="Arial" w:cs="Arial"/>
                <w:b w:val="0"/>
                <w:bCs w:val="0"/>
                <w:i w:val="0"/>
                <w:iCs w:val="0"/>
                <w:color w:val="FFFFFF" w:themeColor="background1" w:themeTint="FF" w:themeShade="FF"/>
                <w:sz w:val="24"/>
                <w:szCs w:val="24"/>
              </w:rPr>
            </w:pPr>
            <w:r w:rsidRPr="7C2F16DA" w:rsidR="7C2F16DA">
              <w:rPr>
                <w:rFonts w:ascii="Arial" w:hAnsi="Arial" w:eastAsia="Arial" w:cs="Arial"/>
                <w:b w:val="1"/>
                <w:bCs w:val="1"/>
                <w:i w:val="0"/>
                <w:iCs w:val="0"/>
                <w:color w:val="FFFFFF" w:themeColor="background1" w:themeTint="FF" w:themeShade="FF"/>
                <w:sz w:val="24"/>
                <w:szCs w:val="24"/>
                <w:lang w:val="en-IN"/>
              </w:rPr>
              <w:t>% Change</w:t>
            </w:r>
          </w:p>
        </w:tc>
      </w:tr>
      <w:tr w:rsidR="7C2F16DA" w:rsidTr="7C2F16DA" w14:paraId="79832990">
        <w:trPr>
          <w:trHeight w:val="270"/>
        </w:trPr>
        <w:tc>
          <w:tcPr>
            <w:tcW w:w="3589" w:type="dxa"/>
            <w:tcBorders>
              <w:top w:val="single" w:sz="6"/>
              <w:left w:val="single" w:sz="6"/>
              <w:bottom w:val="single" w:sz="6"/>
              <w:right w:val="single" w:sz="6"/>
            </w:tcBorders>
            <w:tcMar/>
            <w:vAlign w:val="center"/>
          </w:tcPr>
          <w:p w:rsidR="7C2F16DA" w:rsidP="7C2F16DA" w:rsidRDefault="7C2F16DA" w14:paraId="0E6FA14D" w14:textId="45F56264">
            <w:pPr>
              <w:spacing w:before="120" w:after="120" w:line="240" w:lineRule="auto"/>
              <w:jc w:val="both"/>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Current Asset</w:t>
            </w:r>
          </w:p>
        </w:tc>
        <w:tc>
          <w:tcPr>
            <w:tcW w:w="1509" w:type="dxa"/>
            <w:tcBorders>
              <w:top w:val="single" w:sz="6"/>
              <w:left w:val="single" w:sz="6"/>
              <w:bottom w:val="single" w:sz="6"/>
              <w:right w:val="single" w:sz="6"/>
            </w:tcBorders>
            <w:tcMar/>
            <w:vAlign w:val="center"/>
          </w:tcPr>
          <w:p w:rsidR="7C2F16DA" w:rsidP="7C2F16DA" w:rsidRDefault="7C2F16DA" w14:paraId="0CC63B9B" w14:textId="224B0C5D">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42,02,000</w:t>
            </w:r>
          </w:p>
        </w:tc>
        <w:tc>
          <w:tcPr>
            <w:tcW w:w="1509" w:type="dxa"/>
            <w:tcBorders>
              <w:top w:val="single" w:sz="6"/>
              <w:left w:val="single" w:sz="6"/>
              <w:bottom w:val="single" w:sz="6"/>
              <w:right w:val="single" w:sz="6"/>
            </w:tcBorders>
            <w:tcMar/>
            <w:vAlign w:val="center"/>
          </w:tcPr>
          <w:p w:rsidR="7C2F16DA" w:rsidP="7C2F16DA" w:rsidRDefault="7C2F16DA" w14:paraId="7B0B2322" w14:textId="1DF9391A">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20,93,000</w:t>
            </w:r>
          </w:p>
        </w:tc>
        <w:tc>
          <w:tcPr>
            <w:tcW w:w="1333" w:type="dxa"/>
            <w:tcBorders>
              <w:top w:val="single" w:sz="6"/>
              <w:left w:val="single" w:sz="6"/>
              <w:bottom w:val="single" w:sz="6"/>
              <w:right w:val="single" w:sz="6"/>
            </w:tcBorders>
            <w:tcMar/>
            <w:vAlign w:val="bottom"/>
          </w:tcPr>
          <w:p w:rsidR="7C2F16DA" w:rsidP="7C2F16DA" w:rsidRDefault="7C2F16DA" w14:paraId="3B7AC517" w14:textId="29C0ED9B">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21,09,000</w:t>
            </w:r>
          </w:p>
        </w:tc>
        <w:tc>
          <w:tcPr>
            <w:tcW w:w="1421" w:type="dxa"/>
            <w:tcBorders>
              <w:top w:val="single" w:sz="6"/>
              <w:left w:val="single" w:sz="6"/>
              <w:bottom w:val="single" w:sz="6"/>
              <w:right w:val="single" w:sz="6"/>
            </w:tcBorders>
            <w:tcMar/>
            <w:vAlign w:val="bottom"/>
          </w:tcPr>
          <w:p w:rsidR="7C2F16DA" w:rsidP="7C2F16DA" w:rsidRDefault="7C2F16DA" w14:paraId="15B89419" w14:textId="27FAD7E7">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101%</w:t>
            </w:r>
          </w:p>
        </w:tc>
      </w:tr>
      <w:tr w:rsidR="7C2F16DA" w:rsidTr="7C2F16DA" w14:paraId="1DB60CF0">
        <w:trPr>
          <w:trHeight w:val="270"/>
        </w:trPr>
        <w:tc>
          <w:tcPr>
            <w:tcW w:w="3589" w:type="dxa"/>
            <w:tcBorders>
              <w:top w:val="single" w:sz="6"/>
              <w:left w:val="single" w:sz="6"/>
              <w:bottom w:val="single" w:sz="6"/>
              <w:right w:val="single" w:sz="6"/>
            </w:tcBorders>
            <w:tcMar/>
            <w:vAlign w:val="center"/>
          </w:tcPr>
          <w:p w:rsidR="7C2F16DA" w:rsidP="7C2F16DA" w:rsidRDefault="7C2F16DA" w14:paraId="3A4F83C5" w14:textId="630CEF31">
            <w:pPr>
              <w:spacing w:before="120" w:after="120" w:line="240" w:lineRule="auto"/>
              <w:jc w:val="both"/>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Non-Current Asset</w:t>
            </w:r>
          </w:p>
        </w:tc>
        <w:tc>
          <w:tcPr>
            <w:tcW w:w="1509" w:type="dxa"/>
            <w:tcBorders>
              <w:top w:val="single" w:sz="6"/>
              <w:left w:val="single" w:sz="6"/>
              <w:bottom w:val="single" w:sz="6"/>
              <w:right w:val="single" w:sz="6"/>
            </w:tcBorders>
            <w:tcMar/>
            <w:vAlign w:val="center"/>
          </w:tcPr>
          <w:p w:rsidR="7C2F16DA" w:rsidP="7C2F16DA" w:rsidRDefault="7C2F16DA" w14:paraId="79C1E3A3" w14:textId="603CB85F">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1,58,10,000</w:t>
            </w:r>
          </w:p>
        </w:tc>
        <w:tc>
          <w:tcPr>
            <w:tcW w:w="1509" w:type="dxa"/>
            <w:tcBorders>
              <w:top w:val="single" w:sz="6"/>
              <w:left w:val="single" w:sz="6"/>
              <w:bottom w:val="single" w:sz="6"/>
              <w:right w:val="single" w:sz="6"/>
            </w:tcBorders>
            <w:tcMar/>
            <w:vAlign w:val="center"/>
          </w:tcPr>
          <w:p w:rsidR="7C2F16DA" w:rsidP="7C2F16DA" w:rsidRDefault="7C2F16DA" w14:paraId="2205D5D1" w14:textId="74965865">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1,25,58,000</w:t>
            </w:r>
          </w:p>
        </w:tc>
        <w:tc>
          <w:tcPr>
            <w:tcW w:w="1333" w:type="dxa"/>
            <w:tcBorders>
              <w:top w:val="single" w:sz="6"/>
              <w:left w:val="single" w:sz="6"/>
              <w:bottom w:val="single" w:sz="6"/>
              <w:right w:val="single" w:sz="6"/>
            </w:tcBorders>
            <w:tcMar/>
            <w:vAlign w:val="bottom"/>
          </w:tcPr>
          <w:p w:rsidR="7C2F16DA" w:rsidP="7C2F16DA" w:rsidRDefault="7C2F16DA" w14:paraId="644A595F" w14:textId="16A371BB">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32,52,000</w:t>
            </w:r>
          </w:p>
        </w:tc>
        <w:tc>
          <w:tcPr>
            <w:tcW w:w="1421" w:type="dxa"/>
            <w:tcBorders>
              <w:top w:val="single" w:sz="6"/>
              <w:left w:val="single" w:sz="6"/>
              <w:bottom w:val="single" w:sz="6"/>
              <w:right w:val="single" w:sz="6"/>
            </w:tcBorders>
            <w:tcMar/>
            <w:vAlign w:val="bottom"/>
          </w:tcPr>
          <w:p w:rsidR="7C2F16DA" w:rsidP="7C2F16DA" w:rsidRDefault="7C2F16DA" w14:paraId="57672272" w14:textId="2EC32636">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26%</w:t>
            </w:r>
          </w:p>
        </w:tc>
      </w:tr>
      <w:tr w:rsidR="7C2F16DA" w:rsidTr="7C2F16DA" w14:paraId="36A389A5">
        <w:trPr>
          <w:trHeight w:val="270"/>
        </w:trPr>
        <w:tc>
          <w:tcPr>
            <w:tcW w:w="3589" w:type="dxa"/>
            <w:tcBorders>
              <w:top w:val="single" w:sz="6"/>
              <w:left w:val="single" w:sz="6"/>
              <w:bottom w:val="single" w:sz="6"/>
              <w:right w:val="single" w:sz="6"/>
            </w:tcBorders>
            <w:tcMar/>
            <w:vAlign w:val="center"/>
          </w:tcPr>
          <w:p w:rsidR="7C2F16DA" w:rsidP="7C2F16DA" w:rsidRDefault="7C2F16DA" w14:paraId="053FBB53" w14:textId="053EA7D3">
            <w:pPr>
              <w:spacing w:before="120" w:after="120" w:line="240" w:lineRule="auto"/>
              <w:jc w:val="both"/>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Total Asset</w:t>
            </w:r>
          </w:p>
        </w:tc>
        <w:tc>
          <w:tcPr>
            <w:tcW w:w="1509" w:type="dxa"/>
            <w:tcBorders>
              <w:top w:val="single" w:sz="6"/>
              <w:left w:val="single" w:sz="6"/>
              <w:bottom w:val="single" w:sz="6"/>
              <w:right w:val="single" w:sz="6"/>
            </w:tcBorders>
            <w:tcMar/>
            <w:vAlign w:val="center"/>
          </w:tcPr>
          <w:p w:rsidR="7C2F16DA" w:rsidP="7C2F16DA" w:rsidRDefault="7C2F16DA" w14:paraId="749726C8" w14:textId="49B3D463">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1,67,55,000</w:t>
            </w:r>
          </w:p>
        </w:tc>
        <w:tc>
          <w:tcPr>
            <w:tcW w:w="1509" w:type="dxa"/>
            <w:tcBorders>
              <w:top w:val="single" w:sz="6"/>
              <w:left w:val="single" w:sz="6"/>
              <w:bottom w:val="single" w:sz="6"/>
              <w:right w:val="single" w:sz="6"/>
            </w:tcBorders>
            <w:tcMar/>
            <w:vAlign w:val="center"/>
          </w:tcPr>
          <w:p w:rsidR="7C2F16DA" w:rsidP="7C2F16DA" w:rsidRDefault="7C2F16DA" w14:paraId="5C89D468" w14:textId="3C228EE4">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1,49,57,000</w:t>
            </w:r>
          </w:p>
        </w:tc>
        <w:tc>
          <w:tcPr>
            <w:tcW w:w="1333" w:type="dxa"/>
            <w:tcBorders>
              <w:top w:val="single" w:sz="6"/>
              <w:left w:val="single" w:sz="6"/>
              <w:bottom w:val="single" w:sz="6"/>
              <w:right w:val="single" w:sz="6"/>
            </w:tcBorders>
            <w:tcMar/>
            <w:vAlign w:val="bottom"/>
          </w:tcPr>
          <w:p w:rsidR="7C2F16DA" w:rsidP="7C2F16DA" w:rsidRDefault="7C2F16DA" w14:paraId="5E9F0ABE" w14:textId="18001F39">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17,98,000</w:t>
            </w:r>
          </w:p>
        </w:tc>
        <w:tc>
          <w:tcPr>
            <w:tcW w:w="1421" w:type="dxa"/>
            <w:tcBorders>
              <w:top w:val="single" w:sz="6"/>
              <w:left w:val="single" w:sz="6"/>
              <w:bottom w:val="single" w:sz="6"/>
              <w:right w:val="single" w:sz="6"/>
            </w:tcBorders>
            <w:tcMar/>
            <w:vAlign w:val="bottom"/>
          </w:tcPr>
          <w:p w:rsidR="7C2F16DA" w:rsidP="7C2F16DA" w:rsidRDefault="7C2F16DA" w14:paraId="3017626E" w14:textId="5B74B960">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12%</w:t>
            </w:r>
          </w:p>
        </w:tc>
      </w:tr>
      <w:tr w:rsidR="7C2F16DA" w:rsidTr="7C2F16DA" w14:paraId="73DDF5B1">
        <w:trPr>
          <w:trHeight w:val="270"/>
        </w:trPr>
        <w:tc>
          <w:tcPr>
            <w:tcW w:w="3589" w:type="dxa"/>
            <w:tcBorders>
              <w:top w:val="single" w:sz="6"/>
              <w:left w:val="single" w:sz="6"/>
              <w:bottom w:val="single" w:sz="6"/>
              <w:right w:val="single" w:sz="6"/>
            </w:tcBorders>
            <w:tcMar/>
            <w:vAlign w:val="center"/>
          </w:tcPr>
          <w:p w:rsidR="7C2F16DA" w:rsidP="7C2F16DA" w:rsidRDefault="7C2F16DA" w14:paraId="00A880A3" w14:textId="2BB7AD9F">
            <w:pPr>
              <w:spacing w:before="120" w:after="120" w:line="240" w:lineRule="auto"/>
              <w:jc w:val="both"/>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Current Liabilities</w:t>
            </w:r>
          </w:p>
        </w:tc>
        <w:tc>
          <w:tcPr>
            <w:tcW w:w="1509" w:type="dxa"/>
            <w:tcBorders>
              <w:top w:val="single" w:sz="6"/>
              <w:left w:val="single" w:sz="6"/>
              <w:bottom w:val="single" w:sz="6"/>
              <w:right w:val="single" w:sz="6"/>
            </w:tcBorders>
            <w:tcMar/>
            <w:vAlign w:val="center"/>
          </w:tcPr>
          <w:p w:rsidR="7C2F16DA" w:rsidP="7C2F16DA" w:rsidRDefault="7C2F16DA" w14:paraId="19B79F1A" w14:textId="036E8B27">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24,31,000</w:t>
            </w:r>
          </w:p>
        </w:tc>
        <w:tc>
          <w:tcPr>
            <w:tcW w:w="1509" w:type="dxa"/>
            <w:tcBorders>
              <w:top w:val="single" w:sz="6"/>
              <w:left w:val="single" w:sz="6"/>
              <w:bottom w:val="single" w:sz="6"/>
              <w:right w:val="single" w:sz="6"/>
            </w:tcBorders>
            <w:tcMar/>
            <w:vAlign w:val="center"/>
          </w:tcPr>
          <w:p w:rsidR="7C2F16DA" w:rsidP="7C2F16DA" w:rsidRDefault="7C2F16DA" w14:paraId="57A234B3" w14:textId="7B397ECD">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28,71,000</w:t>
            </w:r>
          </w:p>
        </w:tc>
        <w:tc>
          <w:tcPr>
            <w:tcW w:w="1333" w:type="dxa"/>
            <w:tcBorders>
              <w:top w:val="single" w:sz="6"/>
              <w:left w:val="single" w:sz="6"/>
              <w:bottom w:val="single" w:sz="6"/>
              <w:right w:val="single" w:sz="6"/>
            </w:tcBorders>
            <w:tcMar/>
            <w:vAlign w:val="bottom"/>
          </w:tcPr>
          <w:p w:rsidR="7C2F16DA" w:rsidP="7C2F16DA" w:rsidRDefault="7C2F16DA" w14:paraId="6026D93B" w14:textId="01BD3288">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-4,40,000</w:t>
            </w:r>
          </w:p>
        </w:tc>
        <w:tc>
          <w:tcPr>
            <w:tcW w:w="1421" w:type="dxa"/>
            <w:tcBorders>
              <w:top w:val="single" w:sz="6"/>
              <w:left w:val="single" w:sz="6"/>
              <w:bottom w:val="single" w:sz="6"/>
              <w:right w:val="single" w:sz="6"/>
            </w:tcBorders>
            <w:tcMar/>
            <w:vAlign w:val="bottom"/>
          </w:tcPr>
          <w:p w:rsidR="7C2F16DA" w:rsidP="7C2F16DA" w:rsidRDefault="7C2F16DA" w14:paraId="1DCA3F41" w14:textId="3661E548">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-15%</w:t>
            </w:r>
          </w:p>
        </w:tc>
      </w:tr>
      <w:tr w:rsidR="7C2F16DA" w:rsidTr="7C2F16DA" w14:paraId="7B1D767C">
        <w:trPr>
          <w:trHeight w:val="270"/>
        </w:trPr>
        <w:tc>
          <w:tcPr>
            <w:tcW w:w="3589" w:type="dxa"/>
            <w:tcBorders>
              <w:top w:val="single" w:sz="6"/>
              <w:left w:val="single" w:sz="6"/>
              <w:bottom w:val="single" w:sz="6"/>
              <w:right w:val="single" w:sz="6"/>
            </w:tcBorders>
            <w:tcMar/>
            <w:vAlign w:val="center"/>
          </w:tcPr>
          <w:p w:rsidR="7C2F16DA" w:rsidP="7C2F16DA" w:rsidRDefault="7C2F16DA" w14:paraId="6EE3C3F9" w14:textId="1A4388FC">
            <w:pPr>
              <w:spacing w:before="120" w:after="120" w:line="240" w:lineRule="auto"/>
              <w:jc w:val="both"/>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Non-current Liabilities</w:t>
            </w:r>
          </w:p>
        </w:tc>
        <w:tc>
          <w:tcPr>
            <w:tcW w:w="1509" w:type="dxa"/>
            <w:tcBorders>
              <w:top w:val="single" w:sz="6"/>
              <w:left w:val="single" w:sz="6"/>
              <w:bottom w:val="single" w:sz="6"/>
              <w:right w:val="single" w:sz="6"/>
            </w:tcBorders>
            <w:tcMar/>
            <w:vAlign w:val="center"/>
          </w:tcPr>
          <w:p w:rsidR="7C2F16DA" w:rsidP="7C2F16DA" w:rsidRDefault="7C2F16DA" w14:paraId="67B29CA8" w14:textId="17036428">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1,58,10,000</w:t>
            </w:r>
          </w:p>
        </w:tc>
        <w:tc>
          <w:tcPr>
            <w:tcW w:w="1509" w:type="dxa"/>
            <w:tcBorders>
              <w:top w:val="single" w:sz="6"/>
              <w:left w:val="single" w:sz="6"/>
              <w:bottom w:val="single" w:sz="6"/>
              <w:right w:val="single" w:sz="6"/>
            </w:tcBorders>
            <w:tcMar/>
            <w:vAlign w:val="center"/>
          </w:tcPr>
          <w:p w:rsidR="7C2F16DA" w:rsidP="7C2F16DA" w:rsidRDefault="7C2F16DA" w14:paraId="7E69B634" w14:textId="2732A60B">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1,25,58,000</w:t>
            </w:r>
          </w:p>
        </w:tc>
        <w:tc>
          <w:tcPr>
            <w:tcW w:w="1333" w:type="dxa"/>
            <w:tcBorders>
              <w:top w:val="single" w:sz="6"/>
              <w:left w:val="single" w:sz="6"/>
              <w:bottom w:val="single" w:sz="6"/>
              <w:right w:val="single" w:sz="6"/>
            </w:tcBorders>
            <w:tcMar/>
            <w:vAlign w:val="bottom"/>
          </w:tcPr>
          <w:p w:rsidR="7C2F16DA" w:rsidP="7C2F16DA" w:rsidRDefault="7C2F16DA" w14:paraId="6A0FA772" w14:textId="1F6116BD">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32,52,000</w:t>
            </w:r>
          </w:p>
        </w:tc>
        <w:tc>
          <w:tcPr>
            <w:tcW w:w="1421" w:type="dxa"/>
            <w:tcBorders>
              <w:top w:val="single" w:sz="6"/>
              <w:left w:val="single" w:sz="6"/>
              <w:bottom w:val="single" w:sz="6"/>
              <w:right w:val="single" w:sz="6"/>
            </w:tcBorders>
            <w:tcMar/>
            <w:vAlign w:val="bottom"/>
          </w:tcPr>
          <w:p w:rsidR="7C2F16DA" w:rsidP="7C2F16DA" w:rsidRDefault="7C2F16DA" w14:paraId="2CBB5A8B" w14:textId="239EA7F3">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26%</w:t>
            </w:r>
          </w:p>
        </w:tc>
      </w:tr>
      <w:tr w:rsidR="7C2F16DA" w:rsidTr="7C2F16DA" w14:paraId="1755883F">
        <w:trPr>
          <w:trHeight w:val="270"/>
        </w:trPr>
        <w:tc>
          <w:tcPr>
            <w:tcW w:w="3589" w:type="dxa"/>
            <w:tcBorders>
              <w:top w:val="single" w:sz="6"/>
              <w:left w:val="single" w:sz="6"/>
              <w:bottom w:val="single" w:sz="6"/>
              <w:right w:val="single" w:sz="6"/>
            </w:tcBorders>
            <w:tcMar/>
            <w:vAlign w:val="center"/>
          </w:tcPr>
          <w:p w:rsidR="7C2F16DA" w:rsidP="7C2F16DA" w:rsidRDefault="7C2F16DA" w14:paraId="2A62108B" w14:textId="49AF72F4">
            <w:pPr>
              <w:spacing w:before="120" w:after="120" w:line="240" w:lineRule="auto"/>
              <w:jc w:val="both"/>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Total Liabilities</w:t>
            </w:r>
          </w:p>
        </w:tc>
        <w:tc>
          <w:tcPr>
            <w:tcW w:w="1509" w:type="dxa"/>
            <w:tcBorders>
              <w:top w:val="single" w:sz="6"/>
              <w:left w:val="single" w:sz="6"/>
              <w:bottom w:val="single" w:sz="6"/>
              <w:right w:val="single" w:sz="6"/>
            </w:tcBorders>
            <w:tcMar/>
            <w:vAlign w:val="center"/>
          </w:tcPr>
          <w:p w:rsidR="7C2F16DA" w:rsidP="7C2F16DA" w:rsidRDefault="7C2F16DA" w14:paraId="79096FCF" w14:textId="7CA641D0">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1,82,41,000</w:t>
            </w:r>
          </w:p>
        </w:tc>
        <w:tc>
          <w:tcPr>
            <w:tcW w:w="1509" w:type="dxa"/>
            <w:tcBorders>
              <w:top w:val="single" w:sz="6"/>
              <w:left w:val="single" w:sz="6"/>
              <w:bottom w:val="single" w:sz="6"/>
              <w:right w:val="single" w:sz="6"/>
            </w:tcBorders>
            <w:tcMar/>
            <w:vAlign w:val="center"/>
          </w:tcPr>
          <w:p w:rsidR="7C2F16DA" w:rsidP="7C2F16DA" w:rsidRDefault="7C2F16DA" w14:paraId="5DFA59C7" w14:textId="0AF0EEE4">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1,54,29,000</w:t>
            </w:r>
          </w:p>
        </w:tc>
        <w:tc>
          <w:tcPr>
            <w:tcW w:w="1333" w:type="dxa"/>
            <w:tcBorders>
              <w:top w:val="single" w:sz="6"/>
              <w:left w:val="single" w:sz="6"/>
              <w:bottom w:val="single" w:sz="6"/>
              <w:right w:val="single" w:sz="6"/>
            </w:tcBorders>
            <w:tcMar/>
            <w:vAlign w:val="bottom"/>
          </w:tcPr>
          <w:p w:rsidR="7C2F16DA" w:rsidP="7C2F16DA" w:rsidRDefault="7C2F16DA" w14:paraId="27268B3C" w14:textId="66371674">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28,12,000</w:t>
            </w:r>
          </w:p>
        </w:tc>
        <w:tc>
          <w:tcPr>
            <w:tcW w:w="1421" w:type="dxa"/>
            <w:tcBorders>
              <w:top w:val="single" w:sz="6"/>
              <w:left w:val="single" w:sz="6"/>
              <w:bottom w:val="single" w:sz="6"/>
              <w:right w:val="single" w:sz="6"/>
            </w:tcBorders>
            <w:tcMar/>
            <w:vAlign w:val="bottom"/>
          </w:tcPr>
          <w:p w:rsidR="7C2F16DA" w:rsidP="7C2F16DA" w:rsidRDefault="7C2F16DA" w14:paraId="5637F77C" w14:textId="3E1B80C1">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18%</w:t>
            </w:r>
          </w:p>
        </w:tc>
      </w:tr>
      <w:tr w:rsidR="7C2F16DA" w:rsidTr="7C2F16DA" w14:paraId="369A86B6">
        <w:trPr>
          <w:trHeight w:val="270"/>
        </w:trPr>
        <w:tc>
          <w:tcPr>
            <w:tcW w:w="3589" w:type="dxa"/>
            <w:tcBorders>
              <w:top w:val="single" w:sz="6"/>
              <w:left w:val="single" w:sz="6"/>
              <w:bottom w:val="single" w:sz="6"/>
              <w:right w:val="single" w:sz="6"/>
            </w:tcBorders>
            <w:tcMar/>
            <w:vAlign w:val="center"/>
          </w:tcPr>
          <w:p w:rsidR="7C2F16DA" w:rsidP="7C2F16DA" w:rsidRDefault="7C2F16DA" w14:paraId="60798D7F" w14:textId="514AA4CC">
            <w:pPr>
              <w:spacing w:before="120" w:after="120" w:line="240" w:lineRule="auto"/>
              <w:jc w:val="both"/>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Common Stock</w:t>
            </w:r>
          </w:p>
        </w:tc>
        <w:tc>
          <w:tcPr>
            <w:tcW w:w="1509" w:type="dxa"/>
            <w:tcBorders>
              <w:top w:val="single" w:sz="6"/>
              <w:left w:val="single" w:sz="6"/>
              <w:bottom w:val="single" w:sz="6"/>
              <w:right w:val="single" w:sz="6"/>
            </w:tcBorders>
            <w:tcMar/>
            <w:vAlign w:val="center"/>
          </w:tcPr>
          <w:p w:rsidR="7C2F16DA" w:rsidP="7C2F16DA" w:rsidRDefault="7C2F16DA" w14:paraId="4DE182C4" w14:textId="3ECAFAF0">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3,000</w:t>
            </w:r>
          </w:p>
        </w:tc>
        <w:tc>
          <w:tcPr>
            <w:tcW w:w="1509" w:type="dxa"/>
            <w:tcBorders>
              <w:top w:val="single" w:sz="6"/>
              <w:left w:val="single" w:sz="6"/>
              <w:bottom w:val="single" w:sz="6"/>
              <w:right w:val="single" w:sz="6"/>
            </w:tcBorders>
            <w:tcMar/>
            <w:vAlign w:val="center"/>
          </w:tcPr>
          <w:p w:rsidR="7C2F16DA" w:rsidP="7C2F16DA" w:rsidRDefault="7C2F16DA" w14:paraId="68E4A8B2" w14:textId="01B4689C">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3,000</w:t>
            </w:r>
          </w:p>
        </w:tc>
        <w:tc>
          <w:tcPr>
            <w:tcW w:w="1333" w:type="dxa"/>
            <w:tcBorders>
              <w:top w:val="single" w:sz="6"/>
              <w:left w:val="single" w:sz="6"/>
              <w:bottom w:val="single" w:sz="6"/>
              <w:right w:val="single" w:sz="6"/>
            </w:tcBorders>
            <w:tcMar/>
            <w:vAlign w:val="bottom"/>
          </w:tcPr>
          <w:p w:rsidR="7C2F16DA" w:rsidP="7C2F16DA" w:rsidRDefault="7C2F16DA" w14:paraId="7BF4EADA" w14:textId="36A43E28">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0</w:t>
            </w:r>
          </w:p>
        </w:tc>
        <w:tc>
          <w:tcPr>
            <w:tcW w:w="1421" w:type="dxa"/>
            <w:tcBorders>
              <w:top w:val="single" w:sz="6"/>
              <w:left w:val="single" w:sz="6"/>
              <w:bottom w:val="single" w:sz="6"/>
              <w:right w:val="single" w:sz="6"/>
            </w:tcBorders>
            <w:tcMar/>
            <w:vAlign w:val="bottom"/>
          </w:tcPr>
          <w:p w:rsidR="7C2F16DA" w:rsidP="7C2F16DA" w:rsidRDefault="7C2F16DA" w14:paraId="2AAAC670" w14:textId="0DE581DE">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0%</w:t>
            </w:r>
          </w:p>
        </w:tc>
      </w:tr>
      <w:tr w:rsidR="7C2F16DA" w:rsidTr="7C2F16DA" w14:paraId="43A477C5">
        <w:trPr>
          <w:trHeight w:val="270"/>
        </w:trPr>
        <w:tc>
          <w:tcPr>
            <w:tcW w:w="3589" w:type="dxa"/>
            <w:tcBorders>
              <w:top w:val="single" w:sz="6"/>
              <w:left w:val="single" w:sz="6"/>
              <w:bottom w:val="single" w:sz="6"/>
              <w:right w:val="single" w:sz="6"/>
            </w:tcBorders>
            <w:tcMar/>
            <w:vAlign w:val="center"/>
          </w:tcPr>
          <w:p w:rsidR="7C2F16DA" w:rsidP="7C2F16DA" w:rsidRDefault="7C2F16DA" w14:paraId="5A1B488D" w14:textId="4F2F6980">
            <w:pPr>
              <w:spacing w:before="120" w:after="120" w:line="240" w:lineRule="auto"/>
              <w:jc w:val="both"/>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Retained Earnings</w:t>
            </w:r>
          </w:p>
        </w:tc>
        <w:tc>
          <w:tcPr>
            <w:tcW w:w="1509" w:type="dxa"/>
            <w:tcBorders>
              <w:top w:val="single" w:sz="6"/>
              <w:left w:val="single" w:sz="6"/>
              <w:bottom w:val="single" w:sz="6"/>
              <w:right w:val="single" w:sz="6"/>
            </w:tcBorders>
            <w:tcMar/>
            <w:vAlign w:val="center"/>
          </w:tcPr>
          <w:p w:rsidR="7C2F16DA" w:rsidP="7C2F16DA" w:rsidRDefault="7C2F16DA" w14:paraId="3CC9D6EE" w14:textId="765F290A">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-67,32,000</w:t>
            </w:r>
          </w:p>
        </w:tc>
        <w:tc>
          <w:tcPr>
            <w:tcW w:w="1509" w:type="dxa"/>
            <w:tcBorders>
              <w:top w:val="single" w:sz="6"/>
              <w:left w:val="single" w:sz="6"/>
              <w:bottom w:val="single" w:sz="6"/>
              <w:right w:val="single" w:sz="6"/>
            </w:tcBorders>
            <w:tcMar/>
            <w:vAlign w:val="center"/>
          </w:tcPr>
          <w:p w:rsidR="7C2F16DA" w:rsidP="7C2F16DA" w:rsidRDefault="7C2F16DA" w14:paraId="1157F200" w14:textId="3BF1F8F3">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-59,65,000</w:t>
            </w:r>
          </w:p>
        </w:tc>
        <w:tc>
          <w:tcPr>
            <w:tcW w:w="1333" w:type="dxa"/>
            <w:tcBorders>
              <w:top w:val="single" w:sz="6"/>
              <w:left w:val="single" w:sz="6"/>
              <w:bottom w:val="single" w:sz="6"/>
              <w:right w:val="single" w:sz="6"/>
            </w:tcBorders>
            <w:tcMar/>
            <w:vAlign w:val="bottom"/>
          </w:tcPr>
          <w:p w:rsidR="7C2F16DA" w:rsidP="7C2F16DA" w:rsidRDefault="7C2F16DA" w14:paraId="47348FCF" w14:textId="046303AB">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-7,67,000</w:t>
            </w:r>
          </w:p>
        </w:tc>
        <w:tc>
          <w:tcPr>
            <w:tcW w:w="1421" w:type="dxa"/>
            <w:tcBorders>
              <w:top w:val="single" w:sz="6"/>
              <w:left w:val="single" w:sz="6"/>
              <w:bottom w:val="single" w:sz="6"/>
              <w:right w:val="single" w:sz="6"/>
            </w:tcBorders>
            <w:tcMar/>
            <w:vAlign w:val="bottom"/>
          </w:tcPr>
          <w:p w:rsidR="7C2F16DA" w:rsidP="7C2F16DA" w:rsidRDefault="7C2F16DA" w14:paraId="2A1A1D75" w14:textId="33DA3094">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13%</w:t>
            </w:r>
          </w:p>
        </w:tc>
      </w:tr>
      <w:tr w:rsidR="7C2F16DA" w:rsidTr="7C2F16DA" w14:paraId="101D5DCB">
        <w:trPr>
          <w:trHeight w:val="270"/>
        </w:trPr>
        <w:tc>
          <w:tcPr>
            <w:tcW w:w="3589" w:type="dxa"/>
            <w:tcBorders>
              <w:top w:val="single" w:sz="6"/>
              <w:left w:val="single" w:sz="6"/>
              <w:bottom w:val="single" w:sz="6"/>
              <w:right w:val="single" w:sz="6"/>
            </w:tcBorders>
            <w:tcMar/>
            <w:vAlign w:val="center"/>
          </w:tcPr>
          <w:p w:rsidR="7C2F16DA" w:rsidP="7C2F16DA" w:rsidRDefault="7C2F16DA" w14:paraId="3C8BE73A" w14:textId="6ABAF382">
            <w:pPr>
              <w:spacing w:before="120" w:after="120" w:line="240" w:lineRule="auto"/>
              <w:jc w:val="both"/>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Total Stockholders' Equity</w:t>
            </w:r>
          </w:p>
        </w:tc>
        <w:tc>
          <w:tcPr>
            <w:tcW w:w="1509" w:type="dxa"/>
            <w:tcBorders>
              <w:top w:val="single" w:sz="6"/>
              <w:left w:val="single" w:sz="6"/>
              <w:bottom w:val="single" w:sz="6"/>
              <w:right w:val="single" w:sz="6"/>
            </w:tcBorders>
            <w:tcMar/>
            <w:vAlign w:val="center"/>
          </w:tcPr>
          <w:p w:rsidR="7C2F16DA" w:rsidP="7C2F16DA" w:rsidRDefault="7C2F16DA" w14:paraId="0C489605" w14:textId="7BF4465D">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-14,90,000</w:t>
            </w:r>
          </w:p>
        </w:tc>
        <w:tc>
          <w:tcPr>
            <w:tcW w:w="1509" w:type="dxa"/>
            <w:tcBorders>
              <w:top w:val="single" w:sz="6"/>
              <w:left w:val="single" w:sz="6"/>
              <w:bottom w:val="single" w:sz="6"/>
              <w:right w:val="single" w:sz="6"/>
            </w:tcBorders>
            <w:tcMar/>
            <w:vAlign w:val="center"/>
          </w:tcPr>
          <w:p w:rsidR="7C2F16DA" w:rsidP="7C2F16DA" w:rsidRDefault="7C2F16DA" w14:paraId="0C8013C2" w14:textId="18CAFDD8">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-4,82,000</w:t>
            </w:r>
          </w:p>
        </w:tc>
        <w:tc>
          <w:tcPr>
            <w:tcW w:w="1333" w:type="dxa"/>
            <w:tcBorders>
              <w:top w:val="single" w:sz="6"/>
              <w:left w:val="single" w:sz="6"/>
              <w:bottom w:val="single" w:sz="6"/>
              <w:right w:val="single" w:sz="6"/>
            </w:tcBorders>
            <w:tcMar/>
            <w:vAlign w:val="bottom"/>
          </w:tcPr>
          <w:p w:rsidR="7C2F16DA" w:rsidP="7C2F16DA" w:rsidRDefault="7C2F16DA" w14:paraId="44F0C5A5" w14:textId="1CA84392">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-10,08,000</w:t>
            </w:r>
          </w:p>
        </w:tc>
        <w:tc>
          <w:tcPr>
            <w:tcW w:w="1421" w:type="dxa"/>
            <w:tcBorders>
              <w:top w:val="single" w:sz="6"/>
              <w:left w:val="single" w:sz="6"/>
              <w:bottom w:val="single" w:sz="6"/>
              <w:right w:val="single" w:sz="6"/>
            </w:tcBorders>
            <w:tcMar/>
            <w:vAlign w:val="bottom"/>
          </w:tcPr>
          <w:p w:rsidR="7C2F16DA" w:rsidP="7C2F16DA" w:rsidRDefault="7C2F16DA" w14:paraId="4F575950" w14:textId="592BB436">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209%</w:t>
            </w:r>
          </w:p>
        </w:tc>
      </w:tr>
      <w:tr w:rsidR="7C2F16DA" w:rsidTr="7C2F16DA" w14:paraId="6E9A827A">
        <w:trPr>
          <w:trHeight w:val="270"/>
        </w:trPr>
        <w:tc>
          <w:tcPr>
            <w:tcW w:w="3589" w:type="dxa"/>
            <w:tcBorders>
              <w:top w:val="single" w:sz="6"/>
              <w:left w:val="single" w:sz="6"/>
              <w:bottom w:val="single" w:sz="6"/>
              <w:right w:val="single" w:sz="6"/>
            </w:tcBorders>
            <w:tcMar/>
            <w:vAlign w:val="center"/>
          </w:tcPr>
          <w:p w:rsidR="7C2F16DA" w:rsidP="7C2F16DA" w:rsidRDefault="7C2F16DA" w14:paraId="684AA537" w14:textId="1BC7E249">
            <w:pPr>
              <w:spacing w:before="120" w:after="120" w:line="240" w:lineRule="auto"/>
              <w:jc w:val="both"/>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Total Liabilities and Stockholder</w:t>
            </w:r>
          </w:p>
        </w:tc>
        <w:tc>
          <w:tcPr>
            <w:tcW w:w="1509" w:type="dxa"/>
            <w:tcBorders>
              <w:top w:val="single" w:sz="6"/>
              <w:left w:val="single" w:sz="6"/>
              <w:bottom w:val="single" w:sz="6"/>
              <w:right w:val="single" w:sz="6"/>
            </w:tcBorders>
            <w:tcMar/>
            <w:vAlign w:val="center"/>
          </w:tcPr>
          <w:p w:rsidR="7C2F16DA" w:rsidP="7C2F16DA" w:rsidRDefault="7C2F16DA" w14:paraId="5341E2A1" w14:textId="7AB02F6B">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1,67,55,000</w:t>
            </w:r>
          </w:p>
        </w:tc>
        <w:tc>
          <w:tcPr>
            <w:tcW w:w="1509" w:type="dxa"/>
            <w:tcBorders>
              <w:top w:val="single" w:sz="6"/>
              <w:left w:val="single" w:sz="6"/>
              <w:bottom w:val="single" w:sz="6"/>
              <w:right w:val="single" w:sz="6"/>
            </w:tcBorders>
            <w:tcMar/>
            <w:vAlign w:val="center"/>
          </w:tcPr>
          <w:p w:rsidR="7C2F16DA" w:rsidP="7C2F16DA" w:rsidRDefault="7C2F16DA" w14:paraId="703B522B" w14:textId="7A2EE587">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1,49,57,000</w:t>
            </w:r>
          </w:p>
        </w:tc>
        <w:tc>
          <w:tcPr>
            <w:tcW w:w="1333" w:type="dxa"/>
            <w:tcBorders>
              <w:top w:val="single" w:sz="6"/>
              <w:left w:val="single" w:sz="6"/>
              <w:bottom w:val="single" w:sz="6"/>
              <w:right w:val="single" w:sz="6"/>
            </w:tcBorders>
            <w:tcMar/>
            <w:vAlign w:val="bottom"/>
          </w:tcPr>
          <w:p w:rsidR="7C2F16DA" w:rsidP="7C2F16DA" w:rsidRDefault="7C2F16DA" w14:paraId="136DF107" w14:textId="1EB83FE2">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17,98,000</w:t>
            </w:r>
          </w:p>
        </w:tc>
        <w:tc>
          <w:tcPr>
            <w:tcW w:w="1421" w:type="dxa"/>
            <w:tcBorders>
              <w:top w:val="single" w:sz="6"/>
              <w:left w:val="single" w:sz="6"/>
              <w:bottom w:val="single" w:sz="6"/>
              <w:right w:val="single" w:sz="6"/>
            </w:tcBorders>
            <w:tcMar/>
            <w:vAlign w:val="bottom"/>
          </w:tcPr>
          <w:p w:rsidR="7C2F16DA" w:rsidP="7C2F16DA" w:rsidRDefault="7C2F16DA" w14:paraId="6B0DF02E" w14:textId="2AE787A4">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12%</w:t>
            </w:r>
          </w:p>
        </w:tc>
      </w:tr>
      <w:tr w:rsidR="7C2F16DA" w:rsidTr="7C2F16DA" w14:paraId="6BA37D2A">
        <w:trPr>
          <w:trHeight w:val="270"/>
        </w:trPr>
        <w:tc>
          <w:tcPr>
            <w:tcW w:w="3589" w:type="dxa"/>
            <w:tcBorders>
              <w:top w:val="single" w:sz="6"/>
              <w:left w:val="single" w:sz="6"/>
              <w:bottom w:val="nil"/>
              <w:right w:val="nil"/>
            </w:tcBorders>
            <w:tcMar/>
            <w:vAlign w:val="bottom"/>
          </w:tcPr>
          <w:p w:rsidR="7C2F16DA" w:rsidP="7C2F16DA" w:rsidRDefault="7C2F16DA" w14:paraId="60B14B1F" w14:textId="71232214">
            <w:pPr>
              <w:spacing w:before="120" w:after="120" w:line="240" w:lineRule="auto"/>
              <w:jc w:val="right"/>
              <w:rPr>
                <w:rFonts w:ascii="Arial" w:hAnsi="Arial" w:eastAsia="Arial" w:cs="Arial"/>
                <w:b w:val="0"/>
                <w:bCs w:val="0"/>
                <w:i w:val="0"/>
                <w:iCs w:val="0"/>
                <w:color w:val="000000" w:themeColor="text1" w:themeTint="FF" w:themeShade="FF"/>
                <w:sz w:val="20"/>
                <w:szCs w:val="20"/>
              </w:rPr>
            </w:pPr>
          </w:p>
        </w:tc>
        <w:tc>
          <w:tcPr>
            <w:tcW w:w="1509" w:type="dxa"/>
            <w:tcBorders>
              <w:top w:val="single" w:sz="6"/>
              <w:left w:val="nil"/>
              <w:bottom w:val="nil"/>
              <w:right w:val="nil"/>
            </w:tcBorders>
            <w:tcMar/>
            <w:vAlign w:val="bottom"/>
          </w:tcPr>
          <w:p w:rsidR="7C2F16DA" w:rsidP="7C2F16DA" w:rsidRDefault="7C2F16DA" w14:paraId="2770A115" w14:textId="01F9FEE1">
            <w:pPr>
              <w:spacing w:before="120" w:after="120" w:line="240" w:lineRule="auto"/>
              <w:jc w:val="both"/>
              <w:rPr>
                <w:rFonts w:ascii="Arial" w:hAnsi="Arial" w:eastAsia="Arial" w:cs="Arial"/>
                <w:b w:val="0"/>
                <w:bCs w:val="0"/>
                <w:i w:val="0"/>
                <w:iCs w:val="0"/>
                <w:sz w:val="20"/>
                <w:szCs w:val="20"/>
              </w:rPr>
            </w:pPr>
          </w:p>
        </w:tc>
        <w:tc>
          <w:tcPr>
            <w:tcW w:w="1509" w:type="dxa"/>
            <w:tcBorders>
              <w:top w:val="single" w:sz="6"/>
              <w:left w:val="nil"/>
              <w:bottom w:val="nil"/>
              <w:right w:val="nil"/>
            </w:tcBorders>
            <w:tcMar/>
            <w:vAlign w:val="bottom"/>
          </w:tcPr>
          <w:p w:rsidR="7C2F16DA" w:rsidP="7C2F16DA" w:rsidRDefault="7C2F16DA" w14:paraId="23B021E8" w14:textId="164AE683">
            <w:pPr>
              <w:spacing w:before="120" w:after="120" w:line="240" w:lineRule="auto"/>
              <w:jc w:val="both"/>
              <w:rPr>
                <w:rFonts w:ascii="Arial" w:hAnsi="Arial" w:eastAsia="Arial" w:cs="Arial"/>
                <w:b w:val="0"/>
                <w:bCs w:val="0"/>
                <w:i w:val="0"/>
                <w:iCs w:val="0"/>
                <w:sz w:val="20"/>
                <w:szCs w:val="20"/>
              </w:rPr>
            </w:pPr>
          </w:p>
        </w:tc>
        <w:tc>
          <w:tcPr>
            <w:tcW w:w="1333" w:type="dxa"/>
            <w:tcBorders>
              <w:top w:val="single" w:sz="6"/>
              <w:left w:val="nil"/>
              <w:bottom w:val="nil"/>
              <w:right w:val="nil"/>
            </w:tcBorders>
            <w:tcMar/>
            <w:vAlign w:val="bottom"/>
          </w:tcPr>
          <w:p w:rsidR="7C2F16DA" w:rsidP="7C2F16DA" w:rsidRDefault="7C2F16DA" w14:paraId="71FB640B" w14:textId="3A774324">
            <w:pPr>
              <w:spacing w:before="120" w:after="120" w:line="240" w:lineRule="auto"/>
              <w:jc w:val="both"/>
              <w:rPr>
                <w:rFonts w:ascii="Arial" w:hAnsi="Arial" w:eastAsia="Arial" w:cs="Arial"/>
                <w:b w:val="0"/>
                <w:bCs w:val="0"/>
                <w:i w:val="0"/>
                <w:iCs w:val="0"/>
                <w:sz w:val="20"/>
                <w:szCs w:val="20"/>
              </w:rPr>
            </w:pPr>
          </w:p>
        </w:tc>
        <w:tc>
          <w:tcPr>
            <w:tcW w:w="1421" w:type="dxa"/>
            <w:tcBorders>
              <w:top w:val="single" w:sz="6"/>
              <w:left w:val="nil"/>
              <w:bottom w:val="nil"/>
              <w:right w:val="single" w:sz="6"/>
            </w:tcBorders>
            <w:tcMar/>
            <w:vAlign w:val="bottom"/>
          </w:tcPr>
          <w:p w:rsidR="7C2F16DA" w:rsidP="7C2F16DA" w:rsidRDefault="7C2F16DA" w14:paraId="3DA47692" w14:textId="1F6AE91D">
            <w:pPr>
              <w:spacing w:before="120" w:after="120" w:line="240" w:lineRule="auto"/>
              <w:jc w:val="both"/>
              <w:rPr>
                <w:rFonts w:ascii="Arial" w:hAnsi="Arial" w:eastAsia="Arial" w:cs="Arial"/>
                <w:b w:val="0"/>
                <w:bCs w:val="0"/>
                <w:i w:val="0"/>
                <w:iCs w:val="0"/>
                <w:sz w:val="20"/>
                <w:szCs w:val="20"/>
              </w:rPr>
            </w:pPr>
          </w:p>
        </w:tc>
      </w:tr>
      <w:tr w:rsidR="7C2F16DA" w:rsidTr="7C2F16DA" w14:paraId="48B73B9B">
        <w:trPr>
          <w:trHeight w:val="315"/>
        </w:trPr>
        <w:tc>
          <w:tcPr>
            <w:tcW w:w="3589" w:type="dxa"/>
            <w:tcBorders>
              <w:top w:val="nil"/>
              <w:left w:val="single" w:sz="6"/>
              <w:bottom w:val="nil"/>
              <w:right w:val="nil"/>
            </w:tcBorders>
            <w:shd w:val="clear" w:color="auto" w:fill="3A3838"/>
            <w:tcMar/>
            <w:vAlign w:val="bottom"/>
          </w:tcPr>
          <w:p w:rsidR="7C2F16DA" w:rsidP="7C2F16DA" w:rsidRDefault="7C2F16DA" w14:paraId="05FC9B43" w14:textId="01B4844F">
            <w:pPr>
              <w:spacing w:before="120" w:after="120" w:line="240" w:lineRule="auto"/>
              <w:jc w:val="both"/>
              <w:rPr>
                <w:rFonts w:ascii="Arial" w:hAnsi="Arial" w:eastAsia="Arial" w:cs="Arial"/>
                <w:b w:val="0"/>
                <w:bCs w:val="0"/>
                <w:i w:val="0"/>
                <w:iCs w:val="0"/>
                <w:color w:val="FFFFFF" w:themeColor="background1" w:themeTint="FF" w:themeShade="FF"/>
                <w:sz w:val="24"/>
                <w:szCs w:val="24"/>
              </w:rPr>
            </w:pPr>
            <w:r w:rsidRPr="7C2F16DA" w:rsidR="7C2F16DA">
              <w:rPr>
                <w:rFonts w:ascii="Arial" w:hAnsi="Arial" w:eastAsia="Arial" w:cs="Arial"/>
                <w:b w:val="1"/>
                <w:bCs w:val="1"/>
                <w:i w:val="0"/>
                <w:iCs w:val="0"/>
                <w:color w:val="FFFFFF" w:themeColor="background1" w:themeTint="FF" w:themeShade="FF"/>
                <w:sz w:val="24"/>
                <w:szCs w:val="24"/>
                <w:lang w:val="en-IN"/>
              </w:rPr>
              <w:t>Ratios</w:t>
            </w:r>
          </w:p>
        </w:tc>
        <w:tc>
          <w:tcPr>
            <w:tcW w:w="1509" w:type="dxa"/>
            <w:tcBorders>
              <w:top w:val="nil"/>
              <w:left w:val="nil"/>
              <w:bottom w:val="nil"/>
              <w:right w:val="nil"/>
            </w:tcBorders>
            <w:shd w:val="clear" w:color="auto" w:fill="3A3838"/>
            <w:tcMar/>
            <w:vAlign w:val="bottom"/>
          </w:tcPr>
          <w:p w:rsidR="7C2F16DA" w:rsidP="7C2F16DA" w:rsidRDefault="7C2F16DA" w14:paraId="5CE014E1" w14:textId="1D6628CC">
            <w:pPr>
              <w:spacing w:before="120" w:after="120" w:line="240" w:lineRule="auto"/>
              <w:jc w:val="right"/>
              <w:rPr>
                <w:rFonts w:ascii="Arial" w:hAnsi="Arial" w:eastAsia="Arial" w:cs="Arial"/>
                <w:b w:val="0"/>
                <w:bCs w:val="0"/>
                <w:i w:val="0"/>
                <w:iCs w:val="0"/>
                <w:color w:val="FFFFFF" w:themeColor="background1" w:themeTint="FF" w:themeShade="FF"/>
                <w:sz w:val="24"/>
                <w:szCs w:val="24"/>
              </w:rPr>
            </w:pPr>
            <w:r w:rsidRPr="7C2F16DA" w:rsidR="7C2F16DA">
              <w:rPr>
                <w:rFonts w:ascii="Arial" w:hAnsi="Arial" w:eastAsia="Arial" w:cs="Arial"/>
                <w:b w:val="1"/>
                <w:bCs w:val="1"/>
                <w:i w:val="0"/>
                <w:iCs w:val="0"/>
                <w:color w:val="FFFFFF" w:themeColor="background1" w:themeTint="FF" w:themeShade="FF"/>
                <w:sz w:val="24"/>
                <w:szCs w:val="24"/>
                <w:lang w:val="en-IN"/>
              </w:rPr>
              <w:t>2020</w:t>
            </w:r>
          </w:p>
        </w:tc>
        <w:tc>
          <w:tcPr>
            <w:tcW w:w="1509" w:type="dxa"/>
            <w:tcBorders>
              <w:top w:val="nil"/>
              <w:left w:val="nil"/>
              <w:bottom w:val="nil"/>
              <w:right w:val="nil"/>
            </w:tcBorders>
            <w:shd w:val="clear" w:color="auto" w:fill="3A3838"/>
            <w:tcMar/>
            <w:vAlign w:val="bottom"/>
          </w:tcPr>
          <w:p w:rsidR="7C2F16DA" w:rsidP="7C2F16DA" w:rsidRDefault="7C2F16DA" w14:paraId="0881FAE9" w14:textId="0DF8D5CB">
            <w:pPr>
              <w:spacing w:before="120" w:after="120" w:line="240" w:lineRule="auto"/>
              <w:jc w:val="right"/>
              <w:rPr>
                <w:rFonts w:ascii="Arial" w:hAnsi="Arial" w:eastAsia="Arial" w:cs="Arial"/>
                <w:b w:val="0"/>
                <w:bCs w:val="0"/>
                <w:i w:val="0"/>
                <w:iCs w:val="0"/>
                <w:color w:val="FFFFFF" w:themeColor="background1" w:themeTint="FF" w:themeShade="FF"/>
                <w:sz w:val="24"/>
                <w:szCs w:val="24"/>
              </w:rPr>
            </w:pPr>
            <w:r w:rsidRPr="7C2F16DA" w:rsidR="7C2F16DA">
              <w:rPr>
                <w:rFonts w:ascii="Arial" w:hAnsi="Arial" w:eastAsia="Arial" w:cs="Arial"/>
                <w:b w:val="1"/>
                <w:bCs w:val="1"/>
                <w:i w:val="0"/>
                <w:iCs w:val="0"/>
                <w:color w:val="FFFFFF" w:themeColor="background1" w:themeTint="FF" w:themeShade="FF"/>
                <w:sz w:val="24"/>
                <w:szCs w:val="24"/>
                <w:lang w:val="en-IN"/>
              </w:rPr>
              <w:t>2019</w:t>
            </w:r>
          </w:p>
        </w:tc>
        <w:tc>
          <w:tcPr>
            <w:tcW w:w="1333" w:type="dxa"/>
            <w:tcBorders>
              <w:top w:val="nil"/>
              <w:left w:val="nil"/>
              <w:bottom w:val="nil"/>
              <w:right w:val="nil"/>
            </w:tcBorders>
            <w:shd w:val="clear" w:color="auto" w:fill="3A3838"/>
            <w:tcMar/>
            <w:vAlign w:val="bottom"/>
          </w:tcPr>
          <w:p w:rsidR="7C2F16DA" w:rsidP="7C2F16DA" w:rsidRDefault="7C2F16DA" w14:paraId="6FA2EA0A" w14:textId="32CCC9DC">
            <w:pPr>
              <w:spacing w:before="120" w:after="120" w:line="240" w:lineRule="auto"/>
              <w:jc w:val="both"/>
              <w:rPr>
                <w:rFonts w:ascii="Arial" w:hAnsi="Arial" w:eastAsia="Arial" w:cs="Arial"/>
                <w:b w:val="0"/>
                <w:bCs w:val="0"/>
                <w:i w:val="0"/>
                <w:iCs w:val="0"/>
                <w:color w:val="FFFFFF" w:themeColor="background1" w:themeTint="FF" w:themeShade="FF"/>
                <w:sz w:val="24"/>
                <w:szCs w:val="24"/>
              </w:rPr>
            </w:pPr>
            <w:r w:rsidRPr="7C2F16DA" w:rsidR="7C2F16DA">
              <w:rPr>
                <w:rFonts w:ascii="Arial" w:hAnsi="Arial" w:eastAsia="Arial" w:cs="Arial"/>
                <w:b w:val="1"/>
                <w:bCs w:val="1"/>
                <w:i w:val="0"/>
                <w:iCs w:val="0"/>
                <w:color w:val="FFFFFF" w:themeColor="background1" w:themeTint="FF" w:themeShade="FF"/>
                <w:sz w:val="24"/>
                <w:szCs w:val="24"/>
                <w:lang w:val="en-IN"/>
              </w:rPr>
              <w:t xml:space="preserve">Change </w:t>
            </w:r>
          </w:p>
        </w:tc>
        <w:tc>
          <w:tcPr>
            <w:tcW w:w="1421" w:type="dxa"/>
            <w:tcBorders>
              <w:top w:val="nil"/>
              <w:left w:val="nil"/>
              <w:bottom w:val="nil"/>
              <w:right w:val="single" w:sz="6"/>
            </w:tcBorders>
            <w:shd w:val="clear" w:color="auto" w:fill="3A3838"/>
            <w:tcMar/>
            <w:vAlign w:val="bottom"/>
          </w:tcPr>
          <w:p w:rsidR="7C2F16DA" w:rsidP="7C2F16DA" w:rsidRDefault="7C2F16DA" w14:paraId="5F94EFB2" w14:textId="48D4840D">
            <w:pPr>
              <w:spacing w:before="120" w:after="120" w:line="240" w:lineRule="auto"/>
              <w:jc w:val="both"/>
              <w:rPr>
                <w:rFonts w:ascii="Arial" w:hAnsi="Arial" w:eastAsia="Arial" w:cs="Arial"/>
                <w:b w:val="0"/>
                <w:bCs w:val="0"/>
                <w:i w:val="0"/>
                <w:iCs w:val="0"/>
                <w:color w:val="FFFFFF" w:themeColor="background1" w:themeTint="FF" w:themeShade="FF"/>
                <w:sz w:val="24"/>
                <w:szCs w:val="24"/>
              </w:rPr>
            </w:pPr>
            <w:r w:rsidRPr="7C2F16DA" w:rsidR="7C2F16DA">
              <w:rPr>
                <w:rFonts w:ascii="Arial" w:hAnsi="Arial" w:eastAsia="Arial" w:cs="Arial"/>
                <w:b w:val="1"/>
                <w:bCs w:val="1"/>
                <w:i w:val="0"/>
                <w:iCs w:val="0"/>
                <w:color w:val="FFFFFF" w:themeColor="background1" w:themeTint="FF" w:themeShade="FF"/>
                <w:sz w:val="24"/>
                <w:szCs w:val="24"/>
                <w:lang w:val="en-IN"/>
              </w:rPr>
              <w:t xml:space="preserve">% Change </w:t>
            </w:r>
          </w:p>
        </w:tc>
      </w:tr>
      <w:tr w:rsidR="7C2F16DA" w:rsidTr="7C2F16DA" w14:paraId="63DC6181">
        <w:trPr>
          <w:trHeight w:val="270"/>
        </w:trPr>
        <w:tc>
          <w:tcPr>
            <w:tcW w:w="3589" w:type="dxa"/>
            <w:tcBorders>
              <w:top w:val="single" w:sz="6"/>
              <w:left w:val="single" w:sz="6"/>
              <w:bottom w:val="single" w:sz="6"/>
              <w:right w:val="single" w:sz="6"/>
            </w:tcBorders>
            <w:tcMar/>
            <w:vAlign w:val="bottom"/>
          </w:tcPr>
          <w:p w:rsidR="7C2F16DA" w:rsidP="7C2F16DA" w:rsidRDefault="7C2F16DA" w14:paraId="4EDDD741" w14:textId="33EA8CC8">
            <w:pPr>
              <w:spacing w:before="120" w:after="120" w:line="240" w:lineRule="auto"/>
              <w:jc w:val="both"/>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Current Ratio</w:t>
            </w:r>
          </w:p>
        </w:tc>
        <w:tc>
          <w:tcPr>
            <w:tcW w:w="1509" w:type="dxa"/>
            <w:tcBorders>
              <w:top w:val="single" w:sz="6"/>
              <w:left w:val="single" w:sz="6"/>
              <w:bottom w:val="single" w:sz="6"/>
              <w:right w:val="single" w:sz="6"/>
            </w:tcBorders>
            <w:tcMar/>
            <w:vAlign w:val="bottom"/>
          </w:tcPr>
          <w:p w:rsidR="7C2F16DA" w:rsidP="7C2F16DA" w:rsidRDefault="7C2F16DA" w14:paraId="7251D579" w14:textId="14FC7F04">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1.73</w:t>
            </w:r>
          </w:p>
        </w:tc>
        <w:tc>
          <w:tcPr>
            <w:tcW w:w="1509" w:type="dxa"/>
            <w:tcBorders>
              <w:top w:val="single" w:sz="6"/>
              <w:left w:val="single" w:sz="6"/>
              <w:bottom w:val="single" w:sz="6"/>
              <w:right w:val="single" w:sz="6"/>
            </w:tcBorders>
            <w:tcMar/>
            <w:vAlign w:val="bottom"/>
          </w:tcPr>
          <w:p w:rsidR="7C2F16DA" w:rsidP="7C2F16DA" w:rsidRDefault="7C2F16DA" w14:paraId="1E0467F6" w14:textId="797201F8">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0.73</w:t>
            </w:r>
          </w:p>
        </w:tc>
        <w:tc>
          <w:tcPr>
            <w:tcW w:w="1333" w:type="dxa"/>
            <w:tcBorders>
              <w:top w:val="single" w:sz="6"/>
              <w:left w:val="single" w:sz="6"/>
              <w:bottom w:val="single" w:sz="6"/>
              <w:right w:val="single" w:sz="6"/>
            </w:tcBorders>
            <w:tcMar/>
            <w:vAlign w:val="bottom"/>
          </w:tcPr>
          <w:p w:rsidR="7C2F16DA" w:rsidP="7C2F16DA" w:rsidRDefault="7C2F16DA" w14:paraId="10C099D1" w14:textId="49A87B42">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1.00</w:t>
            </w:r>
          </w:p>
        </w:tc>
        <w:tc>
          <w:tcPr>
            <w:tcW w:w="1421" w:type="dxa"/>
            <w:tcBorders>
              <w:top w:val="single" w:sz="6"/>
              <w:left w:val="single" w:sz="6"/>
              <w:bottom w:val="single" w:sz="6"/>
              <w:right w:val="single" w:sz="6"/>
            </w:tcBorders>
            <w:tcMar/>
            <w:vAlign w:val="bottom"/>
          </w:tcPr>
          <w:p w:rsidR="7C2F16DA" w:rsidP="7C2F16DA" w:rsidRDefault="7C2F16DA" w14:paraId="3B1EDA9F" w14:textId="18FC1F85">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137%</w:t>
            </w:r>
          </w:p>
        </w:tc>
      </w:tr>
      <w:tr w:rsidR="7C2F16DA" w:rsidTr="7C2F16DA" w14:paraId="61DB1E95">
        <w:trPr>
          <w:trHeight w:val="270"/>
        </w:trPr>
        <w:tc>
          <w:tcPr>
            <w:tcW w:w="3589" w:type="dxa"/>
            <w:tcBorders>
              <w:top w:val="single" w:sz="6"/>
              <w:left w:val="single" w:sz="6"/>
              <w:bottom w:val="single" w:sz="6"/>
              <w:right w:val="single" w:sz="6"/>
            </w:tcBorders>
            <w:tcMar/>
            <w:vAlign w:val="bottom"/>
          </w:tcPr>
          <w:p w:rsidR="7C2F16DA" w:rsidP="7C2F16DA" w:rsidRDefault="7C2F16DA" w14:paraId="7FF70DA5" w14:textId="1608D639">
            <w:pPr>
              <w:spacing w:before="120" w:after="120" w:line="240" w:lineRule="auto"/>
              <w:jc w:val="both"/>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Debt To Assets Ratio</w:t>
            </w:r>
          </w:p>
        </w:tc>
        <w:tc>
          <w:tcPr>
            <w:tcW w:w="1509" w:type="dxa"/>
            <w:tcBorders>
              <w:top w:val="single" w:sz="6"/>
              <w:left w:val="single" w:sz="6"/>
              <w:bottom w:val="single" w:sz="6"/>
              <w:right w:val="single" w:sz="6"/>
            </w:tcBorders>
            <w:tcMar/>
            <w:vAlign w:val="bottom"/>
          </w:tcPr>
          <w:p w:rsidR="7C2F16DA" w:rsidP="7C2F16DA" w:rsidRDefault="7C2F16DA" w14:paraId="17AFE1BE" w14:textId="089653BE">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1.09</w:t>
            </w:r>
          </w:p>
        </w:tc>
        <w:tc>
          <w:tcPr>
            <w:tcW w:w="1509" w:type="dxa"/>
            <w:tcBorders>
              <w:top w:val="single" w:sz="6"/>
              <w:left w:val="single" w:sz="6"/>
              <w:bottom w:val="single" w:sz="6"/>
              <w:right w:val="single" w:sz="6"/>
            </w:tcBorders>
            <w:tcMar/>
            <w:vAlign w:val="bottom"/>
          </w:tcPr>
          <w:p w:rsidR="7C2F16DA" w:rsidP="7C2F16DA" w:rsidRDefault="7C2F16DA" w14:paraId="28CF8D70" w14:textId="344CFDC4">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1.03</w:t>
            </w:r>
          </w:p>
        </w:tc>
        <w:tc>
          <w:tcPr>
            <w:tcW w:w="1333" w:type="dxa"/>
            <w:tcBorders>
              <w:top w:val="single" w:sz="6"/>
              <w:left w:val="single" w:sz="6"/>
              <w:bottom w:val="single" w:sz="6"/>
              <w:right w:val="single" w:sz="6"/>
            </w:tcBorders>
            <w:tcMar/>
            <w:vAlign w:val="bottom"/>
          </w:tcPr>
          <w:p w:rsidR="7C2F16DA" w:rsidP="7C2F16DA" w:rsidRDefault="7C2F16DA" w14:paraId="55AC49E9" w14:textId="1798B241">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0.06</w:t>
            </w:r>
          </w:p>
        </w:tc>
        <w:tc>
          <w:tcPr>
            <w:tcW w:w="1421" w:type="dxa"/>
            <w:tcBorders>
              <w:top w:val="single" w:sz="6"/>
              <w:left w:val="single" w:sz="6"/>
              <w:bottom w:val="single" w:sz="6"/>
              <w:right w:val="single" w:sz="6"/>
            </w:tcBorders>
            <w:tcMar/>
            <w:vAlign w:val="bottom"/>
          </w:tcPr>
          <w:p w:rsidR="7C2F16DA" w:rsidP="7C2F16DA" w:rsidRDefault="7C2F16DA" w14:paraId="14DD8A7D" w14:textId="0F474D91">
            <w:pPr>
              <w:spacing w:before="120" w:after="120" w:line="240" w:lineRule="auto"/>
              <w:jc w:val="right"/>
              <w:rPr>
                <w:rFonts w:ascii="Arial" w:hAnsi="Arial" w:eastAsia="Arial" w:cs="Arial"/>
                <w:b w:val="0"/>
                <w:bCs w:val="0"/>
                <w:i w:val="0"/>
                <w:iCs w:val="0"/>
                <w:color w:val="000000" w:themeColor="text1" w:themeTint="FF" w:themeShade="FF"/>
                <w:sz w:val="24"/>
                <w:szCs w:val="24"/>
              </w:rPr>
            </w:pPr>
            <w:r w:rsidRPr="7C2F16DA" w:rsidR="7C2F16DA">
              <w:rPr>
                <w:rFonts w:ascii="Arial" w:hAnsi="Arial" w:eastAsia="Arial" w:cs="Arial"/>
                <w:b w:val="0"/>
                <w:bCs w:val="0"/>
                <w:i w:val="0"/>
                <w:iCs w:val="0"/>
                <w:color w:val="000000" w:themeColor="text1" w:themeTint="FF" w:themeShade="FF"/>
                <w:sz w:val="22"/>
                <w:szCs w:val="22"/>
                <w:lang w:val="en-IN"/>
              </w:rPr>
              <w:t>6%</w:t>
            </w:r>
          </w:p>
        </w:tc>
      </w:tr>
    </w:tbl>
    <w:p xmlns:wp14="http://schemas.microsoft.com/office/word/2010/wordml" w:rsidP="7C2F16DA" w14:paraId="071FDCD0" wp14:textId="371308DE">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7C2F16DA" w14:paraId="6DA602A3" wp14:textId="137E9A0C">
      <w:pPr>
        <w:pStyle w:val="Heading2"/>
        <w:spacing w:before="120" w:after="120" w:line="360" w:lineRule="auto"/>
        <w:jc w:val="both"/>
        <w:rPr>
          <w:rFonts w:ascii="Arial" w:hAnsi="Arial" w:eastAsia="Arial" w:cs="Arial"/>
          <w:b w:val="1"/>
          <w:bCs w:val="1"/>
          <w:i w:val="0"/>
          <w:iCs w:val="0"/>
          <w:caps w:val="0"/>
          <w:smallCaps w:val="0"/>
          <w:noProof w:val="0"/>
          <w:color w:val="ED7D31" w:themeColor="accent2" w:themeTint="FF" w:themeShade="FF"/>
          <w:sz w:val="28"/>
          <w:szCs w:val="28"/>
          <w:lang w:val="en-US"/>
        </w:rPr>
      </w:pPr>
      <w:r w:rsidRPr="7C2F16DA" w:rsidR="7C2F16DA">
        <w:rPr>
          <w:rFonts w:ascii="Arial" w:hAnsi="Arial" w:eastAsia="Arial" w:cs="Arial"/>
          <w:b w:val="1"/>
          <w:bCs w:val="1"/>
          <w:i w:val="0"/>
          <w:iCs w:val="0"/>
          <w:caps w:val="0"/>
          <w:smallCaps w:val="0"/>
          <w:noProof w:val="0"/>
          <w:color w:val="ED7D31" w:themeColor="accent2" w:themeTint="FF" w:themeShade="FF"/>
          <w:sz w:val="28"/>
          <w:szCs w:val="28"/>
          <w:lang w:val="en-GB"/>
        </w:rPr>
        <w:t>Discussion On the Trends in These Ratios Analysis</w:t>
      </w:r>
    </w:p>
    <w:p xmlns:wp14="http://schemas.microsoft.com/office/word/2010/wordml" w:rsidP="7C2F16DA" w14:paraId="4568C808" wp14:textId="3C845AF8">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The horizontal analysis that has done in the above, and that includes the analysis of ratio for the company Hilton Worldwide Holding Inc (Islami and Rio, 2019). The ratio analysis is the type of analysis that helps to determine the performance of a company and it is one of the major metrics to determine the performance of a company. There are some ratios which defines the performance of the company Hilton Worldwide Holding Inc, and there are some ratios that has been calculated in this study and those ratios are given below,</w:t>
      </w:r>
    </w:p>
    <w:p xmlns:wp14="http://schemas.microsoft.com/office/word/2010/wordml" w:rsidP="7C2F16DA" w14:paraId="61444C43" wp14:textId="060BCA00">
      <w:pPr>
        <w:pStyle w:val="Heading3"/>
        <w:spacing w:before="120" w:after="120" w:line="360" w:lineRule="auto"/>
        <w:jc w:val="both"/>
        <w:rPr>
          <w:rFonts w:ascii="Arial" w:hAnsi="Arial" w:eastAsia="Arial" w:cs="Arial"/>
          <w:b w:val="1"/>
          <w:bCs w:val="1"/>
          <w:i w:val="0"/>
          <w:iCs w:val="0"/>
          <w:caps w:val="0"/>
          <w:smallCaps w:val="0"/>
          <w:noProof w:val="0"/>
          <w:color w:val="1F3763"/>
          <w:sz w:val="24"/>
          <w:szCs w:val="24"/>
          <w:lang w:val="en-US"/>
        </w:rPr>
      </w:pPr>
      <w:r w:rsidRPr="7C2F16DA" w:rsidR="7C2F16DA">
        <w:rPr>
          <w:rFonts w:ascii="Arial" w:hAnsi="Arial" w:eastAsia="Arial" w:cs="Arial"/>
          <w:b w:val="1"/>
          <w:bCs w:val="1"/>
          <w:i w:val="0"/>
          <w:iCs w:val="0"/>
          <w:caps w:val="0"/>
          <w:smallCaps w:val="0"/>
          <w:noProof w:val="0"/>
          <w:color w:val="1F3763"/>
          <w:sz w:val="24"/>
          <w:szCs w:val="24"/>
          <w:lang w:val="en-GB"/>
        </w:rPr>
        <w:t>Gross Profit Ratio</w:t>
      </w:r>
    </w:p>
    <w:p xmlns:wp14="http://schemas.microsoft.com/office/word/2010/wordml" w:rsidP="7C2F16DA" w14:paraId="5C562974" wp14:textId="03CDEFBA">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Gross profit ratio is one of the major financial metrics and it is used to determine the performance of a company. The gross profit ratio is one of the keys essential to evaluating the profitability of a company (Islami and Rio, 2019). The gross profit ratio indicates the profitability of an organization. In the case of the gross profit ratio of Hilton Worldwide Holding Inc, the ratio was 0.14 in the year 2020, and in the year 2019, the value of the gross profit ratio was 0.26.</w:t>
      </w:r>
    </w:p>
    <w:p xmlns:wp14="http://schemas.microsoft.com/office/word/2010/wordml" w:rsidP="7C2F16DA" w14:paraId="70E6A0EA" wp14:textId="72C9DE33">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 xml:space="preserve">Though there is a change in the gross profit ratio of about 47%, that shows a huge reduction in the value of the gross profit ratio. The major reason for the change in the value of the gross profit ratio was that the gross profit of Hilton Worldwide Holding Inc was lesser in the year 2020 compared to the previous year 2019 for that reason the value has fallen in the year 2020. To improve the value of the gross profit ratio the company needs to improve the sales as well as the company also needs to improve the strategies for cost management so that the value of the gross profit ratio will be improved for the company Hilton Worldwide Holding Inc. </w:t>
      </w:r>
    </w:p>
    <w:p xmlns:wp14="http://schemas.microsoft.com/office/word/2010/wordml" w:rsidP="7C2F16DA" w14:paraId="5A1BBE1B" wp14:textId="14EC2887">
      <w:pPr>
        <w:pStyle w:val="Heading3"/>
        <w:spacing w:before="120" w:after="120" w:line="360" w:lineRule="auto"/>
        <w:jc w:val="both"/>
        <w:rPr>
          <w:rFonts w:ascii="Arial" w:hAnsi="Arial" w:eastAsia="Arial" w:cs="Arial"/>
          <w:b w:val="1"/>
          <w:bCs w:val="1"/>
          <w:i w:val="0"/>
          <w:iCs w:val="0"/>
          <w:caps w:val="0"/>
          <w:smallCaps w:val="0"/>
          <w:noProof w:val="0"/>
          <w:color w:val="1F3763"/>
          <w:sz w:val="24"/>
          <w:szCs w:val="24"/>
          <w:lang w:val="en-US"/>
        </w:rPr>
      </w:pPr>
      <w:r w:rsidRPr="7C2F16DA" w:rsidR="7C2F16DA">
        <w:rPr>
          <w:rFonts w:ascii="Arial" w:hAnsi="Arial" w:eastAsia="Arial" w:cs="Arial"/>
          <w:b w:val="1"/>
          <w:bCs w:val="1"/>
          <w:i w:val="0"/>
          <w:iCs w:val="0"/>
          <w:caps w:val="0"/>
          <w:smallCaps w:val="0"/>
          <w:noProof w:val="0"/>
          <w:color w:val="1F3763"/>
          <w:sz w:val="24"/>
          <w:szCs w:val="24"/>
          <w:lang w:val="en-GB"/>
        </w:rPr>
        <w:t>Operating Profit Ratio</w:t>
      </w:r>
    </w:p>
    <w:p xmlns:wp14="http://schemas.microsoft.com/office/word/2010/wordml" w:rsidP="7C2F16DA" w14:paraId="5BC58F6D" wp14:textId="05170FA7">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 xml:space="preserve">The operating profit ratio is one of the key financial metrics that is used to measure the performance of a company and it is one of the major ratios in terms to </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determine</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 xml:space="preserve"> the profitability of a company (</w:t>
      </w:r>
      <w:proofErr w:type="spellStart"/>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Nugraha</w:t>
      </w:r>
      <w:proofErr w:type="spellEnd"/>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Puspitasari</w:t>
      </w:r>
      <w:proofErr w:type="spellEnd"/>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 xml:space="preserve"> and Amalia, 2020). The operating ratio is calculated by dividing the operating profit by sales, then the value of the operating profit ratio will come. In this case, there is a ratio analysis of the Hilton Worldwide Holding </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Inc,</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 xml:space="preserve"> and the operating ratio of the company Hilton Worldwide Holding Inc was, in the year 2019, 0.17 and in the next year 2020.</w:t>
      </w:r>
    </w:p>
    <w:p xmlns:wp14="http://schemas.microsoft.com/office/word/2010/wordml" w:rsidP="7C2F16DA" w14:paraId="31B05E76" wp14:textId="732C494F">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 xml:space="preserve">The value has decreased to -0.03 in the year 2020, so there is a change about 117% so that is a huge change in the year 2020. The major reason for this change is that there is an operating loss for the </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company,</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 xml:space="preserve"> so the value of the operating profit ratio becomes negative. To bring improvement in the value of the operating profit ratio the company needs to improve the sales of the company as well as the company also needs to minimize the expenses so that the company can improve the operating profit ratio that shows a better performance of the company.</w:t>
      </w:r>
    </w:p>
    <w:p xmlns:wp14="http://schemas.microsoft.com/office/word/2010/wordml" w:rsidP="7C2F16DA" w14:paraId="6444C411" wp14:textId="4A740AF1">
      <w:pPr>
        <w:pStyle w:val="Heading3"/>
        <w:spacing w:before="120" w:after="120" w:line="360" w:lineRule="auto"/>
        <w:jc w:val="both"/>
        <w:rPr>
          <w:rFonts w:ascii="Arial" w:hAnsi="Arial" w:eastAsia="Arial" w:cs="Arial"/>
          <w:b w:val="1"/>
          <w:bCs w:val="1"/>
          <w:i w:val="0"/>
          <w:iCs w:val="0"/>
          <w:caps w:val="0"/>
          <w:smallCaps w:val="0"/>
          <w:noProof w:val="0"/>
          <w:color w:val="1F3763"/>
          <w:sz w:val="24"/>
          <w:szCs w:val="24"/>
          <w:lang w:val="en-US"/>
        </w:rPr>
      </w:pPr>
      <w:r w:rsidRPr="7C2F16DA" w:rsidR="7C2F16DA">
        <w:rPr>
          <w:rFonts w:ascii="Arial" w:hAnsi="Arial" w:eastAsia="Arial" w:cs="Arial"/>
          <w:b w:val="1"/>
          <w:bCs w:val="1"/>
          <w:i w:val="0"/>
          <w:iCs w:val="0"/>
          <w:caps w:val="0"/>
          <w:smallCaps w:val="0"/>
          <w:noProof w:val="0"/>
          <w:color w:val="1F3763"/>
          <w:sz w:val="24"/>
          <w:szCs w:val="24"/>
          <w:lang w:val="en-GB"/>
        </w:rPr>
        <w:t>Net Profit Ratio</w:t>
      </w:r>
    </w:p>
    <w:p xmlns:wp14="http://schemas.microsoft.com/office/word/2010/wordml" w:rsidP="7C2F16DA" w14:paraId="1F27D876" wp14:textId="0A33E0CD">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The net profit ratio is one of the major financial metrics that is used to measure the performance of a company. The net profit ratio is one of the major instruments that determine the profitability of a company (Nugraha, Puspitasari and Amalia, 2020). The net profit ratio of Hilton Worldwide Holding Inc, the value was 0.09 in the year 2019 and in the next year the value was changed by 278% and the value was -0.17 in the year 2020.</w:t>
      </w:r>
    </w:p>
    <w:p xmlns:wp14="http://schemas.microsoft.com/office/word/2010/wordml" w:rsidP="7C2F16DA" w14:paraId="467D7407" wp14:textId="02DEF51D">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 xml:space="preserve">The Net Profit Ratio of the company shows a negative sight for the company. The major reason for this change in the value of the net profit ratio is that the company has incurred net loss in the year 2020 so that the value of the net profit ratio has been decreased in the year 2020. To improve the value of the net profit ratio the company needs to minimize the expenses as well as the company also needs to improve the sales so that the value of the net profit ratio will be improved in the future of the company. </w:t>
      </w:r>
    </w:p>
    <w:p xmlns:wp14="http://schemas.microsoft.com/office/word/2010/wordml" w:rsidP="7C2F16DA" w14:paraId="4EE3E46D" wp14:textId="73F8CC3E">
      <w:pPr>
        <w:pStyle w:val="Heading3"/>
        <w:spacing w:before="120" w:after="120" w:line="360" w:lineRule="auto"/>
        <w:jc w:val="both"/>
        <w:rPr>
          <w:rFonts w:ascii="Arial" w:hAnsi="Arial" w:eastAsia="Arial" w:cs="Arial"/>
          <w:b w:val="1"/>
          <w:bCs w:val="1"/>
          <w:i w:val="0"/>
          <w:iCs w:val="0"/>
          <w:caps w:val="0"/>
          <w:smallCaps w:val="0"/>
          <w:noProof w:val="0"/>
          <w:color w:val="1F3763"/>
          <w:sz w:val="24"/>
          <w:szCs w:val="24"/>
          <w:lang w:val="en-US"/>
        </w:rPr>
      </w:pPr>
      <w:r w:rsidRPr="7C2F16DA" w:rsidR="7C2F16DA">
        <w:rPr>
          <w:rFonts w:ascii="Arial" w:hAnsi="Arial" w:eastAsia="Arial" w:cs="Arial"/>
          <w:b w:val="1"/>
          <w:bCs w:val="1"/>
          <w:i w:val="0"/>
          <w:iCs w:val="0"/>
          <w:caps w:val="0"/>
          <w:smallCaps w:val="0"/>
          <w:noProof w:val="0"/>
          <w:color w:val="1F3763"/>
          <w:sz w:val="24"/>
          <w:szCs w:val="24"/>
          <w:lang w:val="en-GB"/>
        </w:rPr>
        <w:t>Interest Coverage Ratio</w:t>
      </w:r>
      <w:r>
        <w:tab/>
      </w:r>
    </w:p>
    <w:p xmlns:wp14="http://schemas.microsoft.com/office/word/2010/wordml" w:rsidP="7C2F16DA" w14:paraId="62A6C90C" wp14:textId="6168FD5E">
      <w:pPr>
        <w:tabs>
          <w:tab w:val="left" w:leader="none" w:pos="2136"/>
          <w:tab w:val="left" w:leader="none" w:pos="3492"/>
        </w:tabs>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The interest coverage ratio is one of the major financial instruments that is used to measure the performance of a company and this ratio shows the profit that is used to pay the interest expense of the company so this ratio is needed to calculate so that it can show the performance of the company in a better way(Otekunrin</w:t>
      </w:r>
      <w:r w:rsidRPr="7C2F16DA" w:rsidR="7C2F16DA">
        <w:rPr>
          <w:rFonts w:ascii="Arial" w:hAnsi="Arial" w:eastAsia="Arial" w:cs="Arial"/>
          <w:b w:val="0"/>
          <w:bCs w:val="0"/>
          <w:i w:val="1"/>
          <w:iCs w:val="1"/>
          <w:caps w:val="0"/>
          <w:smallCaps w:val="0"/>
          <w:noProof w:val="0"/>
          <w:color w:val="000000" w:themeColor="text1" w:themeTint="FF" w:themeShade="FF"/>
          <w:sz w:val="24"/>
          <w:szCs w:val="24"/>
          <w:lang w:val="en-GB"/>
        </w:rPr>
        <w:t>et al</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.,2018). The interest coverage ratio of Hilton Worldwide Holding Inc was -0.28 in the year 2020 and the year 2019 it was 3.81 there is a change in the value of 107%.</w:t>
      </w:r>
    </w:p>
    <w:p xmlns:wp14="http://schemas.microsoft.com/office/word/2010/wordml" w:rsidP="7C2F16DA" w14:paraId="2C7880CB" wp14:textId="7791EBDB">
      <w:pPr>
        <w:tabs>
          <w:tab w:val="left" w:leader="none" w:pos="2136"/>
          <w:tab w:val="left" w:leader="none" w:pos="3492"/>
        </w:tabs>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 xml:space="preserve">The major reason for the changes in the value is that the interest coverage ratio of the company that the operating profit of the company has been reduced in the year 2020 and it turns into a loss for the </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company,</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 xml:space="preserve"> so the value of the interest coverage ratio becomes negative in the year 2020. To bring improvement in the value of interest coverage ratio the company needs to improve its sales and the operating profit so that the value will be improved in the future and that will be a benefit for the company. </w:t>
      </w:r>
    </w:p>
    <w:p xmlns:wp14="http://schemas.microsoft.com/office/word/2010/wordml" w:rsidP="7C2F16DA" w14:paraId="47044687" wp14:textId="7BE5E326">
      <w:pPr>
        <w:pStyle w:val="Heading3"/>
        <w:spacing w:before="120" w:after="120" w:line="360" w:lineRule="auto"/>
        <w:jc w:val="both"/>
        <w:rPr>
          <w:rFonts w:ascii="Arial" w:hAnsi="Arial" w:eastAsia="Arial" w:cs="Arial"/>
          <w:b w:val="1"/>
          <w:bCs w:val="1"/>
          <w:i w:val="0"/>
          <w:iCs w:val="0"/>
          <w:caps w:val="0"/>
          <w:smallCaps w:val="0"/>
          <w:noProof w:val="0"/>
          <w:color w:val="1F3763"/>
          <w:sz w:val="24"/>
          <w:szCs w:val="24"/>
          <w:lang w:val="en-US"/>
        </w:rPr>
      </w:pPr>
      <w:r w:rsidRPr="7C2F16DA" w:rsidR="7C2F16DA">
        <w:rPr>
          <w:rFonts w:ascii="Arial" w:hAnsi="Arial" w:eastAsia="Arial" w:cs="Arial"/>
          <w:b w:val="1"/>
          <w:bCs w:val="1"/>
          <w:i w:val="0"/>
          <w:iCs w:val="0"/>
          <w:caps w:val="0"/>
          <w:smallCaps w:val="0"/>
          <w:noProof w:val="0"/>
          <w:color w:val="1F3763"/>
          <w:sz w:val="24"/>
          <w:szCs w:val="24"/>
          <w:lang w:val="en-GB"/>
        </w:rPr>
        <w:t>Current Ratio</w:t>
      </w:r>
    </w:p>
    <w:p xmlns:wp14="http://schemas.microsoft.com/office/word/2010/wordml" w:rsidP="7C2F16DA" w14:paraId="2603D061" wp14:textId="4409DCBB">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The current ratio is the most used financial metric to determine the performance of a company (Otekunrin</w:t>
      </w:r>
      <w:r w:rsidRPr="7C2F16DA" w:rsidR="7C2F16DA">
        <w:rPr>
          <w:rFonts w:ascii="Arial" w:hAnsi="Arial" w:eastAsia="Arial" w:cs="Arial"/>
          <w:b w:val="0"/>
          <w:bCs w:val="0"/>
          <w:i w:val="1"/>
          <w:iCs w:val="1"/>
          <w:caps w:val="0"/>
          <w:smallCaps w:val="0"/>
          <w:noProof w:val="0"/>
          <w:color w:val="000000" w:themeColor="text1" w:themeTint="FF" w:themeShade="FF"/>
          <w:sz w:val="24"/>
          <w:szCs w:val="24"/>
          <w:lang w:val="en-GB"/>
        </w:rPr>
        <w:t>et al</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 xml:space="preserve">.,2018). The current ratio determines the ability of a company to meet its short-term obligations, and this is one of the major instruments to determine the liquidity of a company. The current ratio is calculated by dividing the current assets by current liabilities. The current ratio of Hilton Worldwide Holding Inc was 1.73 in the year 2020, and in the year 2019, the value was lesser by 137% so the value of the current ratio has been improved for the company and it is better for the company. The company needs to bring more improvement in the value of the current ratio so that the value of the current ratio will be improved in the future of the company. </w:t>
      </w:r>
    </w:p>
    <w:p xmlns:wp14="http://schemas.microsoft.com/office/word/2010/wordml" w:rsidP="7C2F16DA" w14:paraId="7BCABA88" wp14:textId="1C9795A3">
      <w:pPr>
        <w:pStyle w:val="Heading3"/>
        <w:spacing w:before="120" w:after="120" w:line="360" w:lineRule="auto"/>
        <w:jc w:val="both"/>
        <w:rPr>
          <w:rFonts w:ascii="Arial" w:hAnsi="Arial" w:eastAsia="Arial" w:cs="Arial"/>
          <w:b w:val="1"/>
          <w:bCs w:val="1"/>
          <w:i w:val="0"/>
          <w:iCs w:val="0"/>
          <w:caps w:val="0"/>
          <w:smallCaps w:val="0"/>
          <w:noProof w:val="0"/>
          <w:color w:val="1F3763"/>
          <w:sz w:val="24"/>
          <w:szCs w:val="24"/>
          <w:lang w:val="en-US"/>
        </w:rPr>
      </w:pPr>
      <w:r w:rsidRPr="7C2F16DA" w:rsidR="7C2F16DA">
        <w:rPr>
          <w:rFonts w:ascii="Arial" w:hAnsi="Arial" w:eastAsia="Arial" w:cs="Arial"/>
          <w:b w:val="1"/>
          <w:bCs w:val="1"/>
          <w:i w:val="0"/>
          <w:iCs w:val="0"/>
          <w:caps w:val="0"/>
          <w:smallCaps w:val="0"/>
          <w:noProof w:val="0"/>
          <w:color w:val="1F3763"/>
          <w:sz w:val="24"/>
          <w:szCs w:val="24"/>
          <w:lang w:val="en-GB"/>
        </w:rPr>
        <w:t>Debt to Assets Ratio</w:t>
      </w:r>
    </w:p>
    <w:p xmlns:wp14="http://schemas.microsoft.com/office/word/2010/wordml" w:rsidP="7C2F16DA" w14:paraId="1082320B" wp14:textId="65AD4742">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 xml:space="preserve">The debt to assets ratio is the financial metric that is used to </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identify</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 xml:space="preserve"> the performance of a </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company,</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 xml:space="preserve"> but this ratio eventually </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determines</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 xml:space="preserve"> how much </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debits</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 xml:space="preserve"> there in a company as compared to the assets of the company (</w:t>
      </w:r>
      <w:r w:rsidRPr="7C2F16DA" w:rsidR="7C2F16DA">
        <w:rPr>
          <w:rFonts w:ascii="Arial" w:hAnsi="Arial" w:eastAsia="Arial" w:cs="Arial"/>
          <w:b w:val="0"/>
          <w:bCs w:val="0"/>
          <w:i w:val="0"/>
          <w:iCs w:val="0"/>
          <w:caps w:val="0"/>
          <w:smallCaps w:val="0"/>
          <w:noProof w:val="0"/>
          <w:color w:val="222222"/>
          <w:sz w:val="24"/>
          <w:szCs w:val="24"/>
          <w:lang w:val="en-GB"/>
        </w:rPr>
        <w:t>Dance and Imade, 2019)</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 xml:space="preserve">. The debt to assets ratio is calculated by dividing the debts by the assets of the company. The debt to assets ratio of Hilton Worldwide Holding Inc was in the year 2020 1.09 and in the previous year it was 1.03 and there is an improvement of 6% in the year 2020. The company needs to bring more improvement in the company in terms of debt to assets ratio and for that, the company needs to </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maintain</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 xml:space="preserve"> the debts and the assets properly so that the value will be improved in the company in the future. </w:t>
      </w:r>
    </w:p>
    <w:p xmlns:wp14="http://schemas.microsoft.com/office/word/2010/wordml" w:rsidP="7C2F16DA" w14:paraId="558A5635" wp14:textId="2DAB9EE3">
      <w:pPr>
        <w:pStyle w:val="Heading2"/>
        <w:spacing w:before="120" w:after="120" w:line="360" w:lineRule="auto"/>
        <w:jc w:val="both"/>
        <w:rPr>
          <w:rFonts w:ascii="Arial" w:hAnsi="Arial" w:eastAsia="Arial" w:cs="Arial"/>
          <w:b w:val="1"/>
          <w:bCs w:val="1"/>
          <w:i w:val="0"/>
          <w:iCs w:val="0"/>
          <w:caps w:val="0"/>
          <w:smallCaps w:val="0"/>
          <w:noProof w:val="0"/>
          <w:color w:val="ED7D31" w:themeColor="accent2" w:themeTint="FF" w:themeShade="FF"/>
          <w:sz w:val="28"/>
          <w:szCs w:val="28"/>
          <w:lang w:val="en-US"/>
        </w:rPr>
      </w:pPr>
      <w:r w:rsidRPr="7C2F16DA" w:rsidR="7C2F16DA">
        <w:rPr>
          <w:rFonts w:ascii="Arial" w:hAnsi="Arial" w:eastAsia="Arial" w:cs="Arial"/>
          <w:b w:val="1"/>
          <w:bCs w:val="1"/>
          <w:i w:val="0"/>
          <w:iCs w:val="0"/>
          <w:caps w:val="0"/>
          <w:smallCaps w:val="0"/>
          <w:noProof w:val="0"/>
          <w:color w:val="ED7D31" w:themeColor="accent2" w:themeTint="FF" w:themeShade="FF"/>
          <w:sz w:val="28"/>
          <w:szCs w:val="28"/>
          <w:lang w:val="en-GB"/>
        </w:rPr>
        <w:t>B) The Importance of Using Ratio Analysis for Decision-Making</w:t>
      </w:r>
    </w:p>
    <w:p xmlns:wp14="http://schemas.microsoft.com/office/word/2010/wordml" w:rsidP="7C2F16DA" w14:paraId="4F33E367" wp14:textId="7C58E510">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 xml:space="preserve">The ratio analysis is one of the main tools for performance management as it measures the performance of a company. The ratio analysis is one of the main financial metrics that is used to measure the performance of a company (Bozkurt </w:t>
      </w:r>
      <w:r w:rsidRPr="7C2F16DA" w:rsidR="7C2F16DA">
        <w:rPr>
          <w:rFonts w:ascii="Arial" w:hAnsi="Arial" w:eastAsia="Arial" w:cs="Arial"/>
          <w:b w:val="0"/>
          <w:bCs w:val="0"/>
          <w:i w:val="1"/>
          <w:iCs w:val="1"/>
          <w:caps w:val="0"/>
          <w:smallCaps w:val="0"/>
          <w:noProof w:val="0"/>
          <w:color w:val="000000" w:themeColor="text1" w:themeTint="FF" w:themeShade="FF"/>
          <w:sz w:val="24"/>
          <w:szCs w:val="24"/>
          <w:lang w:val="en-GB"/>
        </w:rPr>
        <w:t>et a</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 xml:space="preserve">l., 2019). The ratio analysis helps make a comparison between the performance of the company, and the ratio analysis is that which enables the view of the performance of a company. The ratio analysis gives a greater view of the business performance and that helps the decision makers of a company to make strategies for the improvement of the company. The ratio analysis shows the actual performance of a company, if a company’s performance is weak then the decision makers of the company can easily get an idea for which the company is facing problem and then the decision-makers can easily make new strategies for the development of the company. </w:t>
      </w:r>
    </w:p>
    <w:p xmlns:wp14="http://schemas.microsoft.com/office/word/2010/wordml" w:rsidP="7C2F16DA" w14:paraId="628F5C4E" wp14:textId="63E96AA9">
      <w:pPr>
        <w:pStyle w:val="Heading1"/>
        <w:spacing w:before="120" w:after="120" w:line="360" w:lineRule="auto"/>
        <w:jc w:val="both"/>
        <w:rPr>
          <w:rFonts w:ascii="Arial" w:hAnsi="Arial" w:eastAsia="Arial" w:cs="Arial"/>
          <w:b w:val="1"/>
          <w:bCs w:val="1"/>
          <w:i w:val="0"/>
          <w:iCs w:val="0"/>
          <w:caps w:val="0"/>
          <w:smallCaps w:val="0"/>
          <w:noProof w:val="0"/>
          <w:color w:val="2F5496" w:themeColor="accent1" w:themeTint="FF" w:themeShade="BF"/>
          <w:sz w:val="32"/>
          <w:szCs w:val="32"/>
          <w:lang w:val="en-US"/>
        </w:rPr>
      </w:pPr>
      <w:r w:rsidRPr="7C2F16DA" w:rsidR="7C2F16DA">
        <w:rPr>
          <w:rFonts w:ascii="Arial" w:hAnsi="Arial" w:eastAsia="Arial" w:cs="Arial"/>
          <w:b w:val="1"/>
          <w:bCs w:val="1"/>
          <w:i w:val="0"/>
          <w:iCs w:val="0"/>
          <w:caps w:val="0"/>
          <w:smallCaps w:val="0"/>
          <w:noProof w:val="0"/>
          <w:color w:val="2F5496" w:themeColor="accent1" w:themeTint="FF" w:themeShade="BF"/>
          <w:sz w:val="32"/>
          <w:szCs w:val="32"/>
          <w:lang w:val="en-GB"/>
        </w:rPr>
        <w:t>The Limitation of Ratio Analysis</w:t>
      </w:r>
    </w:p>
    <w:p xmlns:wp14="http://schemas.microsoft.com/office/word/2010/wordml" w:rsidP="7C2F16DA" w14:paraId="340667E4" wp14:textId="0178A6FF">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 xml:space="preserve">There are also some limitations of ratio analysis, one of the major limitations of the ratio analysis is that the ratio analysis is not standard, and the ratio analysis cannot determine the actual performance of a company by using a single ratio it required a set of the ratios to determine the performance of a company (Caesar </w:t>
      </w:r>
      <w:r w:rsidRPr="7C2F16DA" w:rsidR="7C2F16DA">
        <w:rPr>
          <w:rFonts w:ascii="Arial" w:hAnsi="Arial" w:eastAsia="Arial" w:cs="Arial"/>
          <w:b w:val="0"/>
          <w:bCs w:val="0"/>
          <w:i w:val="1"/>
          <w:iCs w:val="1"/>
          <w:caps w:val="0"/>
          <w:smallCaps w:val="0"/>
          <w:noProof w:val="0"/>
          <w:color w:val="000000" w:themeColor="text1" w:themeTint="FF" w:themeShade="FF"/>
          <w:sz w:val="24"/>
          <w:szCs w:val="24"/>
          <w:lang w:val="en-GB"/>
        </w:rPr>
        <w:t>et al</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 xml:space="preserve">., 2019). </w:t>
      </w:r>
    </w:p>
    <w:p xmlns:wp14="http://schemas.microsoft.com/office/word/2010/wordml" w:rsidP="7C2F16DA" w14:paraId="31F87E0F" wp14:textId="55DCC4DC">
      <w:pPr>
        <w:pStyle w:val="Heading2"/>
        <w:spacing w:before="120" w:after="120" w:line="360" w:lineRule="auto"/>
        <w:jc w:val="both"/>
        <w:rPr>
          <w:rFonts w:ascii="Arial" w:hAnsi="Arial" w:eastAsia="Arial" w:cs="Arial"/>
          <w:b w:val="1"/>
          <w:bCs w:val="1"/>
          <w:i w:val="0"/>
          <w:iCs w:val="0"/>
          <w:caps w:val="0"/>
          <w:smallCaps w:val="0"/>
          <w:noProof w:val="0"/>
          <w:color w:val="ED7D31" w:themeColor="accent2" w:themeTint="FF" w:themeShade="FF"/>
          <w:sz w:val="28"/>
          <w:szCs w:val="28"/>
          <w:lang w:val="en-US"/>
        </w:rPr>
      </w:pPr>
      <w:r w:rsidRPr="7C2F16DA" w:rsidR="7C2F16DA">
        <w:rPr>
          <w:rFonts w:ascii="Arial" w:hAnsi="Arial" w:eastAsia="Arial" w:cs="Arial"/>
          <w:b w:val="1"/>
          <w:bCs w:val="1"/>
          <w:i w:val="0"/>
          <w:iCs w:val="0"/>
          <w:caps w:val="0"/>
          <w:smallCaps w:val="0"/>
          <w:noProof w:val="0"/>
          <w:color w:val="ED7D31" w:themeColor="accent2" w:themeTint="FF" w:themeShade="FF"/>
          <w:sz w:val="28"/>
          <w:szCs w:val="28"/>
          <w:lang w:val="en-GB"/>
        </w:rPr>
        <w:t>An Understanding of Ratios and Their Fluctuations Is Essential for Hotel Management</w:t>
      </w:r>
    </w:p>
    <w:p xmlns:wp14="http://schemas.microsoft.com/office/word/2010/wordml" w:rsidP="7C2F16DA" w14:paraId="16C80549" wp14:textId="4DEB4D02">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 xml:space="preserve">The ratio analysis is the major financial metric that is used to measure the performance of a </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company (</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 xml:space="preserve">Meiling, 2019). The ratio analysis is needed in every organization, which enables a view of the performance of the companies. The ratio analysis is essential for every company even for the hotel management. The above ratio analysis shows the performance of the company Hilton Worldwide Holding Inc, and there is a trouble that the company is facing in terms of performance. in that case, also there is a fluctuation in the value of its ratios and that shows the performance of the company ay seeing this the decision-makers of the company also can improve the business process and that helps a lot for the growth of the company. </w:t>
      </w:r>
    </w:p>
    <w:p xmlns:wp14="http://schemas.microsoft.com/office/word/2010/wordml" w:rsidP="7C2F16DA" w14:paraId="20960741" wp14:textId="5E9FF88B">
      <w:pPr>
        <w:pStyle w:val="Heading1"/>
        <w:spacing w:before="120" w:after="120" w:line="360" w:lineRule="auto"/>
        <w:jc w:val="both"/>
        <w:rPr>
          <w:rFonts w:ascii="Arial" w:hAnsi="Arial" w:eastAsia="Arial" w:cs="Arial"/>
          <w:b w:val="1"/>
          <w:bCs w:val="1"/>
          <w:i w:val="0"/>
          <w:iCs w:val="0"/>
          <w:caps w:val="0"/>
          <w:smallCaps w:val="0"/>
          <w:noProof w:val="0"/>
          <w:color w:val="2F5496" w:themeColor="accent1" w:themeTint="FF" w:themeShade="BF"/>
          <w:sz w:val="32"/>
          <w:szCs w:val="32"/>
          <w:lang w:val="en-US"/>
        </w:rPr>
      </w:pPr>
      <w:r w:rsidRPr="7C2F16DA" w:rsidR="7C2F16DA">
        <w:rPr>
          <w:rFonts w:ascii="Arial" w:hAnsi="Arial" w:eastAsia="Arial" w:cs="Arial"/>
          <w:b w:val="1"/>
          <w:bCs w:val="1"/>
          <w:i w:val="0"/>
          <w:iCs w:val="0"/>
          <w:caps w:val="0"/>
          <w:smallCaps w:val="0"/>
          <w:noProof w:val="0"/>
          <w:color w:val="2F5496" w:themeColor="accent1" w:themeTint="FF" w:themeShade="BF"/>
          <w:sz w:val="32"/>
          <w:szCs w:val="32"/>
          <w:lang w:val="en-GB"/>
        </w:rPr>
        <w:t>Conclusion</w:t>
      </w:r>
    </w:p>
    <w:p xmlns:wp14="http://schemas.microsoft.com/office/word/2010/wordml" w:rsidP="7C2F16DA" w14:paraId="71A077D7" wp14:textId="0079FFCD">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 xml:space="preserve">This entire report discussed the value of the financial ratio. Because with help of the ratio the company always </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identifies</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 xml:space="preserve"> its problems and finds out the solution. And the ratios show the help the company of Hilton Worldwide Holding Inc to </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identify</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 xml:space="preserve"> its performance </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and</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 xml:space="preserve"> defined how the company overcomes its issues. But the other side the all-over ratio has some limitations, this overall content discussed the value of the ratio and how they work. If the value of the ratio is positive, it means the company’s performance is well and if the was negative it means the company should improve its performance in running its business</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C2F16DA" w14:paraId="6A008F92" wp14:textId="66A66DBD">
      <w:pPr>
        <w:spacing w:before="120" w:after="160" w:line="259" w:lineRule="auto"/>
        <w:jc w:val="left"/>
        <w:rPr>
          <w:rFonts w:ascii="Arial" w:hAnsi="Arial" w:eastAsia="Arial" w:cs="Arial"/>
          <w:b w:val="0"/>
          <w:bCs w:val="0"/>
          <w:i w:val="0"/>
          <w:iCs w:val="0"/>
          <w:caps w:val="0"/>
          <w:smallCaps w:val="0"/>
          <w:noProof w:val="0"/>
          <w:color w:val="2F5496" w:themeColor="accent1" w:themeTint="FF" w:themeShade="BF"/>
          <w:sz w:val="32"/>
          <w:szCs w:val="32"/>
          <w:lang w:val="en-US"/>
        </w:rPr>
      </w:pPr>
      <w:r>
        <w:br w:type="page"/>
      </w:r>
    </w:p>
    <w:p xmlns:wp14="http://schemas.microsoft.com/office/word/2010/wordml" w:rsidP="7C2F16DA" w14:paraId="55875662" wp14:textId="61A98E3C">
      <w:pPr>
        <w:pStyle w:val="Heading1"/>
        <w:spacing w:before="120" w:after="120" w:line="360" w:lineRule="auto"/>
        <w:jc w:val="both"/>
        <w:rPr>
          <w:rFonts w:ascii="Arial" w:hAnsi="Arial" w:eastAsia="Arial" w:cs="Arial"/>
          <w:b w:val="1"/>
          <w:bCs w:val="1"/>
          <w:i w:val="0"/>
          <w:iCs w:val="0"/>
          <w:caps w:val="0"/>
          <w:smallCaps w:val="0"/>
          <w:noProof w:val="0"/>
          <w:color w:val="2F5496" w:themeColor="accent1" w:themeTint="FF" w:themeShade="BF"/>
          <w:sz w:val="32"/>
          <w:szCs w:val="32"/>
          <w:lang w:val="en-US"/>
        </w:rPr>
      </w:pPr>
      <w:r w:rsidRPr="7C2F16DA" w:rsidR="7C2F16DA">
        <w:rPr>
          <w:rFonts w:ascii="Arial" w:hAnsi="Arial" w:eastAsia="Arial" w:cs="Arial"/>
          <w:b w:val="1"/>
          <w:bCs w:val="1"/>
          <w:i w:val="0"/>
          <w:iCs w:val="0"/>
          <w:caps w:val="0"/>
          <w:smallCaps w:val="0"/>
          <w:noProof w:val="0"/>
          <w:color w:val="2F5496" w:themeColor="accent1" w:themeTint="FF" w:themeShade="BF"/>
          <w:sz w:val="32"/>
          <w:szCs w:val="32"/>
          <w:lang w:val="en-GB"/>
        </w:rPr>
        <w:t>References</w:t>
      </w:r>
    </w:p>
    <w:p xmlns:wp14="http://schemas.microsoft.com/office/word/2010/wordml" w:rsidP="7C2F16DA" w14:paraId="3A47CD6B" wp14:textId="78DB3C1D">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Bozkurt, H.H., Tokgöz, M.A., Yapar, A. and Atik, O.Ş., 2019. What is the importance of canal-to-diaphysis ratio on osteoporosis-related hip fractures?. </w:t>
      </w:r>
      <w:r w:rsidRPr="7C2F16DA" w:rsidR="7C2F16DA">
        <w:rPr>
          <w:rFonts w:ascii="Arial" w:hAnsi="Arial" w:eastAsia="Arial" w:cs="Arial"/>
          <w:b w:val="0"/>
          <w:bCs w:val="0"/>
          <w:i w:val="1"/>
          <w:iCs w:val="1"/>
          <w:caps w:val="0"/>
          <w:smallCaps w:val="0"/>
          <w:noProof w:val="0"/>
          <w:color w:val="000000" w:themeColor="text1" w:themeTint="FF" w:themeShade="FF"/>
          <w:sz w:val="24"/>
          <w:szCs w:val="24"/>
          <w:lang w:val="en-GB"/>
        </w:rPr>
        <w:t>EklemHastaliklariveCerrahisi= Joint Diseases &amp; Related Surgery</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 </w:t>
      </w:r>
      <w:r w:rsidRPr="7C2F16DA" w:rsidR="7C2F16DA">
        <w:rPr>
          <w:rFonts w:ascii="Arial" w:hAnsi="Arial" w:eastAsia="Arial" w:cs="Arial"/>
          <w:b w:val="0"/>
          <w:bCs w:val="0"/>
          <w:i w:val="1"/>
          <w:iCs w:val="1"/>
          <w:caps w:val="0"/>
          <w:smallCaps w:val="0"/>
          <w:noProof w:val="0"/>
          <w:color w:val="000000" w:themeColor="text1" w:themeTint="FF" w:themeShade="FF"/>
          <w:sz w:val="24"/>
          <w:szCs w:val="24"/>
          <w:lang w:val="en-GB"/>
        </w:rPr>
        <w:t>30</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(3), pp.296-300.</w:t>
      </w:r>
    </w:p>
    <w:p xmlns:wp14="http://schemas.microsoft.com/office/word/2010/wordml" w:rsidP="7C2F16DA" w14:paraId="21688545" wp14:textId="720229F1">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Caesar, L.K., Kellogg, J.J., Kvalheim, O.M. and Cech, N.B., 2019. Opportunities and limitations for untargeted mass spectrometry metabolomics to identify biologically active constituents in complex natural product mixtures. </w:t>
      </w:r>
      <w:r w:rsidRPr="7C2F16DA" w:rsidR="7C2F16DA">
        <w:rPr>
          <w:rFonts w:ascii="Arial" w:hAnsi="Arial" w:eastAsia="Arial" w:cs="Arial"/>
          <w:b w:val="0"/>
          <w:bCs w:val="0"/>
          <w:i w:val="1"/>
          <w:iCs w:val="1"/>
          <w:caps w:val="0"/>
          <w:smallCaps w:val="0"/>
          <w:noProof w:val="0"/>
          <w:color w:val="000000" w:themeColor="text1" w:themeTint="FF" w:themeShade="FF"/>
          <w:sz w:val="24"/>
          <w:szCs w:val="24"/>
          <w:lang w:val="en-GB"/>
        </w:rPr>
        <w:t>Journal of natural products</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 </w:t>
      </w:r>
      <w:r w:rsidRPr="7C2F16DA" w:rsidR="7C2F16DA">
        <w:rPr>
          <w:rFonts w:ascii="Arial" w:hAnsi="Arial" w:eastAsia="Arial" w:cs="Arial"/>
          <w:b w:val="0"/>
          <w:bCs w:val="0"/>
          <w:i w:val="1"/>
          <w:iCs w:val="1"/>
          <w:caps w:val="0"/>
          <w:smallCaps w:val="0"/>
          <w:noProof w:val="0"/>
          <w:color w:val="000000" w:themeColor="text1" w:themeTint="FF" w:themeShade="FF"/>
          <w:sz w:val="24"/>
          <w:szCs w:val="24"/>
          <w:lang w:val="en-GB"/>
        </w:rPr>
        <w:t>82</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(3), pp.469-484.</w:t>
      </w:r>
    </w:p>
    <w:p xmlns:wp14="http://schemas.microsoft.com/office/word/2010/wordml" w:rsidP="7C2F16DA" w14:paraId="46249810" wp14:textId="12B2A978">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Dance, M. and Imade, S., 2019. Financial ratio analysis in predicting financial conditions distress in indonesia stock exchange. </w:t>
      </w:r>
      <w:r w:rsidRPr="7C2F16DA" w:rsidR="7C2F16DA">
        <w:rPr>
          <w:rFonts w:ascii="Arial" w:hAnsi="Arial" w:eastAsia="Arial" w:cs="Arial"/>
          <w:b w:val="0"/>
          <w:bCs w:val="0"/>
          <w:i w:val="1"/>
          <w:iCs w:val="1"/>
          <w:caps w:val="0"/>
          <w:smallCaps w:val="0"/>
          <w:noProof w:val="0"/>
          <w:color w:val="000000" w:themeColor="text1" w:themeTint="FF" w:themeShade="FF"/>
          <w:sz w:val="24"/>
          <w:szCs w:val="24"/>
          <w:lang w:val="en-GB"/>
        </w:rPr>
        <w:t>Russian Journal of Agricultural and Socio-Economic Sciences</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 </w:t>
      </w:r>
      <w:r w:rsidRPr="7C2F16DA" w:rsidR="7C2F16DA">
        <w:rPr>
          <w:rFonts w:ascii="Arial" w:hAnsi="Arial" w:eastAsia="Arial" w:cs="Arial"/>
          <w:b w:val="0"/>
          <w:bCs w:val="0"/>
          <w:i w:val="1"/>
          <w:iCs w:val="1"/>
          <w:caps w:val="0"/>
          <w:smallCaps w:val="0"/>
          <w:noProof w:val="0"/>
          <w:color w:val="000000" w:themeColor="text1" w:themeTint="FF" w:themeShade="FF"/>
          <w:sz w:val="24"/>
          <w:szCs w:val="24"/>
          <w:lang w:val="en-GB"/>
        </w:rPr>
        <w:t>86</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(2).</w:t>
      </w:r>
    </w:p>
    <w:p xmlns:wp14="http://schemas.microsoft.com/office/word/2010/wordml" w:rsidP="7C2F16DA" w14:paraId="069DABFF" wp14:textId="42C62561">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Islami, I.N. and Rio, W., 2019. Financial ratio analysis to predict financial distress on property and real estate company listed in indonesia stock exchange. </w:t>
      </w:r>
      <w:r w:rsidRPr="7C2F16DA" w:rsidR="7C2F16DA">
        <w:rPr>
          <w:rFonts w:ascii="Arial" w:hAnsi="Arial" w:eastAsia="Arial" w:cs="Arial"/>
          <w:b w:val="0"/>
          <w:bCs w:val="0"/>
          <w:i w:val="1"/>
          <w:iCs w:val="1"/>
          <w:caps w:val="0"/>
          <w:smallCaps w:val="0"/>
          <w:noProof w:val="0"/>
          <w:color w:val="000000" w:themeColor="text1" w:themeTint="FF" w:themeShade="FF"/>
          <w:sz w:val="24"/>
          <w:szCs w:val="24"/>
          <w:lang w:val="en-GB"/>
        </w:rPr>
        <w:t>JAAF (Journal of Applied Accounting and Finance)</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 </w:t>
      </w:r>
      <w:r w:rsidRPr="7C2F16DA" w:rsidR="7C2F16DA">
        <w:rPr>
          <w:rFonts w:ascii="Arial" w:hAnsi="Arial" w:eastAsia="Arial" w:cs="Arial"/>
          <w:b w:val="0"/>
          <w:bCs w:val="0"/>
          <w:i w:val="1"/>
          <w:iCs w:val="1"/>
          <w:caps w:val="0"/>
          <w:smallCaps w:val="0"/>
          <w:noProof w:val="0"/>
          <w:color w:val="000000" w:themeColor="text1" w:themeTint="FF" w:themeShade="FF"/>
          <w:sz w:val="24"/>
          <w:szCs w:val="24"/>
          <w:lang w:val="en-GB"/>
        </w:rPr>
        <w:t>2</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(2), pp.125-137.</w:t>
      </w:r>
    </w:p>
    <w:p xmlns:wp14="http://schemas.microsoft.com/office/word/2010/wordml" w:rsidP="7C2F16DA" w14:paraId="5242DDAE" wp14:textId="3FE8E374">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Meiling, H., 2019, December. Research on Bank–Enterprise Relationship and SMEs Financing. In </w:t>
      </w:r>
      <w:r w:rsidRPr="7C2F16DA" w:rsidR="7C2F16DA">
        <w:rPr>
          <w:rFonts w:ascii="Arial" w:hAnsi="Arial" w:eastAsia="Arial" w:cs="Arial"/>
          <w:b w:val="0"/>
          <w:bCs w:val="0"/>
          <w:i w:val="1"/>
          <w:iCs w:val="1"/>
          <w:caps w:val="0"/>
          <w:smallCaps w:val="0"/>
          <w:noProof w:val="0"/>
          <w:color w:val="000000" w:themeColor="text1" w:themeTint="FF" w:themeShade="FF"/>
          <w:sz w:val="24"/>
          <w:szCs w:val="24"/>
          <w:lang w:val="en-GB"/>
        </w:rPr>
        <w:t>International Conference on Economic Management and Cultural Industry. Shenzhen, China</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 (pp. 239-242).</w:t>
      </w:r>
    </w:p>
    <w:p xmlns:wp14="http://schemas.microsoft.com/office/word/2010/wordml" w:rsidP="7C2F16DA" w14:paraId="107586AF" wp14:textId="63DF60DC">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Nugraha, N.M., Puspitasari, D.M. and Amalia, S., 2020. The effect of financial ratio factors on the percentage of income increasing of automotive companies in Indonesia. </w:t>
      </w:r>
      <w:r w:rsidRPr="7C2F16DA" w:rsidR="7C2F16DA">
        <w:rPr>
          <w:rFonts w:ascii="Arial" w:hAnsi="Arial" w:eastAsia="Arial" w:cs="Arial"/>
          <w:b w:val="0"/>
          <w:bCs w:val="0"/>
          <w:i w:val="1"/>
          <w:iCs w:val="1"/>
          <w:caps w:val="0"/>
          <w:smallCaps w:val="0"/>
          <w:noProof w:val="0"/>
          <w:color w:val="000000" w:themeColor="text1" w:themeTint="FF" w:themeShade="FF"/>
          <w:sz w:val="24"/>
          <w:szCs w:val="24"/>
          <w:lang w:val="en-GB"/>
        </w:rPr>
        <w:t>International Journal of Psychosocial Rehabilitation</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 </w:t>
      </w:r>
      <w:r w:rsidRPr="7C2F16DA" w:rsidR="7C2F16DA">
        <w:rPr>
          <w:rFonts w:ascii="Arial" w:hAnsi="Arial" w:eastAsia="Arial" w:cs="Arial"/>
          <w:b w:val="0"/>
          <w:bCs w:val="0"/>
          <w:i w:val="1"/>
          <w:iCs w:val="1"/>
          <w:caps w:val="0"/>
          <w:smallCaps w:val="0"/>
          <w:noProof w:val="0"/>
          <w:color w:val="000000" w:themeColor="text1" w:themeTint="FF" w:themeShade="FF"/>
          <w:sz w:val="24"/>
          <w:szCs w:val="24"/>
          <w:lang w:val="en-GB"/>
        </w:rPr>
        <w:t>24</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(1), pp.2539-2545.</w:t>
      </w:r>
    </w:p>
    <w:p xmlns:wp14="http://schemas.microsoft.com/office/word/2010/wordml" w:rsidP="7C2F16DA" w14:paraId="2C078E63" wp14:textId="3B19A45C">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roofErr w:type="spellStart"/>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Otekunrin</w:t>
      </w:r>
      <w:proofErr w:type="spellEnd"/>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 xml:space="preserve">, A.O., </w:t>
      </w:r>
      <w:proofErr w:type="spellStart"/>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Nwanji</w:t>
      </w:r>
      <w:proofErr w:type="spellEnd"/>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 xml:space="preserve">, T.I., </w:t>
      </w:r>
      <w:proofErr w:type="spellStart"/>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Olowookere</w:t>
      </w:r>
      <w:proofErr w:type="spellEnd"/>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 xml:space="preserve">, J.K., </w:t>
      </w:r>
      <w:proofErr w:type="spellStart"/>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Egbide</w:t>
      </w:r>
      <w:proofErr w:type="spellEnd"/>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 xml:space="preserve">, B.C., </w:t>
      </w:r>
      <w:proofErr w:type="spellStart"/>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Fakile</w:t>
      </w:r>
      <w:proofErr w:type="spellEnd"/>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 xml:space="preserve">, S.A., Lawal, </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A.I</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 xml:space="preserve">., Ajayi, S.A., </w:t>
      </w:r>
      <w:proofErr w:type="spellStart"/>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Falaye</w:t>
      </w:r>
      <w:proofErr w:type="spellEnd"/>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 xml:space="preserve">, A.J. and </w:t>
      </w:r>
      <w:proofErr w:type="spellStart"/>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Eluyela</w:t>
      </w:r>
      <w:proofErr w:type="spellEnd"/>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 xml:space="preserve">, F.D., 2018. Financial ratio analysis and market price of share of selected quoted agriculture and </w:t>
      </w:r>
      <w:proofErr w:type="spellStart"/>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agro</w:t>
      </w:r>
      <w:proofErr w:type="spellEnd"/>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 xml:space="preserve">-allied firms in Nigeria </w:t>
      </w:r>
      <w:proofErr w:type="spellStart"/>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afteradoption</w:t>
      </w:r>
      <w:proofErr w:type="spellEnd"/>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 xml:space="preserve"> of international financial reporting standard. </w:t>
      </w:r>
      <w:r w:rsidRPr="7C2F16DA" w:rsidR="7C2F16DA">
        <w:rPr>
          <w:rFonts w:ascii="Arial" w:hAnsi="Arial" w:eastAsia="Arial" w:cs="Arial"/>
          <w:b w:val="0"/>
          <w:bCs w:val="0"/>
          <w:i w:val="1"/>
          <w:iCs w:val="1"/>
          <w:caps w:val="0"/>
          <w:smallCaps w:val="0"/>
          <w:noProof w:val="0"/>
          <w:color w:val="000000" w:themeColor="text1" w:themeTint="FF" w:themeShade="FF"/>
          <w:sz w:val="24"/>
          <w:szCs w:val="24"/>
          <w:lang w:val="en-GB"/>
        </w:rPr>
        <w:t>The Journal of Social Sciences Research</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 </w:t>
      </w:r>
      <w:r w:rsidRPr="7C2F16DA" w:rsidR="7C2F16DA">
        <w:rPr>
          <w:rFonts w:ascii="Arial" w:hAnsi="Arial" w:eastAsia="Arial" w:cs="Arial"/>
          <w:b w:val="0"/>
          <w:bCs w:val="0"/>
          <w:i w:val="1"/>
          <w:iCs w:val="1"/>
          <w:caps w:val="0"/>
          <w:smallCaps w:val="0"/>
          <w:noProof w:val="0"/>
          <w:color w:val="000000" w:themeColor="text1" w:themeTint="FF" w:themeShade="FF"/>
          <w:sz w:val="24"/>
          <w:szCs w:val="24"/>
          <w:lang w:val="en-GB"/>
        </w:rPr>
        <w:t>4</w:t>
      </w:r>
      <w:r w:rsidRPr="7C2F16DA" w:rsidR="7C2F16DA">
        <w:rPr>
          <w:rFonts w:ascii="Arial" w:hAnsi="Arial" w:eastAsia="Arial" w:cs="Arial"/>
          <w:b w:val="0"/>
          <w:bCs w:val="0"/>
          <w:i w:val="0"/>
          <w:iCs w:val="0"/>
          <w:caps w:val="0"/>
          <w:smallCaps w:val="0"/>
          <w:noProof w:val="0"/>
          <w:color w:val="000000" w:themeColor="text1" w:themeTint="FF" w:themeShade="FF"/>
          <w:sz w:val="24"/>
          <w:szCs w:val="24"/>
          <w:lang w:val="en-GB"/>
        </w:rPr>
        <w:t>(12), pp.736-744.</w:t>
      </w:r>
    </w:p>
    <w:sectPr>
      <w:pgSz w:w="12240" w:h="15840" w:orient="portrait"/>
      <w:pgMar w:top="1440" w:right="1440" w:bottom="1440" w:left="1440" w:header="720" w:footer="720" w:gutter="0"/>
      <w:cols w:space="720"/>
      <w:docGrid w:linePitch="360"/>
      <w:headerReference w:type="default" r:id="Ra7d6021449ef4271"/>
      <w:footerReference w:type="default" r:id="Rb0742f04172d402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C2F16DA" w:rsidTr="7C2F16DA" w14:paraId="64EBDE03">
      <w:tc>
        <w:tcPr>
          <w:tcW w:w="3120" w:type="dxa"/>
          <w:tcMar/>
        </w:tcPr>
        <w:p w:rsidR="7C2F16DA" w:rsidP="7C2F16DA" w:rsidRDefault="7C2F16DA" w14:paraId="186A5BE2" w14:textId="5BAAFD4E">
          <w:pPr>
            <w:pStyle w:val="Header"/>
            <w:bidi w:val="0"/>
            <w:ind w:left="-115"/>
            <w:jc w:val="left"/>
          </w:pPr>
        </w:p>
      </w:tc>
      <w:tc>
        <w:tcPr>
          <w:tcW w:w="3120" w:type="dxa"/>
          <w:tcMar/>
        </w:tcPr>
        <w:p w:rsidR="7C2F16DA" w:rsidP="7C2F16DA" w:rsidRDefault="7C2F16DA" w14:paraId="77C2DED3" w14:textId="4B7B73F2">
          <w:pPr>
            <w:pStyle w:val="Header"/>
            <w:bidi w:val="0"/>
            <w:jc w:val="center"/>
          </w:pPr>
        </w:p>
      </w:tc>
      <w:tc>
        <w:tcPr>
          <w:tcW w:w="3120" w:type="dxa"/>
          <w:tcMar/>
        </w:tcPr>
        <w:p w:rsidR="7C2F16DA" w:rsidP="7C2F16DA" w:rsidRDefault="7C2F16DA" w14:paraId="094D0D82" w14:textId="692ABDC5">
          <w:pPr>
            <w:pStyle w:val="Header"/>
            <w:bidi w:val="0"/>
            <w:ind w:right="-115"/>
            <w:jc w:val="right"/>
          </w:pPr>
        </w:p>
      </w:tc>
    </w:tr>
  </w:tbl>
  <w:p w:rsidR="7C2F16DA" w:rsidP="7C2F16DA" w:rsidRDefault="7C2F16DA" w14:paraId="27091DED" w14:textId="08A41A2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C2F16DA" w:rsidTr="7C2F16DA" w14:paraId="04A561E1">
      <w:tc>
        <w:tcPr>
          <w:tcW w:w="3120" w:type="dxa"/>
          <w:tcMar/>
        </w:tcPr>
        <w:p w:rsidR="7C2F16DA" w:rsidP="7C2F16DA" w:rsidRDefault="7C2F16DA" w14:paraId="297EFBBB" w14:textId="7966ACA9">
          <w:pPr>
            <w:pStyle w:val="Header"/>
            <w:bidi w:val="0"/>
            <w:ind w:left="-115"/>
            <w:jc w:val="left"/>
          </w:pPr>
        </w:p>
      </w:tc>
      <w:tc>
        <w:tcPr>
          <w:tcW w:w="3120" w:type="dxa"/>
          <w:tcMar/>
        </w:tcPr>
        <w:p w:rsidR="7C2F16DA" w:rsidP="7C2F16DA" w:rsidRDefault="7C2F16DA" w14:paraId="28E075CF" w14:textId="1E753001">
          <w:pPr>
            <w:pStyle w:val="Header"/>
            <w:bidi w:val="0"/>
            <w:jc w:val="center"/>
          </w:pPr>
        </w:p>
      </w:tc>
      <w:tc>
        <w:tcPr>
          <w:tcW w:w="3120" w:type="dxa"/>
          <w:tcMar/>
        </w:tcPr>
        <w:p w:rsidR="7C2F16DA" w:rsidP="7C2F16DA" w:rsidRDefault="7C2F16DA" w14:paraId="626053C0" w14:textId="238F44C4">
          <w:pPr>
            <w:pStyle w:val="Header"/>
            <w:bidi w:val="0"/>
            <w:ind w:right="-115"/>
            <w:jc w:val="right"/>
          </w:pPr>
        </w:p>
      </w:tc>
    </w:tr>
  </w:tbl>
  <w:p w:rsidR="7C2F16DA" w:rsidP="7C2F16DA" w:rsidRDefault="7C2F16DA" w14:paraId="168CFD09" w14:textId="6958399C">
    <w:pPr>
      <w:pStyle w:val="Header"/>
      <w:bidi w:val="0"/>
    </w:pPr>
  </w:p>
</w:hdr>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AC1763"/>
    <w:rsid w:val="0368B43D"/>
    <w:rsid w:val="0368B43D"/>
    <w:rsid w:val="04DAB8E2"/>
    <w:rsid w:val="059B5735"/>
    <w:rsid w:val="059B5735"/>
    <w:rsid w:val="084C6418"/>
    <w:rsid w:val="084C6418"/>
    <w:rsid w:val="0A6EC858"/>
    <w:rsid w:val="0A6EC858"/>
    <w:rsid w:val="0B49FA66"/>
    <w:rsid w:val="0B49FA66"/>
    <w:rsid w:val="15B96885"/>
    <w:rsid w:val="15B96885"/>
    <w:rsid w:val="175538E6"/>
    <w:rsid w:val="175538E6"/>
    <w:rsid w:val="1AB1B7CE"/>
    <w:rsid w:val="1AB1B7CE"/>
    <w:rsid w:val="1B680BB6"/>
    <w:rsid w:val="1E10939B"/>
    <w:rsid w:val="1E10939B"/>
    <w:rsid w:val="2032F7DB"/>
    <w:rsid w:val="2032F7DB"/>
    <w:rsid w:val="247FD51F"/>
    <w:rsid w:val="247FD51F"/>
    <w:rsid w:val="250668FE"/>
    <w:rsid w:val="250668FE"/>
    <w:rsid w:val="26A2395F"/>
    <w:rsid w:val="26A2395F"/>
    <w:rsid w:val="283E09C0"/>
    <w:rsid w:val="283E09C0"/>
    <w:rsid w:val="2D00D784"/>
    <w:rsid w:val="2D00D784"/>
    <w:rsid w:val="2DDA9E34"/>
    <w:rsid w:val="2DDA9E34"/>
    <w:rsid w:val="379B7CBD"/>
    <w:rsid w:val="379B7CBD"/>
    <w:rsid w:val="3D1EE8D4"/>
    <w:rsid w:val="40672CF5"/>
    <w:rsid w:val="40672CF5"/>
    <w:rsid w:val="453A9E18"/>
    <w:rsid w:val="453A9E18"/>
    <w:rsid w:val="47D2829E"/>
    <w:rsid w:val="47D2829E"/>
    <w:rsid w:val="48723EDA"/>
    <w:rsid w:val="48723EDA"/>
    <w:rsid w:val="4934488B"/>
    <w:rsid w:val="4934488B"/>
    <w:rsid w:val="4A0E0F3B"/>
    <w:rsid w:val="4A0E0F3B"/>
    <w:rsid w:val="4C6BE94D"/>
    <w:rsid w:val="4C6BE94D"/>
    <w:rsid w:val="4D45AFFD"/>
    <w:rsid w:val="4D45AFFD"/>
    <w:rsid w:val="4FBC1AF4"/>
    <w:rsid w:val="4FBC1AF4"/>
    <w:rsid w:val="626A2344"/>
    <w:rsid w:val="626A2344"/>
    <w:rsid w:val="6405F3A5"/>
    <w:rsid w:val="6405F3A5"/>
    <w:rsid w:val="64A5AFE1"/>
    <w:rsid w:val="64A5AFE1"/>
    <w:rsid w:val="65A1C406"/>
    <w:rsid w:val="65A1C406"/>
    <w:rsid w:val="6B03B68E"/>
    <w:rsid w:val="6B03B68E"/>
    <w:rsid w:val="6BAC1763"/>
    <w:rsid w:val="6DB4C371"/>
    <w:rsid w:val="6DB4C371"/>
    <w:rsid w:val="70C2FD1E"/>
    <w:rsid w:val="70C2FD1E"/>
    <w:rsid w:val="70EC6433"/>
    <w:rsid w:val="70EC6433"/>
    <w:rsid w:val="719E2F2C"/>
    <w:rsid w:val="719E2F2C"/>
    <w:rsid w:val="73FA9DE0"/>
    <w:rsid w:val="73FA9DE0"/>
    <w:rsid w:val="742404F5"/>
    <w:rsid w:val="742404F5"/>
    <w:rsid w:val="7C2F16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C1763"/>
  <w15:chartTrackingRefBased/>
  <w15:docId w15:val="{5049D46D-3B77-407F-B3DD-9CEBE983BE6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db1ecbd523664a65" /><Relationship Type="http://schemas.openxmlformats.org/officeDocument/2006/relationships/image" Target="/media/image2.png" Id="Rd2d549cd5cf04884" /><Relationship Type="http://schemas.openxmlformats.org/officeDocument/2006/relationships/image" Target="/media/image3.png" Id="R922a8e808b0d47d4" /><Relationship Type="http://schemas.openxmlformats.org/officeDocument/2006/relationships/header" Target="header.xml" Id="Ra7d6021449ef4271" /><Relationship Type="http://schemas.openxmlformats.org/officeDocument/2006/relationships/footer" Target="footer.xml" Id="Rb0742f04172d402d" /><Relationship Type="http://schemas.openxmlformats.org/officeDocument/2006/relationships/numbering" Target="numbering.xml" Id="Rb25f4446c05d4a5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2022-05-31T16:36:44.7558240Z</dcterms:created>
  <dcterms:modified xsi:type="dcterms:W3CDTF">2022-05-31T17:06:31.6183524Z</dcterms:modified>
  <dc:creator>Laxshan Rajagopalasingam (2017474)</dc:creator>
  <lastModifiedBy>Laxshan Rajagopalasingam (2017474)</lastModifiedBy>
</coreProperties>
</file>