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emf"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777932" w14:textId="359457FE" w:rsidR="002969FF" w:rsidRDefault="002969FF">
      <w:pPr>
        <w:rPr>
          <w:rFonts w:ascii="Arial" w:hAnsi="Arial" w:cs="Arial"/>
          <w:sz w:val="22"/>
        </w:rPr>
      </w:pPr>
    </w:p>
    <w:p w14:paraId="27D4C1AB" w14:textId="77777777" w:rsidR="007564E1" w:rsidRDefault="007564E1">
      <w:pPr>
        <w:rPr>
          <w:rFonts w:ascii="Arial" w:hAnsi="Arial" w:cs="Arial"/>
          <w:sz w:val="22"/>
        </w:rPr>
      </w:pPr>
    </w:p>
    <w:p w14:paraId="0303CB90" w14:textId="77777777" w:rsidR="007564E1" w:rsidRDefault="007564E1">
      <w:pPr>
        <w:rPr>
          <w:rFonts w:ascii="Arial" w:hAnsi="Arial" w:cs="Arial"/>
          <w:sz w:val="22"/>
        </w:rPr>
      </w:pPr>
    </w:p>
    <w:p w14:paraId="2EF66E8E" w14:textId="77777777" w:rsidR="007564E1" w:rsidRDefault="007564E1">
      <w:pPr>
        <w:rPr>
          <w:rFonts w:ascii="Arial" w:hAnsi="Arial" w:cs="Arial"/>
          <w:sz w:val="22"/>
        </w:rPr>
      </w:pPr>
    </w:p>
    <w:p w14:paraId="6783291F" w14:textId="32EF7669" w:rsidR="007564E1" w:rsidRPr="00860890" w:rsidRDefault="00860890" w:rsidP="00860890">
      <w:pPr>
        <w:ind w:firstLine="0"/>
        <w:jc w:val="center"/>
        <w:rPr>
          <w:rFonts w:ascii="Arial" w:hAnsi="Arial" w:cs="Arial"/>
          <w:b/>
          <w:bCs/>
          <w:sz w:val="22"/>
        </w:rPr>
      </w:pPr>
      <w:r w:rsidRPr="00860890">
        <w:rPr>
          <w:rFonts w:ascii="Arial" w:hAnsi="Arial" w:cs="Arial"/>
          <w:b/>
          <w:bCs/>
          <w:sz w:val="22"/>
        </w:rPr>
        <w:t>Two Part Assessment: Annotated Bibliography and Short Report on Social and Health Care Support for Older Adults</w:t>
      </w:r>
    </w:p>
    <w:p w14:paraId="3F713DFC" w14:textId="77777777" w:rsidR="007564E1" w:rsidRDefault="007564E1" w:rsidP="00860890">
      <w:pPr>
        <w:jc w:val="center"/>
        <w:rPr>
          <w:rFonts w:ascii="Arial" w:hAnsi="Arial" w:cs="Arial"/>
          <w:sz w:val="22"/>
        </w:rPr>
      </w:pPr>
    </w:p>
    <w:p w14:paraId="0427E3FB" w14:textId="34DB1B4D" w:rsidR="00860890" w:rsidRDefault="00860890" w:rsidP="00860890">
      <w:pPr>
        <w:jc w:val="center"/>
        <w:rPr>
          <w:rFonts w:ascii="Arial" w:hAnsi="Arial" w:cs="Arial"/>
          <w:sz w:val="22"/>
        </w:rPr>
      </w:pPr>
      <w:r>
        <w:rPr>
          <w:rFonts w:ascii="Arial" w:hAnsi="Arial" w:cs="Arial"/>
          <w:sz w:val="22"/>
        </w:rPr>
        <w:t>Irene Nanteza</w:t>
      </w:r>
    </w:p>
    <w:p w14:paraId="41E493DE" w14:textId="5D6CCE8C" w:rsidR="00F4797A" w:rsidRDefault="00860890" w:rsidP="000F5913">
      <w:pPr>
        <w:jc w:val="center"/>
        <w:rPr>
          <w:rFonts w:ascii="Arial" w:hAnsi="Arial" w:cs="Arial"/>
          <w:sz w:val="22"/>
        </w:rPr>
      </w:pPr>
      <w:r>
        <w:rPr>
          <w:rFonts w:ascii="Arial" w:hAnsi="Arial" w:cs="Arial"/>
          <w:sz w:val="22"/>
        </w:rPr>
        <w:t>Student ID</w:t>
      </w:r>
      <w:r w:rsidR="007C5BE6">
        <w:rPr>
          <w:rFonts w:ascii="Arial" w:hAnsi="Arial" w:cs="Arial"/>
          <w:sz w:val="22"/>
        </w:rPr>
        <w:t xml:space="preserve">: </w:t>
      </w:r>
      <w:r w:rsidR="000F5913">
        <w:rPr>
          <w:rFonts w:ascii="Arial" w:hAnsi="Arial" w:cs="Arial"/>
          <w:sz w:val="22"/>
        </w:rPr>
        <w:t>2331157</w:t>
      </w:r>
    </w:p>
    <w:p w14:paraId="1ECCF69D" w14:textId="097A89D2" w:rsidR="007F14EB" w:rsidRDefault="00860890" w:rsidP="00860890">
      <w:pPr>
        <w:jc w:val="center"/>
        <w:rPr>
          <w:rFonts w:ascii="Arial" w:hAnsi="Arial" w:cs="Arial"/>
          <w:sz w:val="22"/>
        </w:rPr>
      </w:pPr>
      <w:r>
        <w:rPr>
          <w:rFonts w:ascii="Arial" w:hAnsi="Arial" w:cs="Arial"/>
          <w:sz w:val="22"/>
        </w:rPr>
        <w:t xml:space="preserve">Module </w:t>
      </w:r>
      <w:r w:rsidR="0042094F">
        <w:rPr>
          <w:rFonts w:ascii="Arial" w:hAnsi="Arial" w:cs="Arial"/>
          <w:sz w:val="22"/>
        </w:rPr>
        <w:t xml:space="preserve">Title: </w:t>
      </w:r>
      <w:r w:rsidR="00937B9E">
        <w:rPr>
          <w:rFonts w:ascii="Arial" w:hAnsi="Arial" w:cs="Arial"/>
          <w:sz w:val="22"/>
        </w:rPr>
        <w:t>Psychology</w:t>
      </w:r>
      <w:r w:rsidR="00460EBD">
        <w:rPr>
          <w:rFonts w:ascii="Arial" w:hAnsi="Arial" w:cs="Arial"/>
          <w:sz w:val="22"/>
        </w:rPr>
        <w:t xml:space="preserve"> in Health and Social Care</w:t>
      </w:r>
    </w:p>
    <w:p w14:paraId="5744EC6C" w14:textId="7C039497" w:rsidR="00860890" w:rsidRDefault="007F14EB" w:rsidP="00860890">
      <w:pPr>
        <w:jc w:val="center"/>
        <w:rPr>
          <w:rFonts w:ascii="Arial" w:hAnsi="Arial" w:cs="Arial"/>
          <w:sz w:val="22"/>
        </w:rPr>
      </w:pPr>
      <w:r>
        <w:rPr>
          <w:rFonts w:ascii="Arial" w:hAnsi="Arial" w:cs="Arial"/>
          <w:sz w:val="22"/>
        </w:rPr>
        <w:t>Module Code: L</w:t>
      </w:r>
      <w:r w:rsidR="0010757D">
        <w:rPr>
          <w:rFonts w:ascii="Arial" w:hAnsi="Arial" w:cs="Arial"/>
          <w:sz w:val="22"/>
        </w:rPr>
        <w:t>CHS4010</w:t>
      </w:r>
      <w:r w:rsidR="00460EBD">
        <w:rPr>
          <w:rFonts w:ascii="Arial" w:hAnsi="Arial" w:cs="Arial"/>
          <w:sz w:val="22"/>
        </w:rPr>
        <w:t xml:space="preserve"> </w:t>
      </w:r>
    </w:p>
    <w:p w14:paraId="16D897F6" w14:textId="2F341822" w:rsidR="00860890" w:rsidRDefault="00860890" w:rsidP="00860890">
      <w:pPr>
        <w:jc w:val="center"/>
        <w:rPr>
          <w:rFonts w:ascii="Arial" w:hAnsi="Arial" w:cs="Arial"/>
          <w:sz w:val="22"/>
        </w:rPr>
      </w:pPr>
      <w:r>
        <w:rPr>
          <w:rFonts w:ascii="Arial" w:hAnsi="Arial" w:cs="Arial"/>
          <w:sz w:val="22"/>
        </w:rPr>
        <w:t>Lecturer’s name</w:t>
      </w:r>
      <w:r w:rsidR="0010757D">
        <w:rPr>
          <w:rFonts w:ascii="Arial" w:hAnsi="Arial" w:cs="Arial"/>
          <w:sz w:val="22"/>
        </w:rPr>
        <w:t>: Farah</w:t>
      </w:r>
      <w:r w:rsidR="006A6724">
        <w:rPr>
          <w:rFonts w:ascii="Arial" w:hAnsi="Arial" w:cs="Arial"/>
          <w:sz w:val="22"/>
        </w:rPr>
        <w:t xml:space="preserve"> Wiita</w:t>
      </w:r>
    </w:p>
    <w:p w14:paraId="69DBD6DF" w14:textId="77777777" w:rsidR="007564E1" w:rsidRDefault="007564E1">
      <w:pPr>
        <w:rPr>
          <w:rFonts w:ascii="Arial" w:hAnsi="Arial" w:cs="Arial"/>
          <w:sz w:val="22"/>
        </w:rPr>
      </w:pPr>
    </w:p>
    <w:p w14:paraId="711CCF4A" w14:textId="77777777" w:rsidR="007564E1" w:rsidRDefault="007564E1">
      <w:pPr>
        <w:rPr>
          <w:rFonts w:ascii="Arial" w:hAnsi="Arial" w:cs="Arial"/>
          <w:sz w:val="22"/>
        </w:rPr>
      </w:pPr>
    </w:p>
    <w:p w14:paraId="0C5877FC" w14:textId="77777777" w:rsidR="007564E1" w:rsidRDefault="007564E1">
      <w:pPr>
        <w:rPr>
          <w:rFonts w:ascii="Arial" w:hAnsi="Arial" w:cs="Arial"/>
          <w:sz w:val="22"/>
        </w:rPr>
      </w:pPr>
    </w:p>
    <w:p w14:paraId="42CAF3F5" w14:textId="77777777" w:rsidR="007564E1" w:rsidRDefault="007564E1">
      <w:pPr>
        <w:rPr>
          <w:rFonts w:ascii="Arial" w:hAnsi="Arial" w:cs="Arial"/>
          <w:sz w:val="22"/>
        </w:rPr>
      </w:pPr>
    </w:p>
    <w:p w14:paraId="6B768954" w14:textId="77777777" w:rsidR="007564E1" w:rsidRDefault="007564E1">
      <w:pPr>
        <w:rPr>
          <w:rFonts w:ascii="Arial" w:hAnsi="Arial" w:cs="Arial"/>
          <w:sz w:val="22"/>
        </w:rPr>
      </w:pPr>
    </w:p>
    <w:p w14:paraId="56F795BB" w14:textId="77777777" w:rsidR="007564E1" w:rsidRDefault="007564E1">
      <w:pPr>
        <w:rPr>
          <w:rFonts w:ascii="Arial" w:hAnsi="Arial" w:cs="Arial"/>
          <w:sz w:val="22"/>
        </w:rPr>
      </w:pPr>
    </w:p>
    <w:p w14:paraId="498D7A8E" w14:textId="77777777" w:rsidR="007564E1" w:rsidRDefault="007564E1">
      <w:pPr>
        <w:rPr>
          <w:rFonts w:ascii="Arial" w:hAnsi="Arial" w:cs="Arial"/>
          <w:sz w:val="22"/>
        </w:rPr>
      </w:pPr>
    </w:p>
    <w:p w14:paraId="3FDDB64A" w14:textId="77777777" w:rsidR="007564E1" w:rsidRDefault="007564E1">
      <w:pPr>
        <w:rPr>
          <w:rFonts w:ascii="Arial" w:hAnsi="Arial" w:cs="Arial"/>
          <w:sz w:val="22"/>
        </w:rPr>
      </w:pPr>
    </w:p>
    <w:p w14:paraId="1CE73829" w14:textId="77777777" w:rsidR="007564E1" w:rsidRDefault="007564E1">
      <w:pPr>
        <w:rPr>
          <w:rFonts w:ascii="Arial" w:hAnsi="Arial" w:cs="Arial"/>
          <w:sz w:val="22"/>
        </w:rPr>
      </w:pPr>
    </w:p>
    <w:p w14:paraId="6CC3A8B7" w14:textId="77777777" w:rsidR="007564E1" w:rsidRDefault="007564E1">
      <w:pPr>
        <w:rPr>
          <w:rFonts w:ascii="Arial" w:hAnsi="Arial" w:cs="Arial"/>
          <w:sz w:val="22"/>
        </w:rPr>
      </w:pPr>
    </w:p>
    <w:p w14:paraId="24AB6731" w14:textId="77777777" w:rsidR="007564E1" w:rsidRDefault="007564E1">
      <w:pPr>
        <w:rPr>
          <w:rFonts w:ascii="Arial" w:hAnsi="Arial" w:cs="Arial"/>
          <w:sz w:val="22"/>
        </w:rPr>
      </w:pPr>
    </w:p>
    <w:p w14:paraId="1CF04D51" w14:textId="77777777" w:rsidR="007564E1" w:rsidRDefault="007564E1">
      <w:pPr>
        <w:rPr>
          <w:rFonts w:ascii="Arial" w:hAnsi="Arial" w:cs="Arial"/>
          <w:sz w:val="22"/>
        </w:rPr>
      </w:pPr>
    </w:p>
    <w:p w14:paraId="39366ECE" w14:textId="77777777" w:rsidR="007564E1" w:rsidRDefault="007564E1">
      <w:pPr>
        <w:rPr>
          <w:rFonts w:ascii="Arial" w:hAnsi="Arial" w:cs="Arial"/>
          <w:sz w:val="22"/>
        </w:rPr>
      </w:pPr>
    </w:p>
    <w:p w14:paraId="09AF0A4C" w14:textId="47476D04" w:rsidR="002969FF" w:rsidRPr="000C4FC2" w:rsidRDefault="00FE3B6E" w:rsidP="00FE3B6E">
      <w:pPr>
        <w:ind w:firstLine="0"/>
        <w:rPr>
          <w:rFonts w:ascii="Arial" w:hAnsi="Arial" w:cs="Arial"/>
          <w:b/>
          <w:bCs/>
          <w:sz w:val="22"/>
        </w:rPr>
      </w:pPr>
      <w:r w:rsidRPr="000C4FC2">
        <w:rPr>
          <w:rFonts w:ascii="Arial" w:hAnsi="Arial" w:cs="Arial"/>
          <w:b/>
          <w:bCs/>
          <w:sz w:val="22"/>
        </w:rPr>
        <w:t>Part A: Annotated Bibliography</w:t>
      </w:r>
    </w:p>
    <w:p w14:paraId="726C987F" w14:textId="17535117" w:rsidR="00FE3B6E" w:rsidRDefault="00A9298C" w:rsidP="00FE3B6E">
      <w:pPr>
        <w:ind w:firstLine="0"/>
        <w:rPr>
          <w:rFonts w:ascii="Arial" w:hAnsi="Arial" w:cs="Arial"/>
          <w:sz w:val="22"/>
        </w:rPr>
      </w:pPr>
      <w:r>
        <w:rPr>
          <w:rFonts w:ascii="Arial" w:hAnsi="Arial" w:cs="Arial"/>
          <w:sz w:val="22"/>
        </w:rPr>
        <w:t xml:space="preserve">This segment will evaluate four sources that </w:t>
      </w:r>
      <w:proofErr w:type="spellStart"/>
      <w:r>
        <w:rPr>
          <w:rFonts w:ascii="Arial" w:hAnsi="Arial" w:cs="Arial"/>
          <w:sz w:val="22"/>
        </w:rPr>
        <w:t>analyse</w:t>
      </w:r>
      <w:proofErr w:type="spellEnd"/>
      <w:r>
        <w:rPr>
          <w:rFonts w:ascii="Arial" w:hAnsi="Arial" w:cs="Arial"/>
          <w:sz w:val="22"/>
        </w:rPr>
        <w:t xml:space="preserve"> and apply four theories learned in this module. Then, their relevance in application to older adult care in health and social settings will be provided.</w:t>
      </w:r>
    </w:p>
    <w:p w14:paraId="16B19336" w14:textId="00882D86" w:rsidR="00A9298C" w:rsidRPr="00A9298C" w:rsidRDefault="00A9298C" w:rsidP="00A9298C">
      <w:pPr>
        <w:ind w:left="720" w:hanging="720"/>
        <w:rPr>
          <w:rFonts w:ascii="Arial" w:hAnsi="Arial" w:cs="Arial"/>
          <w:b/>
          <w:bCs/>
          <w:color w:val="000000" w:themeColor="text1"/>
          <w:sz w:val="22"/>
        </w:rPr>
      </w:pPr>
      <w:r w:rsidRPr="00A9298C">
        <w:rPr>
          <w:rFonts w:ascii="Arial" w:hAnsi="Arial" w:cs="Arial"/>
          <w:b/>
          <w:bCs/>
          <w:color w:val="000000" w:themeColor="text1"/>
          <w:sz w:val="22"/>
        </w:rPr>
        <w:t xml:space="preserve">Abbasi, M., Radfar, M., </w:t>
      </w:r>
      <w:proofErr w:type="spellStart"/>
      <w:r w:rsidRPr="00A9298C">
        <w:rPr>
          <w:rFonts w:ascii="Arial" w:hAnsi="Arial" w:cs="Arial"/>
          <w:b/>
          <w:bCs/>
          <w:color w:val="000000" w:themeColor="text1"/>
          <w:sz w:val="22"/>
        </w:rPr>
        <w:t>Jafarizadeh</w:t>
      </w:r>
      <w:proofErr w:type="spellEnd"/>
      <w:r w:rsidRPr="00A9298C">
        <w:rPr>
          <w:rFonts w:ascii="Arial" w:hAnsi="Arial" w:cs="Arial"/>
          <w:b/>
          <w:bCs/>
          <w:color w:val="000000" w:themeColor="text1"/>
          <w:sz w:val="22"/>
        </w:rPr>
        <w:t xml:space="preserve">, H., &amp; </w:t>
      </w:r>
      <w:proofErr w:type="spellStart"/>
      <w:r w:rsidRPr="00A9298C">
        <w:rPr>
          <w:rFonts w:ascii="Arial" w:hAnsi="Arial" w:cs="Arial"/>
          <w:b/>
          <w:bCs/>
          <w:color w:val="000000" w:themeColor="text1"/>
          <w:sz w:val="22"/>
        </w:rPr>
        <w:t>Khalkhali</w:t>
      </w:r>
      <w:proofErr w:type="spellEnd"/>
      <w:r w:rsidRPr="00A9298C">
        <w:rPr>
          <w:rFonts w:ascii="Arial" w:hAnsi="Arial" w:cs="Arial"/>
          <w:b/>
          <w:bCs/>
          <w:color w:val="000000" w:themeColor="text1"/>
          <w:sz w:val="22"/>
        </w:rPr>
        <w:t>, H. (2025) ‘Does life story work based on Erikson's theory enhance psychological well-being in elderly residents of nursing homes? A randomized controlled trial’, </w:t>
      </w:r>
      <w:r w:rsidRPr="00A9298C">
        <w:rPr>
          <w:rFonts w:ascii="Arial" w:hAnsi="Arial" w:cs="Arial"/>
          <w:b/>
          <w:bCs/>
          <w:i/>
          <w:iCs/>
          <w:color w:val="000000" w:themeColor="text1"/>
          <w:sz w:val="22"/>
        </w:rPr>
        <w:t>Geriatric Nursing</w:t>
      </w:r>
      <w:r w:rsidRPr="00A9298C">
        <w:rPr>
          <w:rFonts w:ascii="Arial" w:hAnsi="Arial" w:cs="Arial"/>
          <w:b/>
          <w:bCs/>
          <w:color w:val="000000" w:themeColor="text1"/>
          <w:sz w:val="22"/>
        </w:rPr>
        <w:t>, 6(1), pp. 140-148.</w:t>
      </w:r>
      <w:r w:rsidR="003E05B7">
        <w:rPr>
          <w:rFonts w:ascii="Arial" w:hAnsi="Arial" w:cs="Arial"/>
          <w:b/>
          <w:bCs/>
          <w:color w:val="000000" w:themeColor="text1"/>
          <w:sz w:val="22"/>
        </w:rPr>
        <w:t xml:space="preserve"> Available at:</w:t>
      </w:r>
      <w:r w:rsidRPr="00A9298C">
        <w:rPr>
          <w:rFonts w:ascii="Arial" w:hAnsi="Arial" w:cs="Arial"/>
          <w:b/>
          <w:bCs/>
          <w:color w:val="000000" w:themeColor="text1"/>
          <w:sz w:val="22"/>
        </w:rPr>
        <w:t xml:space="preserve"> </w:t>
      </w:r>
      <w:hyperlink r:id="rId6" w:history="1">
        <w:r w:rsidRPr="00A9298C">
          <w:rPr>
            <w:rStyle w:val="Hyperlink"/>
            <w:rFonts w:ascii="Arial" w:hAnsi="Arial" w:cs="Arial"/>
            <w:b/>
            <w:bCs/>
            <w:color w:val="000000" w:themeColor="text1"/>
            <w:sz w:val="22"/>
          </w:rPr>
          <w:t>https://doi.org/10.1016/j.gerinurse.2024.10.066</w:t>
        </w:r>
      </w:hyperlink>
      <w:r w:rsidRPr="00A9298C">
        <w:rPr>
          <w:rFonts w:ascii="Arial" w:hAnsi="Arial" w:cs="Arial"/>
          <w:b/>
          <w:bCs/>
          <w:color w:val="000000" w:themeColor="text1"/>
          <w:sz w:val="22"/>
        </w:rPr>
        <w:t xml:space="preserve"> </w:t>
      </w:r>
    </w:p>
    <w:p w14:paraId="0B7BBD45" w14:textId="7FF6181C" w:rsidR="00A9298C" w:rsidRDefault="00A9298C" w:rsidP="00FE3B6E">
      <w:pPr>
        <w:ind w:firstLine="0"/>
        <w:rPr>
          <w:rFonts w:ascii="Arial" w:hAnsi="Arial" w:cs="Arial"/>
          <w:sz w:val="22"/>
        </w:rPr>
      </w:pPr>
      <w:r>
        <w:rPr>
          <w:rFonts w:ascii="Arial" w:hAnsi="Arial" w:cs="Arial"/>
          <w:sz w:val="22"/>
        </w:rPr>
        <w:t xml:space="preserve">Abbasi </w:t>
      </w:r>
      <w:r w:rsidRPr="00A9298C">
        <w:rPr>
          <w:rFonts w:ascii="Arial" w:hAnsi="Arial" w:cs="Arial"/>
          <w:i/>
          <w:iCs/>
          <w:sz w:val="22"/>
        </w:rPr>
        <w:t>et al.</w:t>
      </w:r>
      <w:r>
        <w:rPr>
          <w:rFonts w:ascii="Arial" w:hAnsi="Arial" w:cs="Arial"/>
          <w:sz w:val="22"/>
        </w:rPr>
        <w:t xml:space="preserve"> (2025) article examines how Erikson’s psychosocial stages of development of personal growth are </w:t>
      </w:r>
      <w:proofErr w:type="spellStart"/>
      <w:r>
        <w:rPr>
          <w:rFonts w:ascii="Arial" w:hAnsi="Arial" w:cs="Arial"/>
          <w:sz w:val="22"/>
        </w:rPr>
        <w:t>organised</w:t>
      </w:r>
      <w:proofErr w:type="spellEnd"/>
      <w:r>
        <w:rPr>
          <w:rFonts w:ascii="Arial" w:hAnsi="Arial" w:cs="Arial"/>
          <w:sz w:val="22"/>
        </w:rPr>
        <w:t xml:space="preserve"> into eight stages, corresponding to a particular age period of life. Erikson’s model predicts how the psychosocial conflicts and issues faced by individuals across the eight stages, is directly associated with biological development and psychosocial demands (Abbasi </w:t>
      </w:r>
      <w:r w:rsidRPr="00A9298C">
        <w:rPr>
          <w:rFonts w:ascii="Arial" w:hAnsi="Arial" w:cs="Arial"/>
          <w:i/>
          <w:iCs/>
          <w:sz w:val="22"/>
        </w:rPr>
        <w:t>et al.</w:t>
      </w:r>
      <w:r>
        <w:rPr>
          <w:rFonts w:ascii="Arial" w:hAnsi="Arial" w:cs="Arial"/>
          <w:sz w:val="22"/>
        </w:rPr>
        <w:t xml:space="preserve">, 2025). Effectively, Erikson’s framework reveals that successfully solving the crisis and conflicts across each stage, affects the other growth stages in a positive manner (Abbasi </w:t>
      </w:r>
      <w:r w:rsidRPr="00A9298C">
        <w:rPr>
          <w:rFonts w:ascii="Arial" w:hAnsi="Arial" w:cs="Arial"/>
          <w:i/>
          <w:iCs/>
          <w:sz w:val="22"/>
        </w:rPr>
        <w:t>et al.</w:t>
      </w:r>
      <w:r>
        <w:rPr>
          <w:rFonts w:ascii="Arial" w:hAnsi="Arial" w:cs="Arial"/>
          <w:sz w:val="22"/>
        </w:rPr>
        <w:t xml:space="preserve">, 2025). </w:t>
      </w:r>
      <w:r w:rsidR="00105F4C">
        <w:rPr>
          <w:rFonts w:ascii="Arial" w:hAnsi="Arial" w:cs="Arial"/>
          <w:sz w:val="22"/>
        </w:rPr>
        <w:t xml:space="preserve">According to Abbasi </w:t>
      </w:r>
      <w:r w:rsidR="00105F4C" w:rsidRPr="00A9298C">
        <w:rPr>
          <w:rFonts w:ascii="Arial" w:hAnsi="Arial" w:cs="Arial"/>
          <w:i/>
          <w:iCs/>
          <w:sz w:val="22"/>
        </w:rPr>
        <w:t>et al.</w:t>
      </w:r>
      <w:r w:rsidR="00105F4C">
        <w:rPr>
          <w:rFonts w:ascii="Arial" w:hAnsi="Arial" w:cs="Arial"/>
          <w:sz w:val="22"/>
        </w:rPr>
        <w:t xml:space="preserve"> (2025)’s investigation, the resolution of the crisis at each stage, leads to self-empowerment, enabling the person to manage the next stage conflict in an amicable way. With old age being the final stage in Erikson’s theory, he finds that registered nurses can assist older adults in reaching a level of self-worth, being satisfied with life, and gaining hope, by helping them to review and retrieve meaning from the positive and negative events in their lives (Abbasi </w:t>
      </w:r>
      <w:r w:rsidR="00105F4C" w:rsidRPr="00A9298C">
        <w:rPr>
          <w:rFonts w:ascii="Arial" w:hAnsi="Arial" w:cs="Arial"/>
          <w:i/>
          <w:iCs/>
          <w:sz w:val="22"/>
        </w:rPr>
        <w:t>et al.</w:t>
      </w:r>
      <w:r w:rsidR="00105F4C">
        <w:rPr>
          <w:rFonts w:ascii="Arial" w:hAnsi="Arial" w:cs="Arial"/>
          <w:sz w:val="22"/>
        </w:rPr>
        <w:t xml:space="preserve">, 2025). </w:t>
      </w:r>
      <w:r w:rsidR="00856CA1">
        <w:rPr>
          <w:rFonts w:ascii="Arial" w:hAnsi="Arial" w:cs="Arial"/>
          <w:sz w:val="22"/>
        </w:rPr>
        <w:t>By developing a narrative of themselves, registered nurses will help older adults identify the values, skills, and abilities they currently have, and then adapt them to their current development stage, in solving arising crisis and conflicts</w:t>
      </w:r>
      <w:r w:rsidR="00536AEF">
        <w:rPr>
          <w:rFonts w:ascii="Arial" w:hAnsi="Arial" w:cs="Arial"/>
          <w:sz w:val="22"/>
        </w:rPr>
        <w:t xml:space="preserve"> (Abbasi </w:t>
      </w:r>
      <w:r w:rsidR="00536AEF" w:rsidRPr="00A9298C">
        <w:rPr>
          <w:rFonts w:ascii="Arial" w:hAnsi="Arial" w:cs="Arial"/>
          <w:i/>
          <w:iCs/>
          <w:sz w:val="22"/>
        </w:rPr>
        <w:t>et al.</w:t>
      </w:r>
      <w:r w:rsidR="00536AEF">
        <w:rPr>
          <w:rFonts w:ascii="Arial" w:hAnsi="Arial" w:cs="Arial"/>
          <w:sz w:val="22"/>
        </w:rPr>
        <w:t>, 2025)</w:t>
      </w:r>
      <w:r w:rsidR="00856CA1">
        <w:rPr>
          <w:rFonts w:ascii="Arial" w:hAnsi="Arial" w:cs="Arial"/>
          <w:sz w:val="22"/>
        </w:rPr>
        <w:t xml:space="preserve">. </w:t>
      </w:r>
    </w:p>
    <w:p w14:paraId="65399D70" w14:textId="267CE814" w:rsidR="00536AEF" w:rsidRPr="003E05B7" w:rsidRDefault="003E05B7" w:rsidP="003E05B7">
      <w:pPr>
        <w:ind w:left="720" w:hanging="720"/>
        <w:rPr>
          <w:rFonts w:ascii="Arial" w:hAnsi="Arial" w:cs="Arial"/>
          <w:b/>
          <w:bCs/>
          <w:color w:val="000000" w:themeColor="text1"/>
          <w:sz w:val="22"/>
        </w:rPr>
      </w:pPr>
      <w:r w:rsidRPr="003E05B7">
        <w:rPr>
          <w:rFonts w:ascii="Arial" w:hAnsi="Arial" w:cs="Arial"/>
          <w:b/>
          <w:bCs/>
          <w:color w:val="000000" w:themeColor="text1"/>
          <w:sz w:val="22"/>
        </w:rPr>
        <w:t>Nilsson, H., Bülow, P. H., &amp; Kazemi, A. (2015) ‘Mindful Sustainable Aging: Advancing a Comprehensive Approach to the Challenges and Opportunities of Old Age’, </w:t>
      </w:r>
      <w:r w:rsidRPr="003E05B7">
        <w:rPr>
          <w:rFonts w:ascii="Arial" w:hAnsi="Arial" w:cs="Arial"/>
          <w:b/>
          <w:bCs/>
          <w:i/>
          <w:iCs/>
          <w:color w:val="000000" w:themeColor="text1"/>
          <w:sz w:val="22"/>
        </w:rPr>
        <w:t xml:space="preserve">Europe's </w:t>
      </w:r>
      <w:r>
        <w:rPr>
          <w:rFonts w:ascii="Arial" w:hAnsi="Arial" w:cs="Arial"/>
          <w:b/>
          <w:bCs/>
          <w:i/>
          <w:iCs/>
          <w:color w:val="000000" w:themeColor="text1"/>
          <w:sz w:val="22"/>
        </w:rPr>
        <w:t>J</w:t>
      </w:r>
      <w:r w:rsidRPr="003E05B7">
        <w:rPr>
          <w:rFonts w:ascii="Arial" w:hAnsi="Arial" w:cs="Arial"/>
          <w:b/>
          <w:bCs/>
          <w:i/>
          <w:iCs/>
          <w:color w:val="000000" w:themeColor="text1"/>
          <w:sz w:val="22"/>
        </w:rPr>
        <w:t xml:space="preserve">ournal of </w:t>
      </w:r>
      <w:r>
        <w:rPr>
          <w:rFonts w:ascii="Arial" w:hAnsi="Arial" w:cs="Arial"/>
          <w:b/>
          <w:bCs/>
          <w:i/>
          <w:iCs/>
          <w:color w:val="000000" w:themeColor="text1"/>
          <w:sz w:val="22"/>
        </w:rPr>
        <w:t>P</w:t>
      </w:r>
      <w:r w:rsidRPr="003E05B7">
        <w:rPr>
          <w:rFonts w:ascii="Arial" w:hAnsi="Arial" w:cs="Arial"/>
          <w:b/>
          <w:bCs/>
          <w:i/>
          <w:iCs/>
          <w:color w:val="000000" w:themeColor="text1"/>
          <w:sz w:val="22"/>
        </w:rPr>
        <w:t>sychology</w:t>
      </w:r>
      <w:r w:rsidRPr="003E05B7">
        <w:rPr>
          <w:rFonts w:ascii="Arial" w:hAnsi="Arial" w:cs="Arial"/>
          <w:b/>
          <w:bCs/>
          <w:color w:val="000000" w:themeColor="text1"/>
          <w:sz w:val="22"/>
        </w:rPr>
        <w:t xml:space="preserve">, 11(3), pp. 494–508. Available at: </w:t>
      </w:r>
      <w:hyperlink r:id="rId7" w:history="1">
        <w:r w:rsidRPr="003E05B7">
          <w:rPr>
            <w:rStyle w:val="Hyperlink"/>
            <w:rFonts w:ascii="Arial" w:hAnsi="Arial" w:cs="Arial"/>
            <w:b/>
            <w:bCs/>
            <w:color w:val="000000" w:themeColor="text1"/>
            <w:sz w:val="22"/>
          </w:rPr>
          <w:t>https://doi.org/10.5964/ejop.v11i3.949</w:t>
        </w:r>
      </w:hyperlink>
      <w:r w:rsidRPr="003E05B7">
        <w:rPr>
          <w:rFonts w:ascii="Arial" w:hAnsi="Arial" w:cs="Arial"/>
          <w:b/>
          <w:bCs/>
          <w:color w:val="000000" w:themeColor="text1"/>
          <w:sz w:val="22"/>
        </w:rPr>
        <w:t xml:space="preserve"> </w:t>
      </w:r>
    </w:p>
    <w:p w14:paraId="2AFB1F80" w14:textId="50D25B05" w:rsidR="003E05B7" w:rsidRDefault="003E05B7" w:rsidP="00FE3B6E">
      <w:pPr>
        <w:ind w:firstLine="0"/>
        <w:rPr>
          <w:rFonts w:ascii="Arial" w:hAnsi="Arial" w:cs="Arial"/>
          <w:sz w:val="22"/>
        </w:rPr>
      </w:pPr>
      <w:r>
        <w:rPr>
          <w:rFonts w:ascii="Arial" w:hAnsi="Arial" w:cs="Arial"/>
          <w:sz w:val="22"/>
        </w:rPr>
        <w:t xml:space="preserve">Nilsson </w:t>
      </w:r>
      <w:r w:rsidRPr="003E05B7">
        <w:rPr>
          <w:rFonts w:ascii="Arial" w:hAnsi="Arial" w:cs="Arial"/>
          <w:i/>
          <w:iCs/>
          <w:sz w:val="22"/>
        </w:rPr>
        <w:t>et al.</w:t>
      </w:r>
      <w:r>
        <w:rPr>
          <w:rFonts w:ascii="Arial" w:hAnsi="Arial" w:cs="Arial"/>
          <w:sz w:val="22"/>
        </w:rPr>
        <w:t xml:space="preserve"> (2015)’s research </w:t>
      </w:r>
      <w:r w:rsidR="00FE2926">
        <w:rPr>
          <w:rFonts w:ascii="Arial" w:hAnsi="Arial" w:cs="Arial"/>
          <w:sz w:val="22"/>
        </w:rPr>
        <w:t xml:space="preserve">examines </w:t>
      </w:r>
      <w:r w:rsidR="00FE2926" w:rsidRPr="00FE2926">
        <w:rPr>
          <w:rFonts w:ascii="Arial" w:hAnsi="Arial" w:cs="Arial"/>
          <w:sz w:val="22"/>
        </w:rPr>
        <w:t>Havighurst</w:t>
      </w:r>
      <w:r w:rsidR="00FE2926">
        <w:rPr>
          <w:rFonts w:ascii="Arial" w:hAnsi="Arial" w:cs="Arial"/>
          <w:sz w:val="22"/>
        </w:rPr>
        <w:t>’s</w:t>
      </w:r>
      <w:r w:rsidR="00FE2926" w:rsidRPr="00FE2926">
        <w:rPr>
          <w:rFonts w:ascii="Arial" w:hAnsi="Arial" w:cs="Arial"/>
          <w:sz w:val="22"/>
        </w:rPr>
        <w:t> </w:t>
      </w:r>
      <w:r w:rsidR="00FE2926">
        <w:rPr>
          <w:rFonts w:ascii="Arial" w:hAnsi="Arial" w:cs="Arial"/>
          <w:sz w:val="22"/>
        </w:rPr>
        <w:t xml:space="preserve">activity theory, which proposes </w:t>
      </w:r>
      <w:r>
        <w:rPr>
          <w:rFonts w:ascii="Arial" w:hAnsi="Arial" w:cs="Arial"/>
          <w:sz w:val="22"/>
        </w:rPr>
        <w:t xml:space="preserve">that as individuals become older adults, they ought to maintain physical activity as well as social engagement, so that they could uphold their wellness. </w:t>
      </w:r>
      <w:r w:rsidR="00FE2926">
        <w:rPr>
          <w:rFonts w:ascii="Arial" w:hAnsi="Arial" w:cs="Arial"/>
          <w:sz w:val="22"/>
        </w:rPr>
        <w:t xml:space="preserve">In essence, </w:t>
      </w:r>
      <w:r w:rsidR="00FE2926" w:rsidRPr="00FE2926">
        <w:rPr>
          <w:rFonts w:ascii="Arial" w:hAnsi="Arial" w:cs="Arial"/>
          <w:sz w:val="22"/>
        </w:rPr>
        <w:t>Havighurst </w:t>
      </w:r>
      <w:r w:rsidR="00FE2926">
        <w:rPr>
          <w:rFonts w:ascii="Arial" w:hAnsi="Arial" w:cs="Arial"/>
          <w:sz w:val="22"/>
        </w:rPr>
        <w:t xml:space="preserve">acknowledges that as people become older with regards to age, they should find effective ways to adjust to their changing circumstances (Nilsson </w:t>
      </w:r>
      <w:r w:rsidR="00FE2926" w:rsidRPr="003E05B7">
        <w:rPr>
          <w:rFonts w:ascii="Arial" w:hAnsi="Arial" w:cs="Arial"/>
          <w:i/>
          <w:iCs/>
          <w:sz w:val="22"/>
        </w:rPr>
        <w:t>et al.</w:t>
      </w:r>
      <w:r w:rsidR="00FE2926">
        <w:rPr>
          <w:rFonts w:ascii="Arial" w:hAnsi="Arial" w:cs="Arial"/>
          <w:sz w:val="22"/>
        </w:rPr>
        <w:t xml:space="preserve">, 2015). Among the recommendations they make include having older adults engage in actions of volunteerism, leisure, child care, and other methods of social interaction (Nilsson </w:t>
      </w:r>
      <w:r w:rsidR="00FE2926" w:rsidRPr="003E05B7">
        <w:rPr>
          <w:rFonts w:ascii="Arial" w:hAnsi="Arial" w:cs="Arial"/>
          <w:i/>
          <w:iCs/>
          <w:sz w:val="22"/>
        </w:rPr>
        <w:t>et al.</w:t>
      </w:r>
      <w:r w:rsidR="00FE2926">
        <w:rPr>
          <w:rFonts w:ascii="Arial" w:hAnsi="Arial" w:cs="Arial"/>
          <w:sz w:val="22"/>
        </w:rPr>
        <w:t xml:space="preserve">, 2015). </w:t>
      </w:r>
      <w:r w:rsidR="002A1655">
        <w:rPr>
          <w:rFonts w:ascii="Arial" w:hAnsi="Arial" w:cs="Arial"/>
          <w:sz w:val="22"/>
        </w:rPr>
        <w:t xml:space="preserve">As a result, </w:t>
      </w:r>
      <w:r w:rsidR="002A1655" w:rsidRPr="00FE2926">
        <w:rPr>
          <w:rFonts w:ascii="Arial" w:hAnsi="Arial" w:cs="Arial"/>
          <w:sz w:val="22"/>
        </w:rPr>
        <w:t>Havighurst</w:t>
      </w:r>
      <w:r w:rsidR="002A1655">
        <w:rPr>
          <w:rFonts w:ascii="Arial" w:hAnsi="Arial" w:cs="Arial"/>
          <w:sz w:val="22"/>
        </w:rPr>
        <w:t>’s</w:t>
      </w:r>
      <w:r w:rsidR="002A1655" w:rsidRPr="00FE2926">
        <w:rPr>
          <w:rFonts w:ascii="Arial" w:hAnsi="Arial" w:cs="Arial"/>
          <w:sz w:val="22"/>
        </w:rPr>
        <w:t> </w:t>
      </w:r>
      <w:r w:rsidR="002A1655">
        <w:rPr>
          <w:rFonts w:ascii="Arial" w:hAnsi="Arial" w:cs="Arial"/>
          <w:sz w:val="22"/>
        </w:rPr>
        <w:t xml:space="preserve">framework indicates that for an older adult to maintain their health and happiness, he should be active physically and socially (Nilsson </w:t>
      </w:r>
      <w:r w:rsidR="002A1655" w:rsidRPr="003E05B7">
        <w:rPr>
          <w:rFonts w:ascii="Arial" w:hAnsi="Arial" w:cs="Arial"/>
          <w:i/>
          <w:iCs/>
          <w:sz w:val="22"/>
        </w:rPr>
        <w:t>et al.</w:t>
      </w:r>
      <w:r w:rsidR="002A1655">
        <w:rPr>
          <w:rFonts w:ascii="Arial" w:hAnsi="Arial" w:cs="Arial"/>
          <w:sz w:val="22"/>
        </w:rPr>
        <w:t xml:space="preserve">, 2015). </w:t>
      </w:r>
      <w:r w:rsidR="00CB6E56">
        <w:rPr>
          <w:rFonts w:ascii="Arial" w:hAnsi="Arial" w:cs="Arial"/>
          <w:sz w:val="22"/>
        </w:rPr>
        <w:t xml:space="preserve">Thus, registered nurses have the responsibility to suggest the mindfulness practices older adults should be a part of, including stretching and doing yoga (Nilsson </w:t>
      </w:r>
      <w:r w:rsidR="00CB6E56" w:rsidRPr="003E05B7">
        <w:rPr>
          <w:rFonts w:ascii="Arial" w:hAnsi="Arial" w:cs="Arial"/>
          <w:i/>
          <w:iCs/>
          <w:sz w:val="22"/>
        </w:rPr>
        <w:t>et al.</w:t>
      </w:r>
      <w:r w:rsidR="00CB6E56">
        <w:rPr>
          <w:rFonts w:ascii="Arial" w:hAnsi="Arial" w:cs="Arial"/>
          <w:sz w:val="22"/>
        </w:rPr>
        <w:t xml:space="preserve">, 2015). While mindfulness are just a few tools, registered nurses should recommend the activities older adults should physically and socially engage themselves in, so that they can improve their mental health, add purpose to their lives, brighten their mood, among other health benefits (Nilsson </w:t>
      </w:r>
      <w:r w:rsidR="00CB6E56" w:rsidRPr="003E05B7">
        <w:rPr>
          <w:rFonts w:ascii="Arial" w:hAnsi="Arial" w:cs="Arial"/>
          <w:i/>
          <w:iCs/>
          <w:sz w:val="22"/>
        </w:rPr>
        <w:t>et al.</w:t>
      </w:r>
      <w:r w:rsidR="00CB6E56">
        <w:rPr>
          <w:rFonts w:ascii="Arial" w:hAnsi="Arial" w:cs="Arial"/>
          <w:sz w:val="22"/>
        </w:rPr>
        <w:t>, 2015).</w:t>
      </w:r>
    </w:p>
    <w:p w14:paraId="1A13F2FE" w14:textId="21A1D0AE" w:rsidR="00CB6E56" w:rsidRDefault="00922278" w:rsidP="00922278">
      <w:pPr>
        <w:ind w:left="720" w:hanging="720"/>
        <w:rPr>
          <w:rFonts w:ascii="Arial" w:hAnsi="Arial" w:cs="Arial"/>
          <w:b/>
          <w:bCs/>
          <w:color w:val="000000" w:themeColor="text1"/>
          <w:sz w:val="22"/>
        </w:rPr>
      </w:pPr>
      <w:r w:rsidRPr="00922278">
        <w:rPr>
          <w:rFonts w:ascii="Arial" w:hAnsi="Arial" w:cs="Arial"/>
          <w:b/>
          <w:bCs/>
          <w:color w:val="000000" w:themeColor="text1"/>
          <w:sz w:val="22"/>
        </w:rPr>
        <w:t xml:space="preserve">Milberg, A., &amp; </w:t>
      </w:r>
      <w:bookmarkStart w:id="0" w:name="_Hlk227052193"/>
      <w:r w:rsidRPr="00922278">
        <w:rPr>
          <w:rFonts w:ascii="Arial" w:hAnsi="Arial" w:cs="Arial"/>
          <w:b/>
          <w:bCs/>
          <w:color w:val="000000" w:themeColor="text1"/>
          <w:sz w:val="22"/>
        </w:rPr>
        <w:t>Friedrichsen</w:t>
      </w:r>
      <w:bookmarkEnd w:id="0"/>
      <w:r w:rsidRPr="00922278">
        <w:rPr>
          <w:rFonts w:ascii="Arial" w:hAnsi="Arial" w:cs="Arial"/>
          <w:b/>
          <w:bCs/>
          <w:color w:val="000000" w:themeColor="text1"/>
          <w:sz w:val="22"/>
        </w:rPr>
        <w:t>, M. (2017) ‘Attachment figures when death is approaching: a study applying attachment theory to adult patients' and family members' experiences during palliative home care’, </w:t>
      </w:r>
      <w:r w:rsidRPr="00922278">
        <w:rPr>
          <w:rFonts w:ascii="Arial" w:hAnsi="Arial" w:cs="Arial"/>
          <w:b/>
          <w:bCs/>
          <w:i/>
          <w:iCs/>
          <w:color w:val="000000" w:themeColor="text1"/>
          <w:sz w:val="22"/>
        </w:rPr>
        <w:t>Supportive Care in Cancer: Official Journal of the Multinational Association of Supportive Care in Cancer</w:t>
      </w:r>
      <w:r w:rsidRPr="00922278">
        <w:rPr>
          <w:rFonts w:ascii="Arial" w:hAnsi="Arial" w:cs="Arial"/>
          <w:b/>
          <w:bCs/>
          <w:color w:val="000000" w:themeColor="text1"/>
          <w:sz w:val="22"/>
        </w:rPr>
        <w:t xml:space="preserve">, 25(7), pp. 2267–2274. Available at: </w:t>
      </w:r>
      <w:hyperlink r:id="rId8" w:history="1">
        <w:r w:rsidRPr="00922278">
          <w:rPr>
            <w:rStyle w:val="Hyperlink"/>
            <w:rFonts w:ascii="Arial" w:hAnsi="Arial" w:cs="Arial"/>
            <w:b/>
            <w:bCs/>
            <w:color w:val="000000" w:themeColor="text1"/>
            <w:sz w:val="22"/>
          </w:rPr>
          <w:t>https://doi.org/10.1007/s00520-017-3634-7</w:t>
        </w:r>
      </w:hyperlink>
    </w:p>
    <w:p w14:paraId="458E643A" w14:textId="2C270935" w:rsidR="00922278" w:rsidRDefault="00922278" w:rsidP="00FE3B6E">
      <w:pPr>
        <w:ind w:firstLine="0"/>
        <w:rPr>
          <w:rFonts w:ascii="Arial" w:hAnsi="Arial" w:cs="Arial"/>
          <w:color w:val="000000" w:themeColor="text1"/>
          <w:sz w:val="22"/>
        </w:rPr>
      </w:pPr>
      <w:r>
        <w:rPr>
          <w:rFonts w:ascii="Arial" w:hAnsi="Arial" w:cs="Arial"/>
          <w:color w:val="000000" w:themeColor="text1"/>
          <w:sz w:val="22"/>
        </w:rPr>
        <w:t xml:space="preserve">Milberg and </w:t>
      </w:r>
      <w:r w:rsidRPr="00922278">
        <w:rPr>
          <w:rFonts w:ascii="Arial" w:hAnsi="Arial" w:cs="Arial"/>
          <w:color w:val="000000" w:themeColor="text1"/>
          <w:sz w:val="22"/>
        </w:rPr>
        <w:t xml:space="preserve">Friedrichsen </w:t>
      </w:r>
      <w:r>
        <w:rPr>
          <w:rFonts w:ascii="Arial" w:hAnsi="Arial" w:cs="Arial"/>
          <w:color w:val="000000" w:themeColor="text1"/>
          <w:sz w:val="22"/>
        </w:rPr>
        <w:t xml:space="preserve">(2017)’s journal refers to Bowlby’s attachment framework in indicating that humans are supposed to refer to their attachment figures across their life cycle. Bowlby proposes that whenever older adults are exposed to a threat, for example an illness, their attachment system becomes activated (Milberg and </w:t>
      </w:r>
      <w:r w:rsidRPr="00922278">
        <w:rPr>
          <w:rFonts w:ascii="Arial" w:hAnsi="Arial" w:cs="Arial"/>
          <w:color w:val="000000" w:themeColor="text1"/>
          <w:sz w:val="22"/>
        </w:rPr>
        <w:t>Friedrichsen</w:t>
      </w:r>
      <w:r>
        <w:rPr>
          <w:rFonts w:ascii="Arial" w:hAnsi="Arial" w:cs="Arial"/>
          <w:color w:val="000000" w:themeColor="text1"/>
          <w:sz w:val="22"/>
        </w:rPr>
        <w:t xml:space="preserve">, 2017). In this regard, these older adults respond by seeking or reestablishing closeness with an attachment figure, who functions as a “safe haven” during periods of crisis (Milberg and </w:t>
      </w:r>
      <w:r w:rsidRPr="00922278">
        <w:rPr>
          <w:rFonts w:ascii="Arial" w:hAnsi="Arial" w:cs="Arial"/>
          <w:color w:val="000000" w:themeColor="text1"/>
          <w:sz w:val="22"/>
        </w:rPr>
        <w:t>Friedrichsen</w:t>
      </w:r>
      <w:r>
        <w:rPr>
          <w:rFonts w:ascii="Arial" w:hAnsi="Arial" w:cs="Arial"/>
          <w:color w:val="000000" w:themeColor="text1"/>
          <w:sz w:val="22"/>
        </w:rPr>
        <w:t xml:space="preserve">, 2017). Hence, the attachment figure acts as a secure base for the older adult, stimulating them to engage in other non-attachment activities that include exploration (Milberg and </w:t>
      </w:r>
      <w:r w:rsidRPr="00922278">
        <w:rPr>
          <w:rFonts w:ascii="Arial" w:hAnsi="Arial" w:cs="Arial"/>
          <w:color w:val="000000" w:themeColor="text1"/>
          <w:sz w:val="22"/>
        </w:rPr>
        <w:t>Friedrichsen</w:t>
      </w:r>
      <w:r>
        <w:rPr>
          <w:rFonts w:ascii="Arial" w:hAnsi="Arial" w:cs="Arial"/>
          <w:color w:val="000000" w:themeColor="text1"/>
          <w:sz w:val="22"/>
        </w:rPr>
        <w:t>, 2017). However, when the attachment figure disappears</w:t>
      </w:r>
      <w:r w:rsidR="009A04B7">
        <w:rPr>
          <w:rFonts w:ascii="Arial" w:hAnsi="Arial" w:cs="Arial"/>
          <w:color w:val="000000" w:themeColor="text1"/>
          <w:sz w:val="22"/>
        </w:rPr>
        <w:t xml:space="preserve">, the older adult experiences what Milberg and </w:t>
      </w:r>
      <w:r w:rsidR="009A04B7" w:rsidRPr="00922278">
        <w:rPr>
          <w:rFonts w:ascii="Arial" w:hAnsi="Arial" w:cs="Arial"/>
          <w:color w:val="000000" w:themeColor="text1"/>
          <w:sz w:val="22"/>
        </w:rPr>
        <w:t>Friedrichsen</w:t>
      </w:r>
      <w:r w:rsidR="009A04B7">
        <w:rPr>
          <w:rFonts w:ascii="Arial" w:hAnsi="Arial" w:cs="Arial"/>
          <w:color w:val="000000" w:themeColor="text1"/>
          <w:sz w:val="22"/>
        </w:rPr>
        <w:t xml:space="preserve"> (2017) refer to as “</w:t>
      </w:r>
      <w:r w:rsidR="009A04B7" w:rsidRPr="009A04B7">
        <w:rPr>
          <w:rFonts w:ascii="Arial" w:hAnsi="Arial" w:cs="Arial"/>
          <w:color w:val="000000" w:themeColor="text1"/>
          <w:sz w:val="22"/>
        </w:rPr>
        <w:t>separation distress</w:t>
      </w:r>
      <w:r w:rsidR="009A04B7">
        <w:rPr>
          <w:rFonts w:ascii="Arial" w:hAnsi="Arial" w:cs="Arial"/>
          <w:color w:val="000000" w:themeColor="text1"/>
          <w:sz w:val="22"/>
        </w:rPr>
        <w:t xml:space="preserve">”. This form of distress could have adverse effects on the psychological and physical health of the older adults, because they undergo periods of feeling loss and discomfort (Milberg and </w:t>
      </w:r>
      <w:r w:rsidR="009A04B7" w:rsidRPr="00922278">
        <w:rPr>
          <w:rFonts w:ascii="Arial" w:hAnsi="Arial" w:cs="Arial"/>
          <w:color w:val="000000" w:themeColor="text1"/>
          <w:sz w:val="22"/>
        </w:rPr>
        <w:t>Friedrichsen</w:t>
      </w:r>
      <w:r w:rsidR="009A04B7">
        <w:rPr>
          <w:rFonts w:ascii="Arial" w:hAnsi="Arial" w:cs="Arial"/>
          <w:color w:val="000000" w:themeColor="text1"/>
          <w:sz w:val="22"/>
        </w:rPr>
        <w:t xml:space="preserve">, 2017). Thus, in applying this model, registered nurses could become the attachment figures for the older adult patients, or could work with these clients in finding a person to pick up the role of being their “safe haven”. </w:t>
      </w:r>
    </w:p>
    <w:p w14:paraId="381A1C46" w14:textId="51064114" w:rsidR="009A04B7" w:rsidRPr="005A476E" w:rsidRDefault="005A476E" w:rsidP="005A476E">
      <w:pPr>
        <w:ind w:left="720" w:hanging="720"/>
        <w:rPr>
          <w:rFonts w:ascii="Arial" w:hAnsi="Arial" w:cs="Arial"/>
          <w:b/>
          <w:bCs/>
          <w:color w:val="000000" w:themeColor="text1"/>
          <w:sz w:val="22"/>
        </w:rPr>
      </w:pPr>
      <w:r w:rsidRPr="005A476E">
        <w:rPr>
          <w:rFonts w:ascii="Arial" w:hAnsi="Arial" w:cs="Arial"/>
          <w:b/>
          <w:bCs/>
          <w:color w:val="000000" w:themeColor="text1"/>
          <w:sz w:val="22"/>
        </w:rPr>
        <w:t xml:space="preserve">Park, M. S., Webber, B., Badham, S. P., </w:t>
      </w:r>
      <w:proofErr w:type="spellStart"/>
      <w:r w:rsidRPr="005A476E">
        <w:rPr>
          <w:rFonts w:ascii="Arial" w:hAnsi="Arial" w:cs="Arial"/>
          <w:b/>
          <w:bCs/>
          <w:color w:val="000000" w:themeColor="text1"/>
          <w:sz w:val="22"/>
        </w:rPr>
        <w:t>Krägeloh</w:t>
      </w:r>
      <w:proofErr w:type="spellEnd"/>
      <w:r w:rsidRPr="005A476E">
        <w:rPr>
          <w:rFonts w:ascii="Arial" w:hAnsi="Arial" w:cs="Arial"/>
          <w:b/>
          <w:bCs/>
          <w:color w:val="000000" w:themeColor="text1"/>
          <w:sz w:val="22"/>
        </w:rPr>
        <w:t xml:space="preserve">, C. U., Capone, V., </w:t>
      </w:r>
      <w:proofErr w:type="spellStart"/>
      <w:r w:rsidRPr="005A476E">
        <w:rPr>
          <w:rFonts w:ascii="Arial" w:hAnsi="Arial" w:cs="Arial"/>
          <w:b/>
          <w:bCs/>
          <w:color w:val="000000" w:themeColor="text1"/>
          <w:sz w:val="22"/>
        </w:rPr>
        <w:t>Donizzetti</w:t>
      </w:r>
      <w:proofErr w:type="spellEnd"/>
      <w:r w:rsidRPr="005A476E">
        <w:rPr>
          <w:rFonts w:ascii="Arial" w:hAnsi="Arial" w:cs="Arial"/>
          <w:b/>
          <w:bCs/>
          <w:color w:val="000000" w:themeColor="text1"/>
          <w:sz w:val="22"/>
        </w:rPr>
        <w:t xml:space="preserve">, A. R., </w:t>
      </w:r>
      <w:proofErr w:type="spellStart"/>
      <w:r w:rsidRPr="005A476E">
        <w:rPr>
          <w:rFonts w:ascii="Arial" w:hAnsi="Arial" w:cs="Arial"/>
          <w:b/>
          <w:bCs/>
          <w:color w:val="000000" w:themeColor="text1"/>
          <w:sz w:val="22"/>
        </w:rPr>
        <w:t>Joshanloo</w:t>
      </w:r>
      <w:proofErr w:type="spellEnd"/>
      <w:r w:rsidRPr="005A476E">
        <w:rPr>
          <w:rFonts w:ascii="Arial" w:hAnsi="Arial" w:cs="Arial"/>
          <w:b/>
          <w:bCs/>
          <w:color w:val="000000" w:themeColor="text1"/>
          <w:sz w:val="22"/>
        </w:rPr>
        <w:t xml:space="preserve">, M., Harsányi, S. G., Kovács, M., &amp; Hellis, E. (2025) ‘But Is Ageing Really All Bad? </w:t>
      </w:r>
      <w:proofErr w:type="spellStart"/>
      <w:r w:rsidRPr="005A476E">
        <w:rPr>
          <w:rFonts w:ascii="Arial" w:hAnsi="Arial" w:cs="Arial"/>
          <w:b/>
          <w:bCs/>
          <w:color w:val="000000" w:themeColor="text1"/>
          <w:sz w:val="22"/>
        </w:rPr>
        <w:t>Conceptualising</w:t>
      </w:r>
      <w:proofErr w:type="spellEnd"/>
      <w:r w:rsidRPr="005A476E">
        <w:rPr>
          <w:rFonts w:ascii="Arial" w:hAnsi="Arial" w:cs="Arial"/>
          <w:b/>
          <w:bCs/>
          <w:color w:val="000000" w:themeColor="text1"/>
          <w:sz w:val="22"/>
        </w:rPr>
        <w:t xml:space="preserve"> Positive Ageing’, </w:t>
      </w:r>
      <w:r w:rsidRPr="005A476E">
        <w:rPr>
          <w:rFonts w:ascii="Arial" w:hAnsi="Arial" w:cs="Arial"/>
          <w:b/>
          <w:bCs/>
          <w:i/>
          <w:iCs/>
          <w:color w:val="000000" w:themeColor="text1"/>
          <w:sz w:val="22"/>
        </w:rPr>
        <w:t>Geriatrics</w:t>
      </w:r>
      <w:r w:rsidRPr="005A476E">
        <w:rPr>
          <w:rFonts w:ascii="Arial" w:hAnsi="Arial" w:cs="Arial"/>
          <w:b/>
          <w:bCs/>
          <w:color w:val="000000" w:themeColor="text1"/>
          <w:sz w:val="22"/>
        </w:rPr>
        <w:t xml:space="preserve">, 10(6), pp. 15-31. Available at: </w:t>
      </w:r>
      <w:hyperlink r:id="rId9" w:history="1">
        <w:r w:rsidRPr="005A476E">
          <w:rPr>
            <w:rStyle w:val="Hyperlink"/>
            <w:rFonts w:ascii="Arial" w:hAnsi="Arial" w:cs="Arial"/>
            <w:b/>
            <w:bCs/>
            <w:color w:val="000000" w:themeColor="text1"/>
            <w:sz w:val="22"/>
          </w:rPr>
          <w:t>https://doi.org/10.3390/geriatrics10060151</w:t>
        </w:r>
      </w:hyperlink>
    </w:p>
    <w:p w14:paraId="49691A7A" w14:textId="71E9A81F" w:rsidR="005A476E" w:rsidRDefault="00500273" w:rsidP="00FE3B6E">
      <w:pPr>
        <w:ind w:firstLine="0"/>
        <w:rPr>
          <w:rFonts w:ascii="Arial" w:hAnsi="Arial" w:cs="Arial"/>
          <w:sz w:val="22"/>
        </w:rPr>
      </w:pPr>
      <w:r>
        <w:rPr>
          <w:rFonts w:ascii="Arial" w:hAnsi="Arial" w:cs="Arial"/>
          <w:sz w:val="22"/>
        </w:rPr>
        <w:t xml:space="preserve">Park </w:t>
      </w:r>
      <w:r w:rsidRPr="00500273">
        <w:rPr>
          <w:rFonts w:ascii="Arial" w:hAnsi="Arial" w:cs="Arial"/>
          <w:i/>
          <w:iCs/>
          <w:sz w:val="22"/>
        </w:rPr>
        <w:t>et al.</w:t>
      </w:r>
      <w:r>
        <w:rPr>
          <w:rFonts w:ascii="Arial" w:hAnsi="Arial" w:cs="Arial"/>
          <w:sz w:val="22"/>
        </w:rPr>
        <w:t xml:space="preserve"> (2025)’s evaluation of the theory of positive psychology approach to ageing holds that it is essential for registered nurses to move away from evaluating old age as a stage that is marked by loss, burden, disability, and pathology, to one that embraces resilience, fulfilment, positivity, as well as meaning. </w:t>
      </w:r>
      <w:r w:rsidR="00424CC2">
        <w:rPr>
          <w:rFonts w:ascii="Arial" w:hAnsi="Arial" w:cs="Arial"/>
          <w:sz w:val="22"/>
        </w:rPr>
        <w:t xml:space="preserve">Positive psychology approach theorists hold that an older adult’s subjective view on ageing, is essential in predicting the health outcomes of the individual (Park </w:t>
      </w:r>
      <w:r w:rsidR="00424CC2" w:rsidRPr="00500273">
        <w:rPr>
          <w:rFonts w:ascii="Arial" w:hAnsi="Arial" w:cs="Arial"/>
          <w:i/>
          <w:iCs/>
          <w:sz w:val="22"/>
        </w:rPr>
        <w:t>et al.</w:t>
      </w:r>
      <w:r w:rsidR="00424CC2">
        <w:rPr>
          <w:rFonts w:ascii="Arial" w:hAnsi="Arial" w:cs="Arial"/>
          <w:sz w:val="22"/>
        </w:rPr>
        <w:t xml:space="preserve">, 2025). For instance, if the older adult has a </w:t>
      </w:r>
      <w:proofErr w:type="spellStart"/>
      <w:r w:rsidR="00424CC2">
        <w:rPr>
          <w:rFonts w:ascii="Arial" w:hAnsi="Arial" w:cs="Arial"/>
          <w:sz w:val="22"/>
        </w:rPr>
        <w:t>favourable</w:t>
      </w:r>
      <w:proofErr w:type="spellEnd"/>
      <w:r w:rsidR="00424CC2">
        <w:rPr>
          <w:rFonts w:ascii="Arial" w:hAnsi="Arial" w:cs="Arial"/>
          <w:sz w:val="22"/>
        </w:rPr>
        <w:t xml:space="preserve"> perception of self, she is likely to enjoy better health and ageing outcomes, </w:t>
      </w:r>
      <w:proofErr w:type="spellStart"/>
      <w:r w:rsidR="00424CC2">
        <w:rPr>
          <w:rFonts w:ascii="Arial" w:hAnsi="Arial" w:cs="Arial"/>
          <w:sz w:val="22"/>
        </w:rPr>
        <w:t>overally</w:t>
      </w:r>
      <w:proofErr w:type="spellEnd"/>
      <w:r w:rsidR="00424CC2">
        <w:rPr>
          <w:rFonts w:ascii="Arial" w:hAnsi="Arial" w:cs="Arial"/>
          <w:sz w:val="22"/>
        </w:rPr>
        <w:t xml:space="preserve"> (Park </w:t>
      </w:r>
      <w:r w:rsidR="00424CC2" w:rsidRPr="00500273">
        <w:rPr>
          <w:rFonts w:ascii="Arial" w:hAnsi="Arial" w:cs="Arial"/>
          <w:i/>
          <w:iCs/>
          <w:sz w:val="22"/>
        </w:rPr>
        <w:t>et al.</w:t>
      </w:r>
      <w:r w:rsidR="00424CC2">
        <w:rPr>
          <w:rFonts w:ascii="Arial" w:hAnsi="Arial" w:cs="Arial"/>
          <w:sz w:val="22"/>
        </w:rPr>
        <w:t xml:space="preserve">, 2025). As a result, registered nurses are required to assist older adults to have a positive mindset about themselves, so that they could lead a life that is meaningful, active, and fulfilling (Park </w:t>
      </w:r>
      <w:r w:rsidR="00424CC2" w:rsidRPr="00500273">
        <w:rPr>
          <w:rFonts w:ascii="Arial" w:hAnsi="Arial" w:cs="Arial"/>
          <w:i/>
          <w:iCs/>
          <w:sz w:val="22"/>
        </w:rPr>
        <w:t>et al.</w:t>
      </w:r>
      <w:r w:rsidR="00424CC2">
        <w:rPr>
          <w:rFonts w:ascii="Arial" w:hAnsi="Arial" w:cs="Arial"/>
          <w:sz w:val="22"/>
        </w:rPr>
        <w:t xml:space="preserve">, 2025). It is just about ensuring older adults hold a positive view of themselves. </w:t>
      </w:r>
    </w:p>
    <w:p w14:paraId="0F99E8B0" w14:textId="535D9764" w:rsidR="0089211B" w:rsidRPr="0089211B" w:rsidRDefault="0089211B" w:rsidP="00FE3B6E">
      <w:pPr>
        <w:ind w:firstLine="0"/>
        <w:rPr>
          <w:rFonts w:ascii="Arial" w:hAnsi="Arial" w:cs="Arial"/>
          <w:b/>
          <w:bCs/>
          <w:sz w:val="22"/>
        </w:rPr>
      </w:pPr>
      <w:r w:rsidRPr="0089211B">
        <w:rPr>
          <w:rFonts w:ascii="Arial" w:hAnsi="Arial" w:cs="Arial"/>
          <w:b/>
          <w:bCs/>
          <w:sz w:val="22"/>
        </w:rPr>
        <w:t>Part B: Short Report</w:t>
      </w:r>
    </w:p>
    <w:p w14:paraId="4DB0BBDC" w14:textId="70703527" w:rsidR="0089211B" w:rsidRDefault="009326F9" w:rsidP="009326F9">
      <w:pPr>
        <w:rPr>
          <w:rFonts w:ascii="Arial" w:hAnsi="Arial" w:cs="Arial"/>
          <w:sz w:val="22"/>
        </w:rPr>
      </w:pPr>
      <w:r>
        <w:rPr>
          <w:rFonts w:ascii="Arial" w:hAnsi="Arial" w:cs="Arial"/>
          <w:sz w:val="22"/>
        </w:rPr>
        <w:t xml:space="preserve">In line with the examination of the four theories done above, this segment will propose how </w:t>
      </w:r>
      <w:r w:rsidRPr="00FE2926">
        <w:rPr>
          <w:rFonts w:ascii="Arial" w:hAnsi="Arial" w:cs="Arial"/>
          <w:sz w:val="22"/>
        </w:rPr>
        <w:t>Havighurst</w:t>
      </w:r>
      <w:r>
        <w:rPr>
          <w:rFonts w:ascii="Arial" w:hAnsi="Arial" w:cs="Arial"/>
          <w:sz w:val="22"/>
        </w:rPr>
        <w:t>’s</w:t>
      </w:r>
      <w:r w:rsidRPr="00FE2926">
        <w:rPr>
          <w:rFonts w:ascii="Arial" w:hAnsi="Arial" w:cs="Arial"/>
          <w:sz w:val="22"/>
        </w:rPr>
        <w:t> </w:t>
      </w:r>
      <w:r>
        <w:rPr>
          <w:rFonts w:ascii="Arial" w:hAnsi="Arial" w:cs="Arial"/>
          <w:sz w:val="22"/>
        </w:rPr>
        <w:t xml:space="preserve">activity theory could be applied by health and social care specialists, specifically those working in the older adults’ care environment. </w:t>
      </w:r>
      <w:r w:rsidR="006F05FB">
        <w:rPr>
          <w:rFonts w:ascii="Arial" w:hAnsi="Arial" w:cs="Arial"/>
          <w:sz w:val="22"/>
        </w:rPr>
        <w:t xml:space="preserve">With regards to the proposal of the framework, </w:t>
      </w:r>
      <w:r w:rsidR="006F05FB" w:rsidRPr="00FE2926">
        <w:rPr>
          <w:rFonts w:ascii="Arial" w:hAnsi="Arial" w:cs="Arial"/>
          <w:sz w:val="22"/>
        </w:rPr>
        <w:t>Havighurst</w:t>
      </w:r>
      <w:r w:rsidR="006F05FB">
        <w:rPr>
          <w:rFonts w:ascii="Arial" w:hAnsi="Arial" w:cs="Arial"/>
          <w:sz w:val="22"/>
        </w:rPr>
        <w:t xml:space="preserve"> indicates that more active older adults are highly stable and positive in relation to their self-perception, when contrasted with their peers (Nilsson </w:t>
      </w:r>
      <w:r w:rsidR="006F05FB" w:rsidRPr="003E05B7">
        <w:rPr>
          <w:rFonts w:ascii="Arial" w:hAnsi="Arial" w:cs="Arial"/>
          <w:i/>
          <w:iCs/>
          <w:sz w:val="22"/>
        </w:rPr>
        <w:t>et al.</w:t>
      </w:r>
      <w:r w:rsidR="006F05FB">
        <w:rPr>
          <w:rFonts w:ascii="Arial" w:hAnsi="Arial" w:cs="Arial"/>
          <w:sz w:val="22"/>
        </w:rPr>
        <w:t xml:space="preserve">, 2015). </w:t>
      </w:r>
      <w:r w:rsidR="00D751E5">
        <w:rPr>
          <w:rFonts w:ascii="Arial" w:hAnsi="Arial" w:cs="Arial"/>
          <w:sz w:val="22"/>
        </w:rPr>
        <w:t xml:space="preserve">In embracing physical activity for the older adults, in not only improves their physiological, but also their psychological wellbeing (Nilsson </w:t>
      </w:r>
      <w:r w:rsidR="00D751E5" w:rsidRPr="003E05B7">
        <w:rPr>
          <w:rFonts w:ascii="Arial" w:hAnsi="Arial" w:cs="Arial"/>
          <w:i/>
          <w:iCs/>
          <w:sz w:val="22"/>
        </w:rPr>
        <w:t>et al.</w:t>
      </w:r>
      <w:r w:rsidR="00D751E5">
        <w:rPr>
          <w:rFonts w:ascii="Arial" w:hAnsi="Arial" w:cs="Arial"/>
          <w:sz w:val="22"/>
        </w:rPr>
        <w:t xml:space="preserve">, 2015). Actually, </w:t>
      </w:r>
      <w:r w:rsidR="00D751E5" w:rsidRPr="00FE2926">
        <w:rPr>
          <w:rFonts w:ascii="Arial" w:hAnsi="Arial" w:cs="Arial"/>
          <w:sz w:val="22"/>
        </w:rPr>
        <w:t>Havighurst</w:t>
      </w:r>
      <w:r w:rsidR="00D751E5">
        <w:rPr>
          <w:rFonts w:ascii="Arial" w:hAnsi="Arial" w:cs="Arial"/>
          <w:sz w:val="22"/>
        </w:rPr>
        <w:t>’s</w:t>
      </w:r>
      <w:r w:rsidR="00D751E5" w:rsidRPr="00FE2926">
        <w:rPr>
          <w:rFonts w:ascii="Arial" w:hAnsi="Arial" w:cs="Arial"/>
          <w:sz w:val="22"/>
        </w:rPr>
        <w:t> </w:t>
      </w:r>
      <w:r w:rsidR="00D751E5">
        <w:rPr>
          <w:rFonts w:ascii="Arial" w:hAnsi="Arial" w:cs="Arial"/>
          <w:sz w:val="22"/>
        </w:rPr>
        <w:t xml:space="preserve">framework reveals that physical activity and stimulation for older adults, works to increase the body’s energy and strength, as well as develop more mental fitness for these individuals (Nilsson </w:t>
      </w:r>
      <w:r w:rsidR="00D751E5" w:rsidRPr="003E05B7">
        <w:rPr>
          <w:rFonts w:ascii="Arial" w:hAnsi="Arial" w:cs="Arial"/>
          <w:i/>
          <w:iCs/>
          <w:sz w:val="22"/>
        </w:rPr>
        <w:t>et al.</w:t>
      </w:r>
      <w:r w:rsidR="00D751E5">
        <w:rPr>
          <w:rFonts w:ascii="Arial" w:hAnsi="Arial" w:cs="Arial"/>
          <w:sz w:val="22"/>
        </w:rPr>
        <w:t xml:space="preserve">, 2015). </w:t>
      </w:r>
      <w:r w:rsidR="00E3797A">
        <w:rPr>
          <w:rFonts w:ascii="Arial" w:hAnsi="Arial" w:cs="Arial"/>
          <w:sz w:val="22"/>
        </w:rPr>
        <w:t xml:space="preserve">Thus, </w:t>
      </w:r>
      <w:r w:rsidR="00E3797A" w:rsidRPr="00FE2926">
        <w:rPr>
          <w:rFonts w:ascii="Arial" w:hAnsi="Arial" w:cs="Arial"/>
          <w:sz w:val="22"/>
        </w:rPr>
        <w:t>Havighurst</w:t>
      </w:r>
      <w:r w:rsidR="00E3797A">
        <w:rPr>
          <w:rFonts w:ascii="Arial" w:hAnsi="Arial" w:cs="Arial"/>
          <w:sz w:val="22"/>
        </w:rPr>
        <w:t>’s</w:t>
      </w:r>
      <w:r w:rsidR="00E3797A" w:rsidRPr="00FE2926">
        <w:rPr>
          <w:rFonts w:ascii="Arial" w:hAnsi="Arial" w:cs="Arial"/>
          <w:sz w:val="22"/>
        </w:rPr>
        <w:t> </w:t>
      </w:r>
      <w:r w:rsidR="00E3797A">
        <w:rPr>
          <w:rFonts w:ascii="Arial" w:hAnsi="Arial" w:cs="Arial"/>
          <w:sz w:val="22"/>
        </w:rPr>
        <w:t>activity approach holds that ageing successfully is not about diseases being absent, but about the older adults actively engaging in social and productive actions (</w:t>
      </w:r>
      <w:proofErr w:type="spellStart"/>
      <w:r w:rsidR="00E3797A" w:rsidRPr="00E3797A">
        <w:rPr>
          <w:rFonts w:ascii="Arial" w:hAnsi="Arial" w:cs="Arial"/>
          <w:color w:val="000000" w:themeColor="text1"/>
          <w:sz w:val="22"/>
        </w:rPr>
        <w:t>Röcke</w:t>
      </w:r>
      <w:proofErr w:type="spellEnd"/>
      <w:r w:rsidR="00E3797A">
        <w:rPr>
          <w:rFonts w:ascii="Arial" w:hAnsi="Arial" w:cs="Arial"/>
          <w:color w:val="000000" w:themeColor="text1"/>
          <w:sz w:val="22"/>
        </w:rPr>
        <w:t xml:space="preserve"> </w:t>
      </w:r>
      <w:r w:rsidR="00E3797A" w:rsidRPr="00E3797A">
        <w:rPr>
          <w:rFonts w:ascii="Arial" w:hAnsi="Arial" w:cs="Arial"/>
          <w:i/>
          <w:iCs/>
          <w:color w:val="000000" w:themeColor="text1"/>
          <w:sz w:val="22"/>
        </w:rPr>
        <w:t>et al.</w:t>
      </w:r>
      <w:r w:rsidR="00E3797A">
        <w:rPr>
          <w:rFonts w:ascii="Arial" w:hAnsi="Arial" w:cs="Arial"/>
          <w:color w:val="000000" w:themeColor="text1"/>
          <w:sz w:val="22"/>
        </w:rPr>
        <w:t xml:space="preserve">, 2023). </w:t>
      </w:r>
      <w:r w:rsidR="001943A2">
        <w:rPr>
          <w:rFonts w:ascii="Arial" w:hAnsi="Arial" w:cs="Arial"/>
          <w:color w:val="000000" w:themeColor="text1"/>
          <w:sz w:val="22"/>
        </w:rPr>
        <w:t>It revolves around having health and social care experts enabling the older adults to be mobile, to nurture relationships, and to provide positive contribution to the society, as a reflection of their functional abilities (</w:t>
      </w:r>
      <w:proofErr w:type="spellStart"/>
      <w:r w:rsidR="001943A2" w:rsidRPr="00E3797A">
        <w:rPr>
          <w:rFonts w:ascii="Arial" w:hAnsi="Arial" w:cs="Arial"/>
          <w:color w:val="000000" w:themeColor="text1"/>
          <w:sz w:val="22"/>
        </w:rPr>
        <w:t>Röcke</w:t>
      </w:r>
      <w:proofErr w:type="spellEnd"/>
      <w:r w:rsidR="001943A2">
        <w:rPr>
          <w:rFonts w:ascii="Arial" w:hAnsi="Arial" w:cs="Arial"/>
          <w:color w:val="000000" w:themeColor="text1"/>
          <w:sz w:val="22"/>
        </w:rPr>
        <w:t xml:space="preserve"> </w:t>
      </w:r>
      <w:r w:rsidR="001943A2" w:rsidRPr="00E3797A">
        <w:rPr>
          <w:rFonts w:ascii="Arial" w:hAnsi="Arial" w:cs="Arial"/>
          <w:i/>
          <w:iCs/>
          <w:color w:val="000000" w:themeColor="text1"/>
          <w:sz w:val="22"/>
        </w:rPr>
        <w:t>et al.</w:t>
      </w:r>
      <w:r w:rsidR="001943A2">
        <w:rPr>
          <w:rFonts w:ascii="Arial" w:hAnsi="Arial" w:cs="Arial"/>
          <w:color w:val="000000" w:themeColor="text1"/>
          <w:sz w:val="22"/>
        </w:rPr>
        <w:t xml:space="preserve">, 2023). Therefore, in line with this awareness, the section below will examine a real case scenario of how </w:t>
      </w:r>
      <w:r w:rsidR="001943A2" w:rsidRPr="00FE2926">
        <w:rPr>
          <w:rFonts w:ascii="Arial" w:hAnsi="Arial" w:cs="Arial"/>
          <w:sz w:val="22"/>
        </w:rPr>
        <w:t>Havighurst</w:t>
      </w:r>
      <w:r w:rsidR="001943A2">
        <w:rPr>
          <w:rFonts w:ascii="Arial" w:hAnsi="Arial" w:cs="Arial"/>
          <w:sz w:val="22"/>
        </w:rPr>
        <w:t>’s</w:t>
      </w:r>
      <w:r w:rsidR="001943A2" w:rsidRPr="00FE2926">
        <w:rPr>
          <w:rFonts w:ascii="Arial" w:hAnsi="Arial" w:cs="Arial"/>
          <w:sz w:val="22"/>
        </w:rPr>
        <w:t> </w:t>
      </w:r>
      <w:r w:rsidR="001943A2">
        <w:rPr>
          <w:rFonts w:ascii="Arial" w:hAnsi="Arial" w:cs="Arial"/>
          <w:sz w:val="22"/>
        </w:rPr>
        <w:t>activity theory is being applied within the United Kingdom (UK).</w:t>
      </w:r>
    </w:p>
    <w:p w14:paraId="673B4376" w14:textId="2990D7EC" w:rsidR="001943A2" w:rsidRDefault="00252D19" w:rsidP="009326F9">
      <w:pPr>
        <w:rPr>
          <w:rFonts w:ascii="Arial" w:hAnsi="Arial" w:cs="Arial"/>
          <w:color w:val="000000" w:themeColor="text1"/>
          <w:sz w:val="22"/>
        </w:rPr>
      </w:pPr>
      <w:r>
        <w:rPr>
          <w:rFonts w:ascii="Arial" w:hAnsi="Arial" w:cs="Arial"/>
          <w:sz w:val="22"/>
        </w:rPr>
        <w:t xml:space="preserve">One of the </w:t>
      </w:r>
      <w:proofErr w:type="spellStart"/>
      <w:r>
        <w:rPr>
          <w:rFonts w:ascii="Arial" w:hAnsi="Arial" w:cs="Arial"/>
          <w:sz w:val="22"/>
        </w:rPr>
        <w:t>organisations</w:t>
      </w:r>
      <w:proofErr w:type="spellEnd"/>
      <w:r>
        <w:rPr>
          <w:rFonts w:ascii="Arial" w:hAnsi="Arial" w:cs="Arial"/>
          <w:sz w:val="22"/>
        </w:rPr>
        <w:t xml:space="preserve"> in the UK that successfully applies </w:t>
      </w:r>
      <w:r w:rsidRPr="00FE2926">
        <w:rPr>
          <w:rFonts w:ascii="Arial" w:hAnsi="Arial" w:cs="Arial"/>
          <w:sz w:val="22"/>
        </w:rPr>
        <w:t>Havighurst</w:t>
      </w:r>
      <w:r>
        <w:rPr>
          <w:rFonts w:ascii="Arial" w:hAnsi="Arial" w:cs="Arial"/>
          <w:sz w:val="22"/>
        </w:rPr>
        <w:t>’s</w:t>
      </w:r>
      <w:r w:rsidRPr="00FE2926">
        <w:rPr>
          <w:rFonts w:ascii="Arial" w:hAnsi="Arial" w:cs="Arial"/>
          <w:sz w:val="22"/>
        </w:rPr>
        <w:t> </w:t>
      </w:r>
      <w:r>
        <w:rPr>
          <w:rFonts w:ascii="Arial" w:hAnsi="Arial" w:cs="Arial"/>
          <w:sz w:val="22"/>
        </w:rPr>
        <w:t xml:space="preserve">framework is the National Activities Providers Association (NAPA). The </w:t>
      </w:r>
      <w:proofErr w:type="spellStart"/>
      <w:r>
        <w:rPr>
          <w:rFonts w:ascii="Arial" w:hAnsi="Arial" w:cs="Arial"/>
          <w:sz w:val="22"/>
        </w:rPr>
        <w:t>organisation</w:t>
      </w:r>
      <w:proofErr w:type="spellEnd"/>
      <w:r>
        <w:rPr>
          <w:rFonts w:ascii="Arial" w:hAnsi="Arial" w:cs="Arial"/>
          <w:sz w:val="22"/>
        </w:rPr>
        <w:t xml:space="preserve"> promotes meaningful engagement, activities, and connection across communities in the UK, ensuring that these peoples’ lives are improved and their wellbeing supported (NAPA, 2026). </w:t>
      </w:r>
      <w:r w:rsidR="00CC6E78">
        <w:rPr>
          <w:rFonts w:ascii="Arial" w:hAnsi="Arial" w:cs="Arial"/>
          <w:sz w:val="22"/>
        </w:rPr>
        <w:t xml:space="preserve">Through its </w:t>
      </w:r>
      <w:r w:rsidR="00CC6E78" w:rsidRPr="00CC6E78">
        <w:rPr>
          <w:rFonts w:ascii="Arial" w:hAnsi="Arial" w:cs="Arial"/>
          <w:sz w:val="22"/>
        </w:rPr>
        <w:t>active care home</w:t>
      </w:r>
      <w:r w:rsidR="00CC6E78">
        <w:rPr>
          <w:rFonts w:ascii="Arial" w:hAnsi="Arial" w:cs="Arial"/>
          <w:sz w:val="22"/>
        </w:rPr>
        <w:t xml:space="preserve"> programs, NAPA manages to actively engage older adults, through initiatives such as playing of board games, singing, answering quizzes, and </w:t>
      </w:r>
      <w:proofErr w:type="spellStart"/>
      <w:r w:rsidR="00CC6E78">
        <w:rPr>
          <w:rFonts w:ascii="Arial" w:hAnsi="Arial" w:cs="Arial"/>
          <w:sz w:val="22"/>
        </w:rPr>
        <w:t>organising</w:t>
      </w:r>
      <w:proofErr w:type="spellEnd"/>
      <w:r w:rsidR="00CC6E78">
        <w:rPr>
          <w:rFonts w:ascii="Arial" w:hAnsi="Arial" w:cs="Arial"/>
          <w:sz w:val="22"/>
        </w:rPr>
        <w:t xml:space="preserve"> community celebrations, where this ageing part of the population becomes actively engaged, feel more valued, and are able to get rid of feelings of isolation and loneliness (NAPA, 2026). </w:t>
      </w:r>
      <w:r w:rsidR="00E14EE3">
        <w:rPr>
          <w:rFonts w:ascii="Arial" w:hAnsi="Arial" w:cs="Arial"/>
          <w:sz w:val="22"/>
        </w:rPr>
        <w:t xml:space="preserve">Just as discovered by research done, actively engaging older adults makes them more active and improves their general health, through enhancing their quality of life (Nilsson </w:t>
      </w:r>
      <w:r w:rsidR="00E14EE3" w:rsidRPr="003E05B7">
        <w:rPr>
          <w:rFonts w:ascii="Arial" w:hAnsi="Arial" w:cs="Arial"/>
          <w:i/>
          <w:iCs/>
          <w:sz w:val="22"/>
        </w:rPr>
        <w:t>et al.</w:t>
      </w:r>
      <w:r w:rsidR="00E14EE3">
        <w:rPr>
          <w:rFonts w:ascii="Arial" w:hAnsi="Arial" w:cs="Arial"/>
          <w:sz w:val="22"/>
        </w:rPr>
        <w:t xml:space="preserve">, 2015; </w:t>
      </w:r>
      <w:proofErr w:type="spellStart"/>
      <w:r w:rsidR="00E14EE3" w:rsidRPr="00E3797A">
        <w:rPr>
          <w:rFonts w:ascii="Arial" w:hAnsi="Arial" w:cs="Arial"/>
          <w:color w:val="000000" w:themeColor="text1"/>
          <w:sz w:val="22"/>
        </w:rPr>
        <w:t>Röcke</w:t>
      </w:r>
      <w:proofErr w:type="spellEnd"/>
      <w:r w:rsidR="00E14EE3">
        <w:rPr>
          <w:rFonts w:ascii="Arial" w:hAnsi="Arial" w:cs="Arial"/>
          <w:color w:val="000000" w:themeColor="text1"/>
          <w:sz w:val="22"/>
        </w:rPr>
        <w:t xml:space="preserve"> </w:t>
      </w:r>
      <w:r w:rsidR="00E14EE3" w:rsidRPr="00E3797A">
        <w:rPr>
          <w:rFonts w:ascii="Arial" w:hAnsi="Arial" w:cs="Arial"/>
          <w:i/>
          <w:iCs/>
          <w:color w:val="000000" w:themeColor="text1"/>
          <w:sz w:val="22"/>
        </w:rPr>
        <w:t>et al.</w:t>
      </w:r>
      <w:r w:rsidR="00E14EE3">
        <w:rPr>
          <w:rFonts w:ascii="Arial" w:hAnsi="Arial" w:cs="Arial"/>
          <w:color w:val="000000" w:themeColor="text1"/>
          <w:sz w:val="22"/>
        </w:rPr>
        <w:t xml:space="preserve">, 2023). Therefore, social and health care specialists working with older adults, could improve the activeness of their patients through enrolling them to an </w:t>
      </w:r>
      <w:proofErr w:type="spellStart"/>
      <w:r w:rsidR="00E14EE3">
        <w:rPr>
          <w:rFonts w:ascii="Arial" w:hAnsi="Arial" w:cs="Arial"/>
          <w:color w:val="000000" w:themeColor="text1"/>
          <w:sz w:val="22"/>
        </w:rPr>
        <w:t>organisation</w:t>
      </w:r>
      <w:proofErr w:type="spellEnd"/>
      <w:r w:rsidR="00E14EE3">
        <w:rPr>
          <w:rFonts w:ascii="Arial" w:hAnsi="Arial" w:cs="Arial"/>
          <w:color w:val="000000" w:themeColor="text1"/>
          <w:sz w:val="22"/>
        </w:rPr>
        <w:t xml:space="preserve"> such as NAPA, or starting similar programs within their care setups. By taking such actions, older adults will have a better ageing period, dotted by improved physiological and psychological health.</w:t>
      </w:r>
    </w:p>
    <w:p w14:paraId="1CEE9277" w14:textId="27A0F9C3" w:rsidR="00E14EE3" w:rsidRDefault="000468A3" w:rsidP="009326F9">
      <w:pPr>
        <w:rPr>
          <w:rFonts w:ascii="Arial" w:hAnsi="Arial" w:cs="Arial"/>
          <w:sz w:val="22"/>
        </w:rPr>
      </w:pPr>
      <w:r>
        <w:rPr>
          <w:rFonts w:ascii="Arial" w:hAnsi="Arial" w:cs="Arial"/>
          <w:sz w:val="22"/>
        </w:rPr>
        <w:t xml:space="preserve">Whereas emphasis on active physical engagement advocated for by </w:t>
      </w:r>
      <w:r w:rsidRPr="00FE2926">
        <w:rPr>
          <w:rFonts w:ascii="Arial" w:hAnsi="Arial" w:cs="Arial"/>
          <w:sz w:val="22"/>
        </w:rPr>
        <w:t>Havighurst</w:t>
      </w:r>
      <w:r>
        <w:rPr>
          <w:rFonts w:ascii="Arial" w:hAnsi="Arial" w:cs="Arial"/>
          <w:sz w:val="22"/>
        </w:rPr>
        <w:t xml:space="preserve"> has positive outcomes, it equally brings about a set of challenges in its implementation. The major issue is that </w:t>
      </w:r>
      <w:r w:rsidRPr="00FE2926">
        <w:rPr>
          <w:rFonts w:ascii="Arial" w:hAnsi="Arial" w:cs="Arial"/>
          <w:sz w:val="22"/>
        </w:rPr>
        <w:t>Havighurst</w:t>
      </w:r>
      <w:r>
        <w:rPr>
          <w:rFonts w:ascii="Arial" w:hAnsi="Arial" w:cs="Arial"/>
          <w:sz w:val="22"/>
        </w:rPr>
        <w:t>’s</w:t>
      </w:r>
      <w:r w:rsidRPr="00FE2926">
        <w:rPr>
          <w:rFonts w:ascii="Arial" w:hAnsi="Arial" w:cs="Arial"/>
          <w:sz w:val="22"/>
        </w:rPr>
        <w:t> </w:t>
      </w:r>
      <w:r>
        <w:rPr>
          <w:rFonts w:ascii="Arial" w:hAnsi="Arial" w:cs="Arial"/>
          <w:sz w:val="22"/>
        </w:rPr>
        <w:t>framework ignores physical and mental limitations that some older adults face during this period of their lives (</w:t>
      </w:r>
      <w:r w:rsidR="00B75B18" w:rsidRPr="00B75B18">
        <w:rPr>
          <w:rFonts w:ascii="Arial" w:hAnsi="Arial" w:cs="Arial"/>
          <w:color w:val="000000" w:themeColor="text1"/>
          <w:sz w:val="22"/>
        </w:rPr>
        <w:t>MacIver</w:t>
      </w:r>
      <w:r w:rsidR="00B75B18">
        <w:rPr>
          <w:rFonts w:ascii="Arial" w:hAnsi="Arial" w:cs="Arial"/>
          <w:color w:val="000000" w:themeColor="text1"/>
          <w:sz w:val="22"/>
        </w:rPr>
        <w:t xml:space="preserve"> </w:t>
      </w:r>
      <w:r w:rsidR="00B75B18" w:rsidRPr="00B75B18">
        <w:rPr>
          <w:rFonts w:ascii="Arial" w:hAnsi="Arial" w:cs="Arial"/>
          <w:i/>
          <w:iCs/>
          <w:color w:val="000000" w:themeColor="text1"/>
          <w:sz w:val="22"/>
        </w:rPr>
        <w:t>et al.</w:t>
      </w:r>
      <w:r w:rsidR="00B75B18">
        <w:rPr>
          <w:rFonts w:ascii="Arial" w:hAnsi="Arial" w:cs="Arial"/>
          <w:color w:val="000000" w:themeColor="text1"/>
          <w:sz w:val="22"/>
        </w:rPr>
        <w:t xml:space="preserve">, 2026). </w:t>
      </w:r>
      <w:r w:rsidR="003E2627">
        <w:rPr>
          <w:rFonts w:ascii="Arial" w:hAnsi="Arial" w:cs="Arial"/>
          <w:color w:val="000000" w:themeColor="text1"/>
          <w:sz w:val="22"/>
        </w:rPr>
        <w:t>For older adults with disabilities, dealing with chronic illnesses, and grappling with cognitive decline, active participation in physical and mental activities such as yoga, tai chi, board games, among others, may be oppressive (</w:t>
      </w:r>
      <w:r w:rsidR="003E2627" w:rsidRPr="00B75B18">
        <w:rPr>
          <w:rFonts w:ascii="Arial" w:hAnsi="Arial" w:cs="Arial"/>
          <w:color w:val="000000" w:themeColor="text1"/>
          <w:sz w:val="22"/>
        </w:rPr>
        <w:t>MacIver</w:t>
      </w:r>
      <w:r w:rsidR="003E2627">
        <w:rPr>
          <w:rFonts w:ascii="Arial" w:hAnsi="Arial" w:cs="Arial"/>
          <w:color w:val="000000" w:themeColor="text1"/>
          <w:sz w:val="22"/>
        </w:rPr>
        <w:t xml:space="preserve"> </w:t>
      </w:r>
      <w:r w:rsidR="003E2627" w:rsidRPr="00B75B18">
        <w:rPr>
          <w:rFonts w:ascii="Arial" w:hAnsi="Arial" w:cs="Arial"/>
          <w:i/>
          <w:iCs/>
          <w:color w:val="000000" w:themeColor="text1"/>
          <w:sz w:val="22"/>
        </w:rPr>
        <w:t>et al.</w:t>
      </w:r>
      <w:r w:rsidR="003E2627">
        <w:rPr>
          <w:rFonts w:ascii="Arial" w:hAnsi="Arial" w:cs="Arial"/>
          <w:color w:val="000000" w:themeColor="text1"/>
          <w:sz w:val="22"/>
        </w:rPr>
        <w:t>, 2026). As a result, by coercing all older adults to become active, it may cause some of these individuals with low functional abilities to feel ashamed, frustrated, and just failures (</w:t>
      </w:r>
      <w:r w:rsidR="003E2627" w:rsidRPr="00B75B18">
        <w:rPr>
          <w:rFonts w:ascii="Arial" w:hAnsi="Arial" w:cs="Arial"/>
          <w:color w:val="000000" w:themeColor="text1"/>
          <w:sz w:val="22"/>
        </w:rPr>
        <w:t>MacIver</w:t>
      </w:r>
      <w:r w:rsidR="003E2627">
        <w:rPr>
          <w:rFonts w:ascii="Arial" w:hAnsi="Arial" w:cs="Arial"/>
          <w:color w:val="000000" w:themeColor="text1"/>
          <w:sz w:val="22"/>
        </w:rPr>
        <w:t xml:space="preserve"> </w:t>
      </w:r>
      <w:r w:rsidR="003E2627" w:rsidRPr="00B75B18">
        <w:rPr>
          <w:rFonts w:ascii="Arial" w:hAnsi="Arial" w:cs="Arial"/>
          <w:i/>
          <w:iCs/>
          <w:color w:val="000000" w:themeColor="text1"/>
          <w:sz w:val="22"/>
        </w:rPr>
        <w:t>et al.</w:t>
      </w:r>
      <w:r w:rsidR="003E2627">
        <w:rPr>
          <w:rFonts w:ascii="Arial" w:hAnsi="Arial" w:cs="Arial"/>
          <w:color w:val="000000" w:themeColor="text1"/>
          <w:sz w:val="22"/>
        </w:rPr>
        <w:t xml:space="preserve">, 2026). Clearly, this does not align with the overall goals of </w:t>
      </w:r>
      <w:r w:rsidR="003E2627" w:rsidRPr="00FE2926">
        <w:rPr>
          <w:rFonts w:ascii="Arial" w:hAnsi="Arial" w:cs="Arial"/>
          <w:sz w:val="22"/>
        </w:rPr>
        <w:t>Havighurst</w:t>
      </w:r>
      <w:r w:rsidR="003E2627">
        <w:rPr>
          <w:rFonts w:ascii="Arial" w:hAnsi="Arial" w:cs="Arial"/>
          <w:sz w:val="22"/>
        </w:rPr>
        <w:t xml:space="preserve">’s framework, which is to improve mental and physical wellbeing, instead of </w:t>
      </w:r>
      <w:proofErr w:type="spellStart"/>
      <w:r w:rsidR="003E2627">
        <w:rPr>
          <w:rFonts w:ascii="Arial" w:hAnsi="Arial" w:cs="Arial"/>
          <w:sz w:val="22"/>
        </w:rPr>
        <w:t>jeopardising</w:t>
      </w:r>
      <w:proofErr w:type="spellEnd"/>
      <w:r w:rsidR="003E2627">
        <w:rPr>
          <w:rFonts w:ascii="Arial" w:hAnsi="Arial" w:cs="Arial"/>
          <w:sz w:val="22"/>
        </w:rPr>
        <w:t xml:space="preserve"> them. </w:t>
      </w:r>
    </w:p>
    <w:p w14:paraId="72A4C347" w14:textId="56A12413" w:rsidR="003E2627" w:rsidRDefault="00705BB2" w:rsidP="009326F9">
      <w:pPr>
        <w:rPr>
          <w:rFonts w:ascii="Arial" w:hAnsi="Arial" w:cs="Arial"/>
          <w:sz w:val="22"/>
        </w:rPr>
      </w:pPr>
      <w:r>
        <w:rPr>
          <w:rFonts w:ascii="Arial" w:hAnsi="Arial" w:cs="Arial"/>
          <w:sz w:val="22"/>
        </w:rPr>
        <w:t xml:space="preserve">Therefore, this problem could be handled by incorporating the aspects of continuity theory that proposes having the older adults maintain the habits, lifestyle actions, and relationships they are familiar with, instead of forcing them to pick up new </w:t>
      </w:r>
      <w:proofErr w:type="spellStart"/>
      <w:r w:rsidR="00601402">
        <w:rPr>
          <w:rFonts w:ascii="Arial" w:hAnsi="Arial" w:cs="Arial"/>
          <w:sz w:val="22"/>
        </w:rPr>
        <w:t>behaviours</w:t>
      </w:r>
      <w:proofErr w:type="spellEnd"/>
      <w:r w:rsidR="00601402">
        <w:rPr>
          <w:rFonts w:ascii="Arial" w:hAnsi="Arial" w:cs="Arial"/>
          <w:sz w:val="22"/>
        </w:rPr>
        <w:t xml:space="preserve"> </w:t>
      </w:r>
      <w:r>
        <w:rPr>
          <w:rFonts w:ascii="Arial" w:hAnsi="Arial" w:cs="Arial"/>
          <w:sz w:val="22"/>
        </w:rPr>
        <w:t>(</w:t>
      </w:r>
      <w:r w:rsidRPr="00705BB2">
        <w:rPr>
          <w:rFonts w:ascii="Arial" w:hAnsi="Arial" w:cs="Arial"/>
          <w:color w:val="000000" w:themeColor="text1"/>
          <w:sz w:val="22"/>
        </w:rPr>
        <w:t xml:space="preserve">Van </w:t>
      </w:r>
      <w:proofErr w:type="spellStart"/>
      <w:r w:rsidRPr="00705BB2">
        <w:rPr>
          <w:rFonts w:ascii="Arial" w:hAnsi="Arial" w:cs="Arial"/>
          <w:color w:val="000000" w:themeColor="text1"/>
          <w:sz w:val="22"/>
        </w:rPr>
        <w:t>Leeuwen</w:t>
      </w:r>
      <w:proofErr w:type="spellEnd"/>
      <w:r>
        <w:rPr>
          <w:rFonts w:ascii="Arial" w:hAnsi="Arial" w:cs="Arial"/>
          <w:color w:val="000000" w:themeColor="text1"/>
          <w:sz w:val="22"/>
        </w:rPr>
        <w:t xml:space="preserve"> </w:t>
      </w:r>
      <w:r w:rsidRPr="00705BB2">
        <w:rPr>
          <w:rFonts w:ascii="Arial" w:hAnsi="Arial" w:cs="Arial"/>
          <w:i/>
          <w:iCs/>
          <w:color w:val="000000" w:themeColor="text1"/>
          <w:sz w:val="22"/>
        </w:rPr>
        <w:t>et al.</w:t>
      </w:r>
      <w:r>
        <w:rPr>
          <w:rFonts w:ascii="Arial" w:hAnsi="Arial" w:cs="Arial"/>
          <w:color w:val="000000" w:themeColor="text1"/>
          <w:sz w:val="22"/>
        </w:rPr>
        <w:t xml:space="preserve">, 2023). </w:t>
      </w:r>
      <w:r w:rsidR="00601402">
        <w:rPr>
          <w:rFonts w:ascii="Arial" w:hAnsi="Arial" w:cs="Arial"/>
          <w:color w:val="000000" w:themeColor="text1"/>
          <w:sz w:val="22"/>
        </w:rPr>
        <w:t>In maintaining a sense of consistency, this model calls on helping older adults to manage current challenges, through using their past experiences, preserving internal structures, and also, upholding their existing external structures (</w:t>
      </w:r>
      <w:r w:rsidR="00601402" w:rsidRPr="00705BB2">
        <w:rPr>
          <w:rFonts w:ascii="Arial" w:hAnsi="Arial" w:cs="Arial"/>
          <w:color w:val="000000" w:themeColor="text1"/>
          <w:sz w:val="22"/>
        </w:rPr>
        <w:t>Van Leeuwen</w:t>
      </w:r>
      <w:r w:rsidR="00601402">
        <w:rPr>
          <w:rFonts w:ascii="Arial" w:hAnsi="Arial" w:cs="Arial"/>
          <w:color w:val="000000" w:themeColor="text1"/>
          <w:sz w:val="22"/>
        </w:rPr>
        <w:t xml:space="preserve"> </w:t>
      </w:r>
      <w:r w:rsidR="00601402" w:rsidRPr="00705BB2">
        <w:rPr>
          <w:rFonts w:ascii="Arial" w:hAnsi="Arial" w:cs="Arial"/>
          <w:i/>
          <w:iCs/>
          <w:color w:val="000000" w:themeColor="text1"/>
          <w:sz w:val="22"/>
        </w:rPr>
        <w:t>et al.</w:t>
      </w:r>
      <w:r w:rsidR="00601402">
        <w:rPr>
          <w:rFonts w:ascii="Arial" w:hAnsi="Arial" w:cs="Arial"/>
          <w:color w:val="000000" w:themeColor="text1"/>
          <w:sz w:val="22"/>
        </w:rPr>
        <w:t xml:space="preserve">, 2023). This action, respects the element of self-determination for older adults whereby, they can be granted the opportunity to embrace retaining their previous activities and actions, instead of picking up new </w:t>
      </w:r>
      <w:proofErr w:type="spellStart"/>
      <w:r w:rsidR="00601402">
        <w:rPr>
          <w:rFonts w:ascii="Arial" w:hAnsi="Arial" w:cs="Arial"/>
          <w:color w:val="000000" w:themeColor="text1"/>
          <w:sz w:val="22"/>
        </w:rPr>
        <w:t>behaviours</w:t>
      </w:r>
      <w:proofErr w:type="spellEnd"/>
      <w:r w:rsidR="00601402">
        <w:rPr>
          <w:rFonts w:ascii="Arial" w:hAnsi="Arial" w:cs="Arial"/>
          <w:color w:val="000000" w:themeColor="text1"/>
          <w:sz w:val="22"/>
        </w:rPr>
        <w:t>, which may worsen their psychological health (</w:t>
      </w:r>
      <w:r w:rsidR="00601402" w:rsidRPr="00705BB2">
        <w:rPr>
          <w:rFonts w:ascii="Arial" w:hAnsi="Arial" w:cs="Arial"/>
          <w:color w:val="000000" w:themeColor="text1"/>
          <w:sz w:val="22"/>
        </w:rPr>
        <w:t>Van Leeuwen</w:t>
      </w:r>
      <w:r w:rsidR="00601402">
        <w:rPr>
          <w:rFonts w:ascii="Arial" w:hAnsi="Arial" w:cs="Arial"/>
          <w:color w:val="000000" w:themeColor="text1"/>
          <w:sz w:val="22"/>
        </w:rPr>
        <w:t xml:space="preserve"> </w:t>
      </w:r>
      <w:r w:rsidR="00601402" w:rsidRPr="00705BB2">
        <w:rPr>
          <w:rFonts w:ascii="Arial" w:hAnsi="Arial" w:cs="Arial"/>
          <w:i/>
          <w:iCs/>
          <w:color w:val="000000" w:themeColor="text1"/>
          <w:sz w:val="22"/>
        </w:rPr>
        <w:t>et al.</w:t>
      </w:r>
      <w:r w:rsidR="00601402">
        <w:rPr>
          <w:rFonts w:ascii="Arial" w:hAnsi="Arial" w:cs="Arial"/>
          <w:color w:val="000000" w:themeColor="text1"/>
          <w:sz w:val="22"/>
        </w:rPr>
        <w:t xml:space="preserve">, 2023). Hence, to ensure that older adults with physical and mental limitations do not feel pressured, </w:t>
      </w:r>
      <w:r w:rsidR="00601402" w:rsidRPr="00FE2926">
        <w:rPr>
          <w:rFonts w:ascii="Arial" w:hAnsi="Arial" w:cs="Arial"/>
          <w:sz w:val="22"/>
        </w:rPr>
        <w:t>Havighurst</w:t>
      </w:r>
      <w:r w:rsidR="00601402">
        <w:rPr>
          <w:rFonts w:ascii="Arial" w:hAnsi="Arial" w:cs="Arial"/>
          <w:sz w:val="22"/>
        </w:rPr>
        <w:t xml:space="preserve"> activity framework should be selectively applied. This is to say, the older adults should be given the autonomy to make a decision of whether to engage in newer activities, or to retain the ones they are familiar with. </w:t>
      </w:r>
    </w:p>
    <w:p w14:paraId="78DA4635" w14:textId="77777777" w:rsidR="006F05FB" w:rsidRDefault="006F05FB" w:rsidP="006F05FB">
      <w:pPr>
        <w:ind w:firstLine="0"/>
        <w:rPr>
          <w:rFonts w:ascii="Arial" w:hAnsi="Arial" w:cs="Arial"/>
          <w:sz w:val="22"/>
        </w:rPr>
      </w:pPr>
    </w:p>
    <w:p w14:paraId="1413997B" w14:textId="4218BCD4" w:rsidR="006F05FB" w:rsidRPr="002D3AD2" w:rsidRDefault="006F05FB" w:rsidP="002D3AD2">
      <w:pPr>
        <w:ind w:firstLine="0"/>
        <w:jc w:val="center"/>
        <w:rPr>
          <w:rFonts w:ascii="Arial" w:hAnsi="Arial" w:cs="Arial"/>
          <w:b/>
          <w:bCs/>
          <w:sz w:val="22"/>
        </w:rPr>
      </w:pPr>
      <w:r w:rsidRPr="002D3AD2">
        <w:rPr>
          <w:rFonts w:ascii="Arial" w:hAnsi="Arial" w:cs="Arial"/>
          <w:b/>
          <w:bCs/>
          <w:sz w:val="22"/>
        </w:rPr>
        <w:t>REFERENCES</w:t>
      </w:r>
    </w:p>
    <w:p w14:paraId="7D37D52B" w14:textId="61F9C170" w:rsidR="006F05FB" w:rsidRPr="006F05FB" w:rsidRDefault="006F05FB" w:rsidP="006F05FB">
      <w:pPr>
        <w:ind w:left="720" w:hanging="720"/>
        <w:rPr>
          <w:rFonts w:ascii="Arial" w:hAnsi="Arial" w:cs="Arial"/>
          <w:color w:val="000000" w:themeColor="text1"/>
          <w:sz w:val="22"/>
        </w:rPr>
      </w:pPr>
      <w:r w:rsidRPr="006F05FB">
        <w:rPr>
          <w:rFonts w:ascii="Arial" w:hAnsi="Arial" w:cs="Arial"/>
          <w:color w:val="000000" w:themeColor="text1"/>
          <w:sz w:val="22"/>
        </w:rPr>
        <w:t xml:space="preserve">Abbasi, M., Radfar, M., </w:t>
      </w:r>
      <w:proofErr w:type="spellStart"/>
      <w:r w:rsidRPr="006F05FB">
        <w:rPr>
          <w:rFonts w:ascii="Arial" w:hAnsi="Arial" w:cs="Arial"/>
          <w:color w:val="000000" w:themeColor="text1"/>
          <w:sz w:val="22"/>
        </w:rPr>
        <w:t>Jafarizadeh</w:t>
      </w:r>
      <w:proofErr w:type="spellEnd"/>
      <w:r w:rsidRPr="006F05FB">
        <w:rPr>
          <w:rFonts w:ascii="Arial" w:hAnsi="Arial" w:cs="Arial"/>
          <w:color w:val="000000" w:themeColor="text1"/>
          <w:sz w:val="22"/>
        </w:rPr>
        <w:t xml:space="preserve">, H., &amp; </w:t>
      </w:r>
      <w:proofErr w:type="spellStart"/>
      <w:r w:rsidRPr="006F05FB">
        <w:rPr>
          <w:rFonts w:ascii="Arial" w:hAnsi="Arial" w:cs="Arial"/>
          <w:color w:val="000000" w:themeColor="text1"/>
          <w:sz w:val="22"/>
        </w:rPr>
        <w:t>Khalkhali</w:t>
      </w:r>
      <w:proofErr w:type="spellEnd"/>
      <w:r w:rsidRPr="006F05FB">
        <w:rPr>
          <w:rFonts w:ascii="Arial" w:hAnsi="Arial" w:cs="Arial"/>
          <w:color w:val="000000" w:themeColor="text1"/>
          <w:sz w:val="22"/>
        </w:rPr>
        <w:t>, H. (2025) ‘Does life story work based on Erikson's theory enhance psychological well-being in elderly residents of nursing homes? A randomized controlled trial’, </w:t>
      </w:r>
      <w:r w:rsidRPr="006F05FB">
        <w:rPr>
          <w:rFonts w:ascii="Arial" w:hAnsi="Arial" w:cs="Arial"/>
          <w:i/>
          <w:iCs/>
          <w:color w:val="000000" w:themeColor="text1"/>
          <w:sz w:val="22"/>
        </w:rPr>
        <w:t>Geriatric Nursing</w:t>
      </w:r>
      <w:r w:rsidRPr="006F05FB">
        <w:rPr>
          <w:rFonts w:ascii="Arial" w:hAnsi="Arial" w:cs="Arial"/>
          <w:color w:val="000000" w:themeColor="text1"/>
          <w:sz w:val="22"/>
        </w:rPr>
        <w:t xml:space="preserve">, 6(1), pp. 140-148. Available at: </w:t>
      </w:r>
      <w:hyperlink r:id="rId10" w:history="1">
        <w:r w:rsidRPr="006F05FB">
          <w:rPr>
            <w:rStyle w:val="Hyperlink"/>
            <w:rFonts w:ascii="Arial" w:hAnsi="Arial" w:cs="Arial"/>
            <w:color w:val="000000" w:themeColor="text1"/>
            <w:sz w:val="22"/>
          </w:rPr>
          <w:t>https://doi.org/10.1016/j.gerinurse.2024.10.066</w:t>
        </w:r>
      </w:hyperlink>
    </w:p>
    <w:p w14:paraId="63AB5E34" w14:textId="519393D9" w:rsidR="000468A3" w:rsidRPr="00B75B18" w:rsidRDefault="000468A3" w:rsidP="006F05FB">
      <w:pPr>
        <w:ind w:left="720" w:hanging="720"/>
        <w:rPr>
          <w:rFonts w:ascii="Arial" w:hAnsi="Arial" w:cs="Arial"/>
          <w:color w:val="000000" w:themeColor="text1"/>
          <w:sz w:val="22"/>
        </w:rPr>
      </w:pPr>
      <w:r w:rsidRPr="00B75B18">
        <w:rPr>
          <w:rFonts w:ascii="Arial" w:hAnsi="Arial" w:cs="Arial"/>
          <w:color w:val="000000" w:themeColor="text1"/>
          <w:sz w:val="22"/>
        </w:rPr>
        <w:t xml:space="preserve">MacIver, E., Adams, N. N., Douglas, F., &amp; Kennedy, C. (2026) ‘Older adults’ experiences of wellbeing through engagement with a nature-based </w:t>
      </w:r>
      <w:proofErr w:type="spellStart"/>
      <w:r w:rsidRPr="00B75B18">
        <w:rPr>
          <w:rFonts w:ascii="Arial" w:hAnsi="Arial" w:cs="Arial"/>
          <w:color w:val="000000" w:themeColor="text1"/>
          <w:sz w:val="22"/>
        </w:rPr>
        <w:t>programme</w:t>
      </w:r>
      <w:proofErr w:type="spellEnd"/>
      <w:r w:rsidRPr="00B75B18">
        <w:rPr>
          <w:rFonts w:ascii="Arial" w:hAnsi="Arial" w:cs="Arial"/>
          <w:color w:val="000000" w:themeColor="text1"/>
          <w:sz w:val="22"/>
        </w:rPr>
        <w:t>: Insights from Activity Theory and Blue Zones thinking’, </w:t>
      </w:r>
      <w:r w:rsidRPr="00B75B18">
        <w:rPr>
          <w:rFonts w:ascii="Arial" w:hAnsi="Arial" w:cs="Arial"/>
          <w:i/>
          <w:iCs/>
          <w:color w:val="000000" w:themeColor="text1"/>
          <w:sz w:val="22"/>
        </w:rPr>
        <w:t>Wellbeing, Space and Society</w:t>
      </w:r>
      <w:r w:rsidRPr="00B75B18">
        <w:rPr>
          <w:rFonts w:ascii="Arial" w:hAnsi="Arial" w:cs="Arial"/>
          <w:color w:val="000000" w:themeColor="text1"/>
          <w:sz w:val="22"/>
        </w:rPr>
        <w:t xml:space="preserve">, pp. 10-36. Available at: </w:t>
      </w:r>
      <w:hyperlink r:id="rId11" w:history="1">
        <w:r w:rsidR="005E7B88" w:rsidRPr="00B75B18">
          <w:rPr>
            <w:rStyle w:val="Hyperlink"/>
            <w:rFonts w:ascii="Arial" w:hAnsi="Arial" w:cs="Arial"/>
            <w:color w:val="000000" w:themeColor="text1"/>
            <w:sz w:val="22"/>
          </w:rPr>
          <w:t>https://doi.org/10.1016/j.wss.2026.100367</w:t>
        </w:r>
      </w:hyperlink>
      <w:r w:rsidRPr="00B75B18">
        <w:rPr>
          <w:rFonts w:ascii="Arial" w:hAnsi="Arial" w:cs="Arial"/>
          <w:color w:val="000000" w:themeColor="text1"/>
          <w:sz w:val="22"/>
        </w:rPr>
        <w:t xml:space="preserve"> </w:t>
      </w:r>
    </w:p>
    <w:p w14:paraId="2E85748F" w14:textId="69AE6D7E" w:rsidR="006F05FB" w:rsidRPr="006F05FB" w:rsidRDefault="006F05FB" w:rsidP="006F05FB">
      <w:pPr>
        <w:ind w:left="720" w:hanging="720"/>
        <w:rPr>
          <w:rFonts w:ascii="Arial" w:hAnsi="Arial" w:cs="Arial"/>
          <w:color w:val="000000" w:themeColor="text1"/>
          <w:sz w:val="22"/>
        </w:rPr>
      </w:pPr>
      <w:r w:rsidRPr="006F05FB">
        <w:rPr>
          <w:rFonts w:ascii="Arial" w:hAnsi="Arial" w:cs="Arial"/>
          <w:color w:val="000000" w:themeColor="text1"/>
          <w:sz w:val="22"/>
        </w:rPr>
        <w:t>Milberg, A., &amp; Friedrichsen, M. (2017) ‘Attachment figures when death is approaching: a study applying attachment theory to adult patients' and family members' experiences during palliative home care’, </w:t>
      </w:r>
      <w:r w:rsidRPr="006F05FB">
        <w:rPr>
          <w:rFonts w:ascii="Arial" w:hAnsi="Arial" w:cs="Arial"/>
          <w:i/>
          <w:iCs/>
          <w:color w:val="000000" w:themeColor="text1"/>
          <w:sz w:val="22"/>
        </w:rPr>
        <w:t>Supportive Care in Cancer: Official Journal of the Multinational Association of Supportive Care in Cancer</w:t>
      </w:r>
      <w:r w:rsidRPr="006F05FB">
        <w:rPr>
          <w:rFonts w:ascii="Arial" w:hAnsi="Arial" w:cs="Arial"/>
          <w:color w:val="000000" w:themeColor="text1"/>
          <w:sz w:val="22"/>
        </w:rPr>
        <w:t xml:space="preserve">, 25(7), pp. 2267–2274. Available at: </w:t>
      </w:r>
      <w:hyperlink r:id="rId12" w:history="1">
        <w:r w:rsidRPr="006F05FB">
          <w:rPr>
            <w:rStyle w:val="Hyperlink"/>
            <w:rFonts w:ascii="Arial" w:hAnsi="Arial" w:cs="Arial"/>
            <w:color w:val="000000" w:themeColor="text1"/>
            <w:sz w:val="22"/>
          </w:rPr>
          <w:t>https://doi.org/10.1007/s00520-017-3634-7</w:t>
        </w:r>
      </w:hyperlink>
    </w:p>
    <w:p w14:paraId="07CDC9AB" w14:textId="318DD0E8" w:rsidR="00CC6E78" w:rsidRPr="00CC6E78" w:rsidRDefault="00CC6E78" w:rsidP="006F05FB">
      <w:pPr>
        <w:ind w:left="720" w:hanging="720"/>
        <w:rPr>
          <w:rFonts w:ascii="Arial" w:hAnsi="Arial" w:cs="Arial"/>
          <w:color w:val="000000" w:themeColor="text1"/>
          <w:sz w:val="22"/>
        </w:rPr>
      </w:pPr>
      <w:r w:rsidRPr="00CC6E78">
        <w:rPr>
          <w:rFonts w:ascii="Arial" w:hAnsi="Arial" w:cs="Arial"/>
          <w:color w:val="000000" w:themeColor="text1"/>
          <w:sz w:val="22"/>
        </w:rPr>
        <w:t xml:space="preserve">NAPA (2026) </w:t>
      </w:r>
      <w:r w:rsidRPr="00CC6E78">
        <w:rPr>
          <w:rFonts w:ascii="Arial" w:hAnsi="Arial" w:cs="Arial"/>
          <w:i/>
          <w:iCs/>
          <w:color w:val="000000" w:themeColor="text1"/>
          <w:sz w:val="22"/>
        </w:rPr>
        <w:t>Welcome to the National Activity Providers Association</w:t>
      </w:r>
      <w:r w:rsidRPr="00CC6E78">
        <w:rPr>
          <w:rFonts w:ascii="Arial" w:hAnsi="Arial" w:cs="Arial"/>
          <w:color w:val="000000" w:themeColor="text1"/>
          <w:sz w:val="22"/>
        </w:rPr>
        <w:t xml:space="preserve">. Available at: </w:t>
      </w:r>
      <w:hyperlink r:id="rId13" w:history="1">
        <w:r w:rsidRPr="00CC6E78">
          <w:rPr>
            <w:rStyle w:val="Hyperlink"/>
            <w:rFonts w:ascii="Arial" w:hAnsi="Arial" w:cs="Arial"/>
            <w:color w:val="000000" w:themeColor="text1"/>
            <w:sz w:val="22"/>
          </w:rPr>
          <w:t>https://napa-activities.co.uk/</w:t>
        </w:r>
      </w:hyperlink>
      <w:r w:rsidRPr="00CC6E78">
        <w:rPr>
          <w:rFonts w:ascii="Arial" w:hAnsi="Arial" w:cs="Arial"/>
          <w:color w:val="000000" w:themeColor="text1"/>
          <w:sz w:val="22"/>
        </w:rPr>
        <w:t xml:space="preserve"> </w:t>
      </w:r>
    </w:p>
    <w:p w14:paraId="070B99DB" w14:textId="459532E1" w:rsidR="006F05FB" w:rsidRDefault="006F05FB" w:rsidP="006F05FB">
      <w:pPr>
        <w:ind w:left="720" w:hanging="720"/>
        <w:rPr>
          <w:rFonts w:ascii="Arial" w:hAnsi="Arial" w:cs="Arial"/>
          <w:color w:val="000000" w:themeColor="text1"/>
          <w:sz w:val="22"/>
        </w:rPr>
      </w:pPr>
      <w:r w:rsidRPr="006F05FB">
        <w:rPr>
          <w:rFonts w:ascii="Arial" w:hAnsi="Arial" w:cs="Arial"/>
          <w:color w:val="000000" w:themeColor="text1"/>
          <w:sz w:val="22"/>
        </w:rPr>
        <w:t>Nilsson, H., Bülow, P. H., &amp; Kazemi, A. (2015) ‘Mindful Sustainable Aging: Advancing a Comprehensive Approach to the Challenges and Opportunities of Old Age’, </w:t>
      </w:r>
      <w:r w:rsidRPr="006F05FB">
        <w:rPr>
          <w:rFonts w:ascii="Arial" w:hAnsi="Arial" w:cs="Arial"/>
          <w:i/>
          <w:iCs/>
          <w:color w:val="000000" w:themeColor="text1"/>
          <w:sz w:val="22"/>
        </w:rPr>
        <w:t>Europe's Journal of Psychology</w:t>
      </w:r>
      <w:r w:rsidRPr="006F05FB">
        <w:rPr>
          <w:rFonts w:ascii="Arial" w:hAnsi="Arial" w:cs="Arial"/>
          <w:color w:val="000000" w:themeColor="text1"/>
          <w:sz w:val="22"/>
        </w:rPr>
        <w:t xml:space="preserve">, 11(3), pp. 494–508. Available at: </w:t>
      </w:r>
      <w:hyperlink r:id="rId14" w:history="1">
        <w:r w:rsidRPr="006F05FB">
          <w:rPr>
            <w:rStyle w:val="Hyperlink"/>
            <w:rFonts w:ascii="Arial" w:hAnsi="Arial" w:cs="Arial"/>
            <w:color w:val="000000" w:themeColor="text1"/>
            <w:sz w:val="22"/>
          </w:rPr>
          <w:t>https://doi.org/10.5964/ejop.v11i3.949</w:t>
        </w:r>
      </w:hyperlink>
    </w:p>
    <w:p w14:paraId="1BC42535" w14:textId="4ED42F6E" w:rsidR="006F05FB" w:rsidRDefault="006F05FB" w:rsidP="006F05FB">
      <w:pPr>
        <w:ind w:left="720" w:hanging="720"/>
        <w:rPr>
          <w:rFonts w:ascii="Arial" w:hAnsi="Arial" w:cs="Arial"/>
          <w:color w:val="000000" w:themeColor="text1"/>
          <w:sz w:val="22"/>
        </w:rPr>
      </w:pPr>
      <w:r w:rsidRPr="006F05FB">
        <w:rPr>
          <w:rFonts w:ascii="Arial" w:hAnsi="Arial" w:cs="Arial"/>
          <w:color w:val="000000" w:themeColor="text1"/>
          <w:sz w:val="22"/>
        </w:rPr>
        <w:t xml:space="preserve">Park, M. S., Webber, B., Badham, S. P., </w:t>
      </w:r>
      <w:proofErr w:type="spellStart"/>
      <w:r w:rsidRPr="006F05FB">
        <w:rPr>
          <w:rFonts w:ascii="Arial" w:hAnsi="Arial" w:cs="Arial"/>
          <w:color w:val="000000" w:themeColor="text1"/>
          <w:sz w:val="22"/>
        </w:rPr>
        <w:t>Krägeloh</w:t>
      </w:r>
      <w:proofErr w:type="spellEnd"/>
      <w:r w:rsidRPr="006F05FB">
        <w:rPr>
          <w:rFonts w:ascii="Arial" w:hAnsi="Arial" w:cs="Arial"/>
          <w:color w:val="000000" w:themeColor="text1"/>
          <w:sz w:val="22"/>
        </w:rPr>
        <w:t xml:space="preserve">, C. U., Capone, V., </w:t>
      </w:r>
      <w:proofErr w:type="spellStart"/>
      <w:r w:rsidRPr="006F05FB">
        <w:rPr>
          <w:rFonts w:ascii="Arial" w:hAnsi="Arial" w:cs="Arial"/>
          <w:color w:val="000000" w:themeColor="text1"/>
          <w:sz w:val="22"/>
        </w:rPr>
        <w:t>Donizzetti</w:t>
      </w:r>
      <w:proofErr w:type="spellEnd"/>
      <w:r w:rsidRPr="006F05FB">
        <w:rPr>
          <w:rFonts w:ascii="Arial" w:hAnsi="Arial" w:cs="Arial"/>
          <w:color w:val="000000" w:themeColor="text1"/>
          <w:sz w:val="22"/>
        </w:rPr>
        <w:t xml:space="preserve">, A. R., </w:t>
      </w:r>
      <w:proofErr w:type="spellStart"/>
      <w:r w:rsidRPr="006F05FB">
        <w:rPr>
          <w:rFonts w:ascii="Arial" w:hAnsi="Arial" w:cs="Arial"/>
          <w:color w:val="000000" w:themeColor="text1"/>
          <w:sz w:val="22"/>
        </w:rPr>
        <w:t>Joshanloo</w:t>
      </w:r>
      <w:proofErr w:type="spellEnd"/>
      <w:r w:rsidRPr="006F05FB">
        <w:rPr>
          <w:rFonts w:ascii="Arial" w:hAnsi="Arial" w:cs="Arial"/>
          <w:color w:val="000000" w:themeColor="text1"/>
          <w:sz w:val="22"/>
        </w:rPr>
        <w:t xml:space="preserve">, M., Harsányi, S. G., Kovács, M., &amp; Hellis, E. (2025) ‘But Is Ageing Really All Bad? </w:t>
      </w:r>
      <w:proofErr w:type="spellStart"/>
      <w:r w:rsidRPr="006F05FB">
        <w:rPr>
          <w:rFonts w:ascii="Arial" w:hAnsi="Arial" w:cs="Arial"/>
          <w:color w:val="000000" w:themeColor="text1"/>
          <w:sz w:val="22"/>
        </w:rPr>
        <w:t>Conceptualising</w:t>
      </w:r>
      <w:proofErr w:type="spellEnd"/>
      <w:r w:rsidRPr="006F05FB">
        <w:rPr>
          <w:rFonts w:ascii="Arial" w:hAnsi="Arial" w:cs="Arial"/>
          <w:color w:val="000000" w:themeColor="text1"/>
          <w:sz w:val="22"/>
        </w:rPr>
        <w:t xml:space="preserve"> Positive Ageing’, </w:t>
      </w:r>
      <w:r w:rsidRPr="006F05FB">
        <w:rPr>
          <w:rFonts w:ascii="Arial" w:hAnsi="Arial" w:cs="Arial"/>
          <w:i/>
          <w:iCs/>
          <w:color w:val="000000" w:themeColor="text1"/>
          <w:sz w:val="22"/>
        </w:rPr>
        <w:t>Geriatrics</w:t>
      </w:r>
      <w:r w:rsidRPr="006F05FB">
        <w:rPr>
          <w:rFonts w:ascii="Arial" w:hAnsi="Arial" w:cs="Arial"/>
          <w:color w:val="000000" w:themeColor="text1"/>
          <w:sz w:val="22"/>
        </w:rPr>
        <w:t xml:space="preserve">, 10(6), pp. 15-31. Available at: </w:t>
      </w:r>
      <w:hyperlink r:id="rId15" w:history="1">
        <w:r w:rsidRPr="006F05FB">
          <w:rPr>
            <w:rStyle w:val="Hyperlink"/>
            <w:rFonts w:ascii="Arial" w:hAnsi="Arial" w:cs="Arial"/>
            <w:color w:val="000000" w:themeColor="text1"/>
            <w:sz w:val="22"/>
          </w:rPr>
          <w:t>https://doi.org/10.3390/geriatrics10060151</w:t>
        </w:r>
      </w:hyperlink>
    </w:p>
    <w:p w14:paraId="2A3995AF" w14:textId="739DFD46" w:rsidR="00E3797A" w:rsidRDefault="00E3797A" w:rsidP="006F05FB">
      <w:pPr>
        <w:ind w:left="720" w:hanging="720"/>
        <w:rPr>
          <w:rFonts w:ascii="Arial" w:hAnsi="Arial" w:cs="Arial"/>
          <w:color w:val="000000" w:themeColor="text1"/>
          <w:sz w:val="22"/>
        </w:rPr>
      </w:pPr>
      <w:proofErr w:type="spellStart"/>
      <w:r w:rsidRPr="00B75B18">
        <w:rPr>
          <w:rFonts w:ascii="Arial" w:hAnsi="Arial" w:cs="Arial"/>
          <w:color w:val="000000" w:themeColor="text1"/>
          <w:sz w:val="22"/>
        </w:rPr>
        <w:t>Röcke</w:t>
      </w:r>
      <w:proofErr w:type="spellEnd"/>
      <w:r w:rsidRPr="00B75B18">
        <w:rPr>
          <w:rFonts w:ascii="Arial" w:hAnsi="Arial" w:cs="Arial"/>
          <w:color w:val="000000" w:themeColor="text1"/>
          <w:sz w:val="22"/>
        </w:rPr>
        <w:t xml:space="preserve">, C., Luo, M., Bereuter, P., Katana, M., </w:t>
      </w:r>
      <w:proofErr w:type="spellStart"/>
      <w:r w:rsidRPr="00B75B18">
        <w:rPr>
          <w:rFonts w:ascii="Arial" w:hAnsi="Arial" w:cs="Arial"/>
          <w:color w:val="000000" w:themeColor="text1"/>
          <w:sz w:val="22"/>
        </w:rPr>
        <w:t>Fillekes</w:t>
      </w:r>
      <w:proofErr w:type="spellEnd"/>
      <w:r w:rsidRPr="00B75B18">
        <w:rPr>
          <w:rFonts w:ascii="Arial" w:hAnsi="Arial" w:cs="Arial"/>
          <w:color w:val="000000" w:themeColor="text1"/>
          <w:sz w:val="22"/>
        </w:rPr>
        <w:t xml:space="preserve">, M., </w:t>
      </w:r>
      <w:proofErr w:type="spellStart"/>
      <w:r w:rsidRPr="00B75B18">
        <w:rPr>
          <w:rFonts w:ascii="Arial" w:hAnsi="Arial" w:cs="Arial"/>
          <w:color w:val="000000" w:themeColor="text1"/>
          <w:sz w:val="22"/>
        </w:rPr>
        <w:t>Gehriger</w:t>
      </w:r>
      <w:proofErr w:type="spellEnd"/>
      <w:r w:rsidRPr="00B75B18">
        <w:rPr>
          <w:rFonts w:ascii="Arial" w:hAnsi="Arial" w:cs="Arial"/>
          <w:color w:val="000000" w:themeColor="text1"/>
          <w:sz w:val="22"/>
        </w:rPr>
        <w:t xml:space="preserve">, V., </w:t>
      </w:r>
      <w:proofErr w:type="spellStart"/>
      <w:r w:rsidRPr="00B75B18">
        <w:rPr>
          <w:rFonts w:ascii="Arial" w:hAnsi="Arial" w:cs="Arial"/>
          <w:color w:val="000000" w:themeColor="text1"/>
          <w:sz w:val="22"/>
        </w:rPr>
        <w:t>Sofios</w:t>
      </w:r>
      <w:proofErr w:type="spellEnd"/>
      <w:r w:rsidRPr="00B75B18">
        <w:rPr>
          <w:rFonts w:ascii="Arial" w:hAnsi="Arial" w:cs="Arial"/>
          <w:color w:val="000000" w:themeColor="text1"/>
          <w:sz w:val="22"/>
        </w:rPr>
        <w:t>, A., Martin, M., &amp; Weibel, R. (2023) ‘Charting everyday activities in later life: Study protocol of the mobility, activity, and social interactions study (MOASIS)’, </w:t>
      </w:r>
      <w:r w:rsidRPr="00B75B18">
        <w:rPr>
          <w:rFonts w:ascii="Arial" w:hAnsi="Arial" w:cs="Arial"/>
          <w:i/>
          <w:iCs/>
          <w:color w:val="000000" w:themeColor="text1"/>
          <w:sz w:val="22"/>
        </w:rPr>
        <w:t>Frontiers in Psychology</w:t>
      </w:r>
      <w:r w:rsidRPr="00B75B18">
        <w:rPr>
          <w:rFonts w:ascii="Arial" w:hAnsi="Arial" w:cs="Arial"/>
          <w:color w:val="000000" w:themeColor="text1"/>
          <w:sz w:val="22"/>
        </w:rPr>
        <w:t xml:space="preserve">’, 1(3), pp. 10-17. </w:t>
      </w:r>
      <w:r w:rsidR="005E7B88" w:rsidRPr="00B75B18">
        <w:rPr>
          <w:rFonts w:ascii="Arial" w:hAnsi="Arial" w:cs="Arial"/>
          <w:color w:val="000000" w:themeColor="text1"/>
          <w:sz w:val="22"/>
        </w:rPr>
        <w:t xml:space="preserve">Available at: </w:t>
      </w:r>
      <w:hyperlink r:id="rId16" w:history="1">
        <w:r w:rsidR="00B75B18" w:rsidRPr="00B75B18">
          <w:rPr>
            <w:rStyle w:val="Hyperlink"/>
            <w:rFonts w:ascii="Arial" w:hAnsi="Arial" w:cs="Arial"/>
            <w:color w:val="000000" w:themeColor="text1"/>
            <w:sz w:val="22"/>
          </w:rPr>
          <w:t>https://doi.org/10.3389/fpsyg.2022.1011177</w:t>
        </w:r>
      </w:hyperlink>
      <w:r w:rsidRPr="00B75B18">
        <w:rPr>
          <w:rFonts w:ascii="Arial" w:hAnsi="Arial" w:cs="Arial"/>
          <w:color w:val="000000" w:themeColor="text1"/>
          <w:sz w:val="22"/>
        </w:rPr>
        <w:t xml:space="preserve"> </w:t>
      </w:r>
    </w:p>
    <w:p w14:paraId="3B658BB5" w14:textId="789C0D94" w:rsidR="00705BB2" w:rsidRPr="00B75B18" w:rsidRDefault="00705BB2" w:rsidP="006F05FB">
      <w:pPr>
        <w:ind w:left="720" w:hanging="720"/>
        <w:rPr>
          <w:rFonts w:ascii="Arial" w:hAnsi="Arial" w:cs="Arial"/>
          <w:color w:val="000000" w:themeColor="text1"/>
          <w:sz w:val="22"/>
        </w:rPr>
      </w:pPr>
      <w:r w:rsidRPr="00705BB2">
        <w:rPr>
          <w:rFonts w:ascii="Arial" w:hAnsi="Arial" w:cs="Arial"/>
          <w:color w:val="000000" w:themeColor="text1"/>
          <w:sz w:val="22"/>
        </w:rPr>
        <w:t xml:space="preserve">Van Leeuwen, C., Jacobs, A., &amp; Mariën, I. (2023) </w:t>
      </w:r>
      <w:r>
        <w:rPr>
          <w:rFonts w:ascii="Arial" w:hAnsi="Arial" w:cs="Arial"/>
          <w:color w:val="000000" w:themeColor="text1"/>
          <w:sz w:val="22"/>
        </w:rPr>
        <w:t>‘</w:t>
      </w:r>
      <w:r w:rsidRPr="00705BB2">
        <w:rPr>
          <w:rFonts w:ascii="Arial" w:hAnsi="Arial" w:cs="Arial"/>
          <w:color w:val="000000" w:themeColor="text1"/>
          <w:sz w:val="22"/>
        </w:rPr>
        <w:t>Catching the digital train on time: Older adults, continuity, and digital inclusion</w:t>
      </w:r>
      <w:r>
        <w:rPr>
          <w:rFonts w:ascii="Arial" w:hAnsi="Arial" w:cs="Arial"/>
          <w:color w:val="000000" w:themeColor="text1"/>
          <w:sz w:val="22"/>
        </w:rPr>
        <w:t>’,</w:t>
      </w:r>
      <w:r w:rsidRPr="00705BB2">
        <w:rPr>
          <w:rFonts w:ascii="Arial" w:hAnsi="Arial" w:cs="Arial"/>
          <w:color w:val="000000" w:themeColor="text1"/>
          <w:sz w:val="22"/>
        </w:rPr>
        <w:t> </w:t>
      </w:r>
      <w:r w:rsidRPr="00705BB2">
        <w:rPr>
          <w:rFonts w:ascii="Arial" w:hAnsi="Arial" w:cs="Arial"/>
          <w:i/>
          <w:iCs/>
          <w:color w:val="000000" w:themeColor="text1"/>
          <w:sz w:val="22"/>
        </w:rPr>
        <w:t>Social Inclusion</w:t>
      </w:r>
      <w:r w:rsidRPr="00705BB2">
        <w:rPr>
          <w:rFonts w:ascii="Arial" w:hAnsi="Arial" w:cs="Arial"/>
          <w:color w:val="000000" w:themeColor="text1"/>
          <w:sz w:val="22"/>
        </w:rPr>
        <w:t>, 11(3),</w:t>
      </w:r>
      <w:r>
        <w:rPr>
          <w:rFonts w:ascii="Arial" w:hAnsi="Arial" w:cs="Arial"/>
          <w:color w:val="000000" w:themeColor="text1"/>
          <w:sz w:val="22"/>
        </w:rPr>
        <w:t xml:space="preserve"> pp.</w:t>
      </w:r>
      <w:r w:rsidRPr="00705BB2">
        <w:rPr>
          <w:rFonts w:ascii="Arial" w:hAnsi="Arial" w:cs="Arial"/>
          <w:color w:val="000000" w:themeColor="text1"/>
          <w:sz w:val="22"/>
        </w:rPr>
        <w:t xml:space="preserve"> 239-250. Available at: </w:t>
      </w:r>
      <w:hyperlink r:id="rId17" w:history="1">
        <w:r w:rsidRPr="00705BB2">
          <w:rPr>
            <w:rStyle w:val="Hyperlink"/>
            <w:rFonts w:ascii="Arial" w:hAnsi="Arial" w:cs="Arial"/>
            <w:color w:val="000000" w:themeColor="text1"/>
            <w:sz w:val="22"/>
          </w:rPr>
          <w:t>https://doi.org/10.17645/si.v11i3.6723</w:t>
        </w:r>
      </w:hyperlink>
      <w:r w:rsidRPr="00705BB2">
        <w:rPr>
          <w:rFonts w:ascii="Arial" w:hAnsi="Arial" w:cs="Arial"/>
          <w:color w:val="000000" w:themeColor="text1"/>
          <w:sz w:val="22"/>
        </w:rPr>
        <w:t xml:space="preserve"> </w:t>
      </w:r>
      <w:r>
        <w:rPr>
          <w:rFonts w:ascii="Arial" w:hAnsi="Arial" w:cs="Arial"/>
          <w:color w:val="000000" w:themeColor="text1"/>
          <w:sz w:val="22"/>
        </w:rPr>
        <w:t xml:space="preserve"> </w:t>
      </w:r>
    </w:p>
    <w:sectPr w:rsidR="00705BB2" w:rsidRPr="00B75B18">
      <w:head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0C2508" w14:textId="77777777" w:rsidR="003B5429" w:rsidRDefault="003B5429" w:rsidP="002D3AD2">
      <w:pPr>
        <w:spacing w:after="0" w:line="240" w:lineRule="auto"/>
      </w:pPr>
      <w:r>
        <w:separator/>
      </w:r>
    </w:p>
  </w:endnote>
  <w:endnote w:type="continuationSeparator" w:id="0">
    <w:p w14:paraId="04B21C64" w14:textId="77777777" w:rsidR="003B5429" w:rsidRDefault="003B5429" w:rsidP="002D3A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001CB9" w14:textId="77777777" w:rsidR="003B5429" w:rsidRDefault="003B5429" w:rsidP="002D3AD2">
      <w:pPr>
        <w:spacing w:after="0" w:line="240" w:lineRule="auto"/>
      </w:pPr>
      <w:r>
        <w:separator/>
      </w:r>
    </w:p>
  </w:footnote>
  <w:footnote w:type="continuationSeparator" w:id="0">
    <w:p w14:paraId="597EF1B8" w14:textId="77777777" w:rsidR="003B5429" w:rsidRDefault="003B5429" w:rsidP="002D3A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22"/>
      </w:rPr>
      <w:id w:val="132384397"/>
      <w:docPartObj>
        <w:docPartGallery w:val="Page Numbers (Top of Page)"/>
        <w:docPartUnique/>
      </w:docPartObj>
    </w:sdtPr>
    <w:sdtEndPr>
      <w:rPr>
        <w:noProof/>
      </w:rPr>
    </w:sdtEndPr>
    <w:sdtContent>
      <w:p w14:paraId="56130F18" w14:textId="38147C01" w:rsidR="002D3AD2" w:rsidRPr="002D3AD2" w:rsidRDefault="002D3AD2">
        <w:pPr>
          <w:pStyle w:val="Header"/>
          <w:jc w:val="right"/>
          <w:rPr>
            <w:rFonts w:ascii="Arial" w:hAnsi="Arial" w:cs="Arial"/>
            <w:sz w:val="22"/>
          </w:rPr>
        </w:pPr>
        <w:r w:rsidRPr="002D3AD2">
          <w:rPr>
            <w:rFonts w:ascii="Arial" w:hAnsi="Arial" w:cs="Arial"/>
            <w:sz w:val="22"/>
          </w:rPr>
          <w:fldChar w:fldCharType="begin"/>
        </w:r>
        <w:r w:rsidRPr="002D3AD2">
          <w:rPr>
            <w:rFonts w:ascii="Arial" w:hAnsi="Arial" w:cs="Arial"/>
            <w:sz w:val="22"/>
          </w:rPr>
          <w:instrText xml:space="preserve"> PAGE   \* MERGEFORMAT </w:instrText>
        </w:r>
        <w:r w:rsidRPr="002D3AD2">
          <w:rPr>
            <w:rFonts w:ascii="Arial" w:hAnsi="Arial" w:cs="Arial"/>
            <w:sz w:val="22"/>
          </w:rPr>
          <w:fldChar w:fldCharType="separate"/>
        </w:r>
        <w:r w:rsidRPr="002D3AD2">
          <w:rPr>
            <w:rFonts w:ascii="Arial" w:hAnsi="Arial" w:cs="Arial"/>
            <w:noProof/>
            <w:sz w:val="22"/>
          </w:rPr>
          <w:t>2</w:t>
        </w:r>
        <w:r w:rsidRPr="002D3AD2">
          <w:rPr>
            <w:rFonts w:ascii="Arial" w:hAnsi="Arial" w:cs="Arial"/>
            <w:noProof/>
            <w:sz w:val="22"/>
          </w:rPr>
          <w:fldChar w:fldCharType="end"/>
        </w:r>
      </w:p>
    </w:sdtContent>
  </w:sdt>
  <w:p w14:paraId="2A805189" w14:textId="77777777" w:rsidR="002D3AD2" w:rsidRPr="002D3AD2" w:rsidRDefault="002D3AD2">
    <w:pPr>
      <w:pStyle w:val="Header"/>
      <w:rPr>
        <w:rFonts w:ascii="Arial" w:hAnsi="Arial" w:cs="Arial"/>
        <w:sz w:val="2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removePersonalInformation/>
  <w:removeDateAndTime/>
  <w:proofState w:spelling="clean"/>
  <w:revisionView w:inkAnnotations="0"/>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9FF"/>
    <w:rsid w:val="000468A3"/>
    <w:rsid w:val="000837A2"/>
    <w:rsid w:val="000C4FC2"/>
    <w:rsid w:val="000E6C32"/>
    <w:rsid w:val="000F5913"/>
    <w:rsid w:val="00105F4C"/>
    <w:rsid w:val="0010757D"/>
    <w:rsid w:val="00161D21"/>
    <w:rsid w:val="001943A2"/>
    <w:rsid w:val="00252D19"/>
    <w:rsid w:val="002969FF"/>
    <w:rsid w:val="002A1655"/>
    <w:rsid w:val="002B1BA3"/>
    <w:rsid w:val="002D3AD2"/>
    <w:rsid w:val="00353EB8"/>
    <w:rsid w:val="0038338F"/>
    <w:rsid w:val="003B5429"/>
    <w:rsid w:val="003E05B7"/>
    <w:rsid w:val="003E2627"/>
    <w:rsid w:val="0042094F"/>
    <w:rsid w:val="00423DA8"/>
    <w:rsid w:val="00424CC2"/>
    <w:rsid w:val="00460EBD"/>
    <w:rsid w:val="00500273"/>
    <w:rsid w:val="00536AEF"/>
    <w:rsid w:val="005A476E"/>
    <w:rsid w:val="005E7B88"/>
    <w:rsid w:val="00601402"/>
    <w:rsid w:val="00655E39"/>
    <w:rsid w:val="006A6724"/>
    <w:rsid w:val="006F05FB"/>
    <w:rsid w:val="00705BB2"/>
    <w:rsid w:val="007061D4"/>
    <w:rsid w:val="007564E1"/>
    <w:rsid w:val="007C5BE6"/>
    <w:rsid w:val="007F14EB"/>
    <w:rsid w:val="00856CA1"/>
    <w:rsid w:val="00860890"/>
    <w:rsid w:val="0089211B"/>
    <w:rsid w:val="00922278"/>
    <w:rsid w:val="009326F9"/>
    <w:rsid w:val="00937B9E"/>
    <w:rsid w:val="009A04B7"/>
    <w:rsid w:val="00A07794"/>
    <w:rsid w:val="00A54F5F"/>
    <w:rsid w:val="00A85CDD"/>
    <w:rsid w:val="00A9298C"/>
    <w:rsid w:val="00B75B18"/>
    <w:rsid w:val="00C252D4"/>
    <w:rsid w:val="00C726E1"/>
    <w:rsid w:val="00CB6E56"/>
    <w:rsid w:val="00CC6E78"/>
    <w:rsid w:val="00D751E5"/>
    <w:rsid w:val="00E14EE3"/>
    <w:rsid w:val="00E3797A"/>
    <w:rsid w:val="00F44FF1"/>
    <w:rsid w:val="00F4797A"/>
    <w:rsid w:val="00FE2926"/>
    <w:rsid w:val="00FE3B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1F425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160" w:line="36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5E39"/>
    <w:pPr>
      <w:keepNext/>
      <w:keepLines/>
      <w:spacing w:before="240" w:after="0"/>
      <w:outlineLvl w:val="0"/>
    </w:pPr>
    <w:rPr>
      <w:rFonts w:eastAsiaTheme="majorEastAsia" w:cstheme="majorBidi"/>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5E39"/>
    <w:rPr>
      <w:rFonts w:eastAsiaTheme="majorEastAsia" w:cstheme="majorBidi"/>
      <w:b/>
      <w:sz w:val="32"/>
      <w:szCs w:val="32"/>
    </w:rPr>
  </w:style>
  <w:style w:type="character" w:styleId="Hyperlink">
    <w:name w:val="Hyperlink"/>
    <w:basedOn w:val="DefaultParagraphFont"/>
    <w:uiPriority w:val="99"/>
    <w:unhideWhenUsed/>
    <w:rsid w:val="00A9298C"/>
    <w:rPr>
      <w:color w:val="0563C1" w:themeColor="hyperlink"/>
      <w:u w:val="single"/>
    </w:rPr>
  </w:style>
  <w:style w:type="character" w:styleId="UnresolvedMention">
    <w:name w:val="Unresolved Mention"/>
    <w:basedOn w:val="DefaultParagraphFont"/>
    <w:uiPriority w:val="99"/>
    <w:semiHidden/>
    <w:unhideWhenUsed/>
    <w:rsid w:val="00A9298C"/>
    <w:rPr>
      <w:color w:val="605E5C"/>
      <w:shd w:val="clear" w:color="auto" w:fill="E1DFDD"/>
    </w:rPr>
  </w:style>
  <w:style w:type="paragraph" w:styleId="Header">
    <w:name w:val="header"/>
    <w:basedOn w:val="Normal"/>
    <w:link w:val="HeaderChar"/>
    <w:uiPriority w:val="99"/>
    <w:unhideWhenUsed/>
    <w:rsid w:val="002D3A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3AD2"/>
  </w:style>
  <w:style w:type="paragraph" w:styleId="Footer">
    <w:name w:val="footer"/>
    <w:basedOn w:val="Normal"/>
    <w:link w:val="FooterChar"/>
    <w:uiPriority w:val="99"/>
    <w:unhideWhenUsed/>
    <w:rsid w:val="002D3A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3A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4531767">
      <w:bodyDiv w:val="1"/>
      <w:marLeft w:val="0"/>
      <w:marRight w:val="0"/>
      <w:marTop w:val="0"/>
      <w:marBottom w:val="0"/>
      <w:divBdr>
        <w:top w:val="none" w:sz="0" w:space="0" w:color="auto"/>
        <w:left w:val="none" w:sz="0" w:space="0" w:color="auto"/>
        <w:bottom w:val="none" w:sz="0" w:space="0" w:color="auto"/>
        <w:right w:val="none" w:sz="0" w:space="0" w:color="auto"/>
      </w:divBdr>
    </w:div>
    <w:div w:id="190529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00520-017-3634-7" TargetMode="External" /><Relationship Id="rId13" Type="http://schemas.openxmlformats.org/officeDocument/2006/relationships/hyperlink" Target="https://napa-activities.co.uk/" TargetMode="External" /><Relationship Id="rId18" Type="http://schemas.openxmlformats.org/officeDocument/2006/relationships/header" Target="header1.xml" /><Relationship Id="rId3" Type="http://schemas.openxmlformats.org/officeDocument/2006/relationships/webSettings" Target="webSettings.xml" /><Relationship Id="rId7" Type="http://schemas.openxmlformats.org/officeDocument/2006/relationships/hyperlink" Target="https://doi.org/10.5964/ejop.v11i3.949" TargetMode="External" /><Relationship Id="rId12" Type="http://schemas.openxmlformats.org/officeDocument/2006/relationships/hyperlink" Target="https://doi.org/10.1007/s00520-017-3634-7" TargetMode="External" /><Relationship Id="rId17" Type="http://schemas.openxmlformats.org/officeDocument/2006/relationships/hyperlink" Target="https://doi.org/10.17645/si.v11i3.6723" TargetMode="External" /><Relationship Id="rId2" Type="http://schemas.openxmlformats.org/officeDocument/2006/relationships/settings" Target="settings.xml" /><Relationship Id="rId16" Type="http://schemas.openxmlformats.org/officeDocument/2006/relationships/hyperlink" Target="https://doi.org/10.3389/fpsyg.2022.1011177" TargetMode="External" /><Relationship Id="rId20" Type="http://schemas.openxmlformats.org/officeDocument/2006/relationships/theme" Target="theme/theme1.xml" /><Relationship Id="rId1" Type="http://schemas.openxmlformats.org/officeDocument/2006/relationships/styles" Target="styles.xml" /><Relationship Id="rId6" Type="http://schemas.openxmlformats.org/officeDocument/2006/relationships/hyperlink" Target="https://doi.org/10.1016/j.gerinurse.2024.10.066" TargetMode="External" /><Relationship Id="rId11" Type="http://schemas.openxmlformats.org/officeDocument/2006/relationships/hyperlink" Target="https://doi.org/10.1016/j.wss.2026.100367" TargetMode="External" /><Relationship Id="rId5" Type="http://schemas.openxmlformats.org/officeDocument/2006/relationships/endnotes" Target="endnotes.xml" /><Relationship Id="rId15" Type="http://schemas.openxmlformats.org/officeDocument/2006/relationships/hyperlink" Target="https://doi.org/10.3390/geriatrics10060151" TargetMode="External" /><Relationship Id="rId10" Type="http://schemas.openxmlformats.org/officeDocument/2006/relationships/hyperlink" Target="https://doi.org/10.1016/j.gerinurse.2024.10.066" TargetMode="External" /><Relationship Id="rId19" Type="http://schemas.openxmlformats.org/officeDocument/2006/relationships/fontTable" Target="fontTable.xml" /><Relationship Id="rId4" Type="http://schemas.openxmlformats.org/officeDocument/2006/relationships/footnotes" Target="footnotes.xml" /><Relationship Id="rId9" Type="http://schemas.openxmlformats.org/officeDocument/2006/relationships/hyperlink" Target="https://doi.org/10.3390/geriatrics10060151" TargetMode="External" /><Relationship Id="rId14" Type="http://schemas.openxmlformats.org/officeDocument/2006/relationships/hyperlink" Target="https://doi.org/10.5964/ejop.v11i3.949"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2167</Words>
  <Characters>12354</Characters>
  <Application>Microsoft Office Word</Application>
  <DocSecurity>0</DocSecurity>
  <Lines>102</Lines>
  <Paragraphs>28</Paragraphs>
  <ScaleCrop>false</ScaleCrop>
  <Company/>
  <LinksUpToDate>false</LinksUpToDate>
  <CharactersWithSpaces>14493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2026-04-21T08:19:00Z</dcterms:created>
  <dcterms:modified xsi:type="dcterms:W3CDTF">2026-04-21T08:19:00Z</dcterms:modified>
</cp:coreProperties>
</file>