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051354131"/>
        <w:docPartObj>
          <w:docPartGallery w:val="Cover Pages"/>
          <w:docPartUnique/>
        </w:docPartObj>
      </w:sdtPr>
      <w:sdtEndPr/>
      <w:sdtContent>
        <w:p w:rsidR="00801376" w:rsidRDefault="00801376"/>
        <w:p w:rsidR="0011111C" w:rsidRPr="00D07308" w:rsidRDefault="0011111C" w:rsidP="00D07308">
          <w:pPr>
            <w:jc w:val="center"/>
            <w:rPr>
              <w:b/>
              <w:sz w:val="32"/>
            </w:rPr>
          </w:pPr>
          <w:r w:rsidRPr="00EE3EB6">
            <w:rPr>
              <w:b/>
              <w:sz w:val="32"/>
            </w:rPr>
            <w:t xml:space="preserve">Assignment </w:t>
          </w:r>
          <w:r>
            <w:rPr>
              <w:b/>
              <w:sz w:val="32"/>
            </w:rPr>
            <w:t xml:space="preserve">2 – </w:t>
          </w:r>
          <w:r w:rsidR="00CE24D7">
            <w:rPr>
              <w:b/>
              <w:sz w:val="32"/>
            </w:rPr>
            <w:t>Impact of COVID-19 on the automotive industry</w:t>
          </w:r>
        </w:p>
        <w:p w:rsidR="0011111C" w:rsidRDefault="0011111C" w:rsidP="0011111C">
          <w:pPr>
            <w:jc w:val="center"/>
            <w:rPr>
              <w:b/>
            </w:rPr>
          </w:pPr>
          <w:r w:rsidRPr="00EE3EB6">
            <w:rPr>
              <w:b/>
              <w:noProof/>
              <w:sz w:val="32"/>
            </w:rPr>
            <w:drawing>
              <wp:anchor distT="0" distB="0" distL="114300" distR="114300" simplePos="0" relativeHeight="251659264" behindDoc="1" locked="0" layoutInCell="1" allowOverlap="1" wp14:anchorId="3EA51038" wp14:editId="5D6C16B9">
                <wp:simplePos x="0" y="0"/>
                <wp:positionH relativeFrom="column">
                  <wp:posOffset>1262380</wp:posOffset>
                </wp:positionH>
                <wp:positionV relativeFrom="paragraph">
                  <wp:posOffset>262255</wp:posOffset>
                </wp:positionV>
                <wp:extent cx="3343275" cy="1315085"/>
                <wp:effectExtent l="0" t="0" r="9525" b="0"/>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TSD_corp_logo2013-1.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3343275" cy="1315085"/>
                        </a:xfrm>
                        <a:prstGeom prst="rect">
                          <a:avLst/>
                        </a:prstGeom>
                      </pic:spPr>
                    </pic:pic>
                  </a:graphicData>
                </a:graphic>
                <wp14:sizeRelH relativeFrom="margin">
                  <wp14:pctWidth>0</wp14:pctWidth>
                </wp14:sizeRelH>
                <wp14:sizeRelV relativeFrom="margin">
                  <wp14:pctHeight>0</wp14:pctHeight>
                </wp14:sizeRelV>
              </wp:anchor>
            </w:drawing>
          </w:r>
        </w:p>
        <w:p w:rsidR="0011111C" w:rsidRDefault="0011111C" w:rsidP="00D07308">
          <w:pPr>
            <w:spacing w:after="360"/>
            <w:rPr>
              <w:b/>
            </w:rPr>
          </w:pPr>
        </w:p>
        <w:p w:rsidR="0011111C" w:rsidRPr="00641AEE" w:rsidRDefault="0011111C" w:rsidP="0011111C">
          <w:pPr>
            <w:spacing w:after="360"/>
            <w:jc w:val="center"/>
            <w:rPr>
              <w:b/>
            </w:rPr>
          </w:pPr>
          <w:r w:rsidRPr="00641AEE">
            <w:rPr>
              <w:b/>
            </w:rPr>
            <w:t>Course: BA Business Management</w:t>
          </w:r>
        </w:p>
        <w:p w:rsidR="0011111C" w:rsidRPr="00641AEE" w:rsidRDefault="0011111C" w:rsidP="0011111C">
          <w:pPr>
            <w:spacing w:after="360"/>
            <w:jc w:val="center"/>
            <w:rPr>
              <w:b/>
            </w:rPr>
          </w:pPr>
          <w:r w:rsidRPr="00641AEE">
            <w:rPr>
              <w:b/>
            </w:rPr>
            <w:t>Module name: The Global business environment</w:t>
          </w:r>
        </w:p>
        <w:p w:rsidR="0011111C" w:rsidRPr="00641AEE" w:rsidRDefault="0011111C" w:rsidP="0011111C">
          <w:pPr>
            <w:spacing w:after="360"/>
            <w:jc w:val="center"/>
            <w:rPr>
              <w:b/>
            </w:rPr>
          </w:pPr>
          <w:r w:rsidRPr="00641AEE">
            <w:rPr>
              <w:b/>
            </w:rPr>
            <w:t>Module code:</w:t>
          </w:r>
          <w:r>
            <w:rPr>
              <w:b/>
            </w:rPr>
            <w:t xml:space="preserve"> LCBB4005</w:t>
          </w:r>
        </w:p>
        <w:p w:rsidR="0011111C" w:rsidRPr="00641AEE" w:rsidRDefault="0011111C" w:rsidP="0011111C">
          <w:pPr>
            <w:spacing w:after="360"/>
            <w:jc w:val="center"/>
            <w:rPr>
              <w:b/>
            </w:rPr>
          </w:pPr>
          <w:r w:rsidRPr="00641AEE">
            <w:rPr>
              <w:b/>
            </w:rPr>
            <w:t>Lecturer name:</w:t>
          </w:r>
          <w:r>
            <w:rPr>
              <w:b/>
            </w:rPr>
            <w:t xml:space="preserve"> Alfred Mensah</w:t>
          </w:r>
        </w:p>
        <w:p w:rsidR="0011111C" w:rsidRPr="00641AEE" w:rsidRDefault="0011111C" w:rsidP="0011111C">
          <w:pPr>
            <w:spacing w:after="360"/>
            <w:jc w:val="center"/>
            <w:rPr>
              <w:b/>
            </w:rPr>
          </w:pPr>
          <w:r w:rsidRPr="00641AEE">
            <w:rPr>
              <w:b/>
            </w:rPr>
            <w:t xml:space="preserve">Title of report: </w:t>
          </w:r>
          <w:r w:rsidR="00CE24D7">
            <w:rPr>
              <w:b/>
            </w:rPr>
            <w:t xml:space="preserve">Assignment 2 - </w:t>
          </w:r>
          <w:r w:rsidR="00CE24D7" w:rsidRPr="00CE24D7">
            <w:rPr>
              <w:b/>
            </w:rPr>
            <w:t>Impact of COVID-19 on the automotive industry</w:t>
          </w:r>
        </w:p>
        <w:p w:rsidR="0011111C" w:rsidRPr="00641AEE" w:rsidRDefault="0011111C" w:rsidP="0011111C">
          <w:pPr>
            <w:spacing w:after="360"/>
            <w:jc w:val="center"/>
            <w:rPr>
              <w:b/>
            </w:rPr>
          </w:pPr>
          <w:r w:rsidRPr="00641AEE">
            <w:rPr>
              <w:b/>
            </w:rPr>
            <w:t xml:space="preserve">Student name: </w:t>
          </w:r>
          <w:proofErr w:type="spellStart"/>
          <w:r w:rsidRPr="00641AEE">
            <w:rPr>
              <w:b/>
            </w:rPr>
            <w:t>Tsveta</w:t>
          </w:r>
          <w:proofErr w:type="spellEnd"/>
          <w:r w:rsidRPr="00641AEE">
            <w:rPr>
              <w:b/>
            </w:rPr>
            <w:t xml:space="preserve"> </w:t>
          </w:r>
          <w:proofErr w:type="spellStart"/>
          <w:r w:rsidRPr="00641AEE">
            <w:rPr>
              <w:b/>
            </w:rPr>
            <w:t>Valerieva</w:t>
          </w:r>
          <w:proofErr w:type="spellEnd"/>
          <w:r w:rsidRPr="00641AEE">
            <w:rPr>
              <w:b/>
            </w:rPr>
            <w:t xml:space="preserve"> </w:t>
          </w:r>
          <w:proofErr w:type="spellStart"/>
          <w:r w:rsidRPr="00641AEE">
            <w:rPr>
              <w:b/>
            </w:rPr>
            <w:t>Lyushtova</w:t>
          </w:r>
          <w:proofErr w:type="spellEnd"/>
        </w:p>
        <w:p w:rsidR="00801376" w:rsidRDefault="0011111C" w:rsidP="0011111C">
          <w:pPr>
            <w:jc w:val="center"/>
          </w:pPr>
          <w:r w:rsidRPr="00641AEE">
            <w:rPr>
              <w:b/>
            </w:rPr>
            <w:t>Student number: 2124712</w:t>
          </w:r>
          <w:r w:rsidR="00801376">
            <w:br w:type="page"/>
          </w:r>
        </w:p>
      </w:sdtContent>
    </w:sdt>
    <w:sdt>
      <w:sdtPr>
        <w:rPr>
          <w:rFonts w:ascii="Montserrat Medium" w:eastAsia="SimSun" w:hAnsi="Montserrat Medium" w:cstheme="minorBidi"/>
          <w:b w:val="0"/>
          <w:color w:val="000000" w:themeColor="text1"/>
          <w:sz w:val="20"/>
          <w:szCs w:val="22"/>
        </w:rPr>
        <w:id w:val="-2007423108"/>
        <w:docPartObj>
          <w:docPartGallery w:val="Table of Contents"/>
          <w:docPartUnique/>
        </w:docPartObj>
      </w:sdtPr>
      <w:sdtEndPr>
        <w:rPr>
          <w:rFonts w:ascii="Arial" w:hAnsi="Arial"/>
          <w:bCs/>
          <w:noProof/>
          <w:sz w:val="28"/>
        </w:rPr>
      </w:sdtEndPr>
      <w:sdtContent>
        <w:p w:rsidR="00414B6C" w:rsidRPr="00727670" w:rsidRDefault="00414B6C" w:rsidP="00414B6C">
          <w:pPr>
            <w:pStyle w:val="TOCHeading"/>
            <w:spacing w:after="120"/>
            <w:rPr>
              <w:rFonts w:ascii="Arial" w:hAnsi="Arial" w:cs="Arial"/>
              <w:b w:val="0"/>
              <w:color w:val="1F4E79" w:themeColor="accent1" w:themeShade="80"/>
            </w:rPr>
          </w:pPr>
          <w:r w:rsidRPr="00727670">
            <w:rPr>
              <w:rFonts w:ascii="Arial" w:hAnsi="Arial" w:cs="Arial"/>
              <w:color w:val="1F4E79" w:themeColor="accent1" w:themeShade="80"/>
            </w:rPr>
            <w:t>Contents</w:t>
          </w:r>
        </w:p>
        <w:p w:rsidR="001628B8" w:rsidRDefault="00414B6C">
          <w:pPr>
            <w:pStyle w:val="TOC1"/>
            <w:tabs>
              <w:tab w:val="left" w:pos="660"/>
              <w:tab w:val="right" w:leader="dot" w:pos="9396"/>
            </w:tabs>
            <w:rPr>
              <w:rFonts w:asciiTheme="minorHAnsi" w:eastAsiaTheme="minorEastAsia" w:hAnsiTheme="minorHAnsi"/>
              <w:noProof/>
              <w:color w:val="auto"/>
              <w:sz w:val="22"/>
            </w:rPr>
          </w:pPr>
          <w:r>
            <w:fldChar w:fldCharType="begin"/>
          </w:r>
          <w:r>
            <w:instrText xml:space="preserve"> TOC \o "1-3" \h \z \u </w:instrText>
          </w:r>
          <w:r>
            <w:fldChar w:fldCharType="separate"/>
          </w:r>
          <w:hyperlink w:anchor="_Toc102248342" w:history="1">
            <w:r w:rsidR="001628B8" w:rsidRPr="004F4C57">
              <w:rPr>
                <w:rStyle w:val="Hyperlink"/>
                <w:noProof/>
                <w:lang w:eastAsia="zh-CN" w:bidi="hi-IN"/>
              </w:rPr>
              <w:t>1.</w:t>
            </w:r>
            <w:r w:rsidR="001628B8">
              <w:rPr>
                <w:rFonts w:asciiTheme="minorHAnsi" w:eastAsiaTheme="minorEastAsia" w:hAnsiTheme="minorHAnsi"/>
                <w:noProof/>
                <w:color w:val="auto"/>
                <w:sz w:val="22"/>
              </w:rPr>
              <w:tab/>
            </w:r>
            <w:r w:rsidR="001628B8" w:rsidRPr="004F4C57">
              <w:rPr>
                <w:rStyle w:val="Hyperlink"/>
                <w:noProof/>
                <w:lang w:eastAsia="zh-CN" w:bidi="hi-IN"/>
              </w:rPr>
              <w:t>Introduction</w:t>
            </w:r>
            <w:r w:rsidR="001628B8">
              <w:rPr>
                <w:noProof/>
                <w:webHidden/>
              </w:rPr>
              <w:tab/>
            </w:r>
            <w:r w:rsidR="001628B8">
              <w:rPr>
                <w:noProof/>
                <w:webHidden/>
              </w:rPr>
              <w:fldChar w:fldCharType="begin"/>
            </w:r>
            <w:r w:rsidR="001628B8">
              <w:rPr>
                <w:noProof/>
                <w:webHidden/>
              </w:rPr>
              <w:instrText xml:space="preserve"> PAGEREF _Toc102248342 \h </w:instrText>
            </w:r>
            <w:r w:rsidR="001628B8">
              <w:rPr>
                <w:noProof/>
                <w:webHidden/>
              </w:rPr>
            </w:r>
            <w:r w:rsidR="001628B8">
              <w:rPr>
                <w:noProof/>
                <w:webHidden/>
              </w:rPr>
              <w:fldChar w:fldCharType="separate"/>
            </w:r>
            <w:r w:rsidR="001628B8">
              <w:rPr>
                <w:noProof/>
                <w:webHidden/>
              </w:rPr>
              <w:t>2</w:t>
            </w:r>
            <w:r w:rsidR="001628B8">
              <w:rPr>
                <w:noProof/>
                <w:webHidden/>
              </w:rPr>
              <w:fldChar w:fldCharType="end"/>
            </w:r>
          </w:hyperlink>
        </w:p>
        <w:p w:rsidR="001628B8" w:rsidRDefault="00987165">
          <w:pPr>
            <w:pStyle w:val="TOC1"/>
            <w:tabs>
              <w:tab w:val="left" w:pos="660"/>
              <w:tab w:val="right" w:leader="dot" w:pos="9396"/>
            </w:tabs>
            <w:rPr>
              <w:rFonts w:asciiTheme="minorHAnsi" w:eastAsiaTheme="minorEastAsia" w:hAnsiTheme="minorHAnsi"/>
              <w:noProof/>
              <w:color w:val="auto"/>
              <w:sz w:val="22"/>
            </w:rPr>
          </w:pPr>
          <w:hyperlink w:anchor="_Toc102248343" w:history="1">
            <w:r w:rsidR="001628B8" w:rsidRPr="004F4C57">
              <w:rPr>
                <w:rStyle w:val="Hyperlink"/>
                <w:noProof/>
                <w:lang w:eastAsia="zh-CN" w:bidi="hi-IN"/>
              </w:rPr>
              <w:t>2.</w:t>
            </w:r>
            <w:r w:rsidR="001628B8">
              <w:rPr>
                <w:rFonts w:asciiTheme="minorHAnsi" w:eastAsiaTheme="minorEastAsia" w:hAnsiTheme="minorHAnsi"/>
                <w:noProof/>
                <w:color w:val="auto"/>
                <w:sz w:val="22"/>
              </w:rPr>
              <w:tab/>
            </w:r>
            <w:r w:rsidR="001628B8" w:rsidRPr="004F4C57">
              <w:rPr>
                <w:rStyle w:val="Hyperlink"/>
                <w:noProof/>
                <w:lang w:eastAsia="zh-CN" w:bidi="hi-IN"/>
              </w:rPr>
              <w:t>Impact of COVID-19 on the automotive industry</w:t>
            </w:r>
            <w:r w:rsidR="001628B8">
              <w:rPr>
                <w:noProof/>
                <w:webHidden/>
              </w:rPr>
              <w:tab/>
            </w:r>
            <w:r w:rsidR="001628B8">
              <w:rPr>
                <w:noProof/>
                <w:webHidden/>
              </w:rPr>
              <w:fldChar w:fldCharType="begin"/>
            </w:r>
            <w:r w:rsidR="001628B8">
              <w:rPr>
                <w:noProof/>
                <w:webHidden/>
              </w:rPr>
              <w:instrText xml:space="preserve"> PAGEREF _Toc102248343 \h </w:instrText>
            </w:r>
            <w:r w:rsidR="001628B8">
              <w:rPr>
                <w:noProof/>
                <w:webHidden/>
              </w:rPr>
            </w:r>
            <w:r w:rsidR="001628B8">
              <w:rPr>
                <w:noProof/>
                <w:webHidden/>
              </w:rPr>
              <w:fldChar w:fldCharType="separate"/>
            </w:r>
            <w:r w:rsidR="001628B8">
              <w:rPr>
                <w:noProof/>
                <w:webHidden/>
              </w:rPr>
              <w:t>3</w:t>
            </w:r>
            <w:r w:rsidR="001628B8">
              <w:rPr>
                <w:noProof/>
                <w:webHidden/>
              </w:rPr>
              <w:fldChar w:fldCharType="end"/>
            </w:r>
          </w:hyperlink>
        </w:p>
        <w:p w:rsidR="001628B8" w:rsidRDefault="00987165">
          <w:pPr>
            <w:pStyle w:val="TOC2"/>
            <w:tabs>
              <w:tab w:val="left" w:pos="1100"/>
              <w:tab w:val="right" w:leader="dot" w:pos="9396"/>
            </w:tabs>
            <w:rPr>
              <w:rFonts w:asciiTheme="minorHAnsi" w:eastAsiaTheme="minorEastAsia" w:hAnsiTheme="minorHAnsi"/>
              <w:noProof/>
              <w:color w:val="auto"/>
              <w:sz w:val="22"/>
            </w:rPr>
          </w:pPr>
          <w:hyperlink w:anchor="_Toc102248344" w:history="1">
            <w:r w:rsidR="001628B8" w:rsidRPr="004F4C57">
              <w:rPr>
                <w:rStyle w:val="Hyperlink"/>
                <w:noProof/>
                <w:lang w:eastAsia="zh-CN" w:bidi="hi-IN"/>
              </w:rPr>
              <w:t>2.1.</w:t>
            </w:r>
            <w:r w:rsidR="001628B8">
              <w:rPr>
                <w:rFonts w:asciiTheme="minorHAnsi" w:eastAsiaTheme="minorEastAsia" w:hAnsiTheme="minorHAnsi"/>
                <w:noProof/>
                <w:color w:val="auto"/>
                <w:sz w:val="22"/>
              </w:rPr>
              <w:tab/>
            </w:r>
            <w:r w:rsidR="001628B8" w:rsidRPr="004F4C57">
              <w:rPr>
                <w:rStyle w:val="Hyperlink"/>
                <w:noProof/>
                <w:lang w:eastAsia="zh-CN" w:bidi="hi-IN"/>
              </w:rPr>
              <w:t>COVID-19 World-Wide effects</w:t>
            </w:r>
            <w:r w:rsidR="001628B8">
              <w:rPr>
                <w:noProof/>
                <w:webHidden/>
              </w:rPr>
              <w:tab/>
            </w:r>
            <w:r w:rsidR="001628B8">
              <w:rPr>
                <w:noProof/>
                <w:webHidden/>
              </w:rPr>
              <w:fldChar w:fldCharType="begin"/>
            </w:r>
            <w:r w:rsidR="001628B8">
              <w:rPr>
                <w:noProof/>
                <w:webHidden/>
              </w:rPr>
              <w:instrText xml:space="preserve"> PAGEREF _Toc102248344 \h </w:instrText>
            </w:r>
            <w:r w:rsidR="001628B8">
              <w:rPr>
                <w:noProof/>
                <w:webHidden/>
              </w:rPr>
            </w:r>
            <w:r w:rsidR="001628B8">
              <w:rPr>
                <w:noProof/>
                <w:webHidden/>
              </w:rPr>
              <w:fldChar w:fldCharType="separate"/>
            </w:r>
            <w:r w:rsidR="001628B8">
              <w:rPr>
                <w:noProof/>
                <w:webHidden/>
              </w:rPr>
              <w:t>3</w:t>
            </w:r>
            <w:r w:rsidR="001628B8">
              <w:rPr>
                <w:noProof/>
                <w:webHidden/>
              </w:rPr>
              <w:fldChar w:fldCharType="end"/>
            </w:r>
          </w:hyperlink>
        </w:p>
        <w:p w:rsidR="001628B8" w:rsidRDefault="00987165">
          <w:pPr>
            <w:pStyle w:val="TOC2"/>
            <w:tabs>
              <w:tab w:val="left" w:pos="1100"/>
              <w:tab w:val="right" w:leader="dot" w:pos="9396"/>
            </w:tabs>
            <w:rPr>
              <w:rFonts w:asciiTheme="minorHAnsi" w:eastAsiaTheme="minorEastAsia" w:hAnsiTheme="minorHAnsi"/>
              <w:noProof/>
              <w:color w:val="auto"/>
              <w:sz w:val="22"/>
            </w:rPr>
          </w:pPr>
          <w:hyperlink w:anchor="_Toc102248345" w:history="1">
            <w:r w:rsidR="001628B8" w:rsidRPr="004F4C57">
              <w:rPr>
                <w:rStyle w:val="Hyperlink"/>
                <w:rFonts w:eastAsia="NSimSun"/>
                <w:noProof/>
                <w:lang w:eastAsia="zh-CN" w:bidi="hi-IN"/>
              </w:rPr>
              <w:t>2.2.</w:t>
            </w:r>
            <w:r w:rsidR="001628B8">
              <w:rPr>
                <w:rFonts w:asciiTheme="minorHAnsi" w:eastAsiaTheme="minorEastAsia" w:hAnsiTheme="minorHAnsi"/>
                <w:noProof/>
                <w:color w:val="auto"/>
                <w:sz w:val="22"/>
              </w:rPr>
              <w:tab/>
            </w:r>
            <w:r w:rsidR="001628B8" w:rsidRPr="004F4C57">
              <w:rPr>
                <w:rStyle w:val="Hyperlink"/>
                <w:noProof/>
                <w:lang w:eastAsia="zh-CN" w:bidi="hi-IN"/>
              </w:rPr>
              <w:t>COVID-19 Effects on the automotive industry</w:t>
            </w:r>
            <w:r w:rsidR="001628B8">
              <w:rPr>
                <w:noProof/>
                <w:webHidden/>
              </w:rPr>
              <w:tab/>
            </w:r>
            <w:r w:rsidR="001628B8">
              <w:rPr>
                <w:noProof/>
                <w:webHidden/>
              </w:rPr>
              <w:fldChar w:fldCharType="begin"/>
            </w:r>
            <w:r w:rsidR="001628B8">
              <w:rPr>
                <w:noProof/>
                <w:webHidden/>
              </w:rPr>
              <w:instrText xml:space="preserve"> PAGEREF _Toc102248345 \h </w:instrText>
            </w:r>
            <w:r w:rsidR="001628B8">
              <w:rPr>
                <w:noProof/>
                <w:webHidden/>
              </w:rPr>
            </w:r>
            <w:r w:rsidR="001628B8">
              <w:rPr>
                <w:noProof/>
                <w:webHidden/>
              </w:rPr>
              <w:fldChar w:fldCharType="separate"/>
            </w:r>
            <w:r w:rsidR="001628B8">
              <w:rPr>
                <w:noProof/>
                <w:webHidden/>
              </w:rPr>
              <w:t>3</w:t>
            </w:r>
            <w:r w:rsidR="001628B8">
              <w:rPr>
                <w:noProof/>
                <w:webHidden/>
              </w:rPr>
              <w:fldChar w:fldCharType="end"/>
            </w:r>
          </w:hyperlink>
        </w:p>
        <w:p w:rsidR="001628B8" w:rsidRDefault="00987165">
          <w:pPr>
            <w:pStyle w:val="TOC2"/>
            <w:tabs>
              <w:tab w:val="left" w:pos="1100"/>
              <w:tab w:val="right" w:leader="dot" w:pos="9396"/>
            </w:tabs>
            <w:rPr>
              <w:rFonts w:asciiTheme="minorHAnsi" w:eastAsiaTheme="minorEastAsia" w:hAnsiTheme="minorHAnsi"/>
              <w:noProof/>
              <w:color w:val="auto"/>
              <w:sz w:val="22"/>
            </w:rPr>
          </w:pPr>
          <w:hyperlink w:anchor="_Toc102248346" w:history="1">
            <w:r w:rsidR="001628B8" w:rsidRPr="004F4C57">
              <w:rPr>
                <w:rStyle w:val="Hyperlink"/>
                <w:rFonts w:eastAsia="NSimSun"/>
                <w:noProof/>
                <w:lang w:eastAsia="zh-CN" w:bidi="hi-IN"/>
              </w:rPr>
              <w:t>2.3.</w:t>
            </w:r>
            <w:r w:rsidR="001628B8">
              <w:rPr>
                <w:rFonts w:asciiTheme="minorHAnsi" w:eastAsiaTheme="minorEastAsia" w:hAnsiTheme="minorHAnsi"/>
                <w:noProof/>
                <w:color w:val="auto"/>
                <w:sz w:val="22"/>
              </w:rPr>
              <w:tab/>
            </w:r>
            <w:r w:rsidR="001628B8" w:rsidRPr="004F4C57">
              <w:rPr>
                <w:rStyle w:val="Hyperlink"/>
                <w:noProof/>
                <w:lang w:eastAsia="zh-CN" w:bidi="hi-IN"/>
              </w:rPr>
              <w:t>Electric car market during the pandemic</w:t>
            </w:r>
            <w:r w:rsidR="001628B8">
              <w:rPr>
                <w:noProof/>
                <w:webHidden/>
              </w:rPr>
              <w:tab/>
            </w:r>
            <w:r w:rsidR="001628B8">
              <w:rPr>
                <w:noProof/>
                <w:webHidden/>
              </w:rPr>
              <w:fldChar w:fldCharType="begin"/>
            </w:r>
            <w:r w:rsidR="001628B8">
              <w:rPr>
                <w:noProof/>
                <w:webHidden/>
              </w:rPr>
              <w:instrText xml:space="preserve"> PAGEREF _Toc102248346 \h </w:instrText>
            </w:r>
            <w:r w:rsidR="001628B8">
              <w:rPr>
                <w:noProof/>
                <w:webHidden/>
              </w:rPr>
            </w:r>
            <w:r w:rsidR="001628B8">
              <w:rPr>
                <w:noProof/>
                <w:webHidden/>
              </w:rPr>
              <w:fldChar w:fldCharType="separate"/>
            </w:r>
            <w:r w:rsidR="001628B8">
              <w:rPr>
                <w:noProof/>
                <w:webHidden/>
              </w:rPr>
              <w:t>5</w:t>
            </w:r>
            <w:r w:rsidR="001628B8">
              <w:rPr>
                <w:noProof/>
                <w:webHidden/>
              </w:rPr>
              <w:fldChar w:fldCharType="end"/>
            </w:r>
          </w:hyperlink>
        </w:p>
        <w:p w:rsidR="001628B8" w:rsidRDefault="00987165">
          <w:pPr>
            <w:pStyle w:val="TOC2"/>
            <w:tabs>
              <w:tab w:val="left" w:pos="1100"/>
              <w:tab w:val="right" w:leader="dot" w:pos="9396"/>
            </w:tabs>
            <w:rPr>
              <w:rFonts w:asciiTheme="minorHAnsi" w:eastAsiaTheme="minorEastAsia" w:hAnsiTheme="minorHAnsi"/>
              <w:noProof/>
              <w:color w:val="auto"/>
              <w:sz w:val="22"/>
            </w:rPr>
          </w:pPr>
          <w:hyperlink w:anchor="_Toc102248347" w:history="1">
            <w:r w:rsidR="001628B8" w:rsidRPr="004F4C57">
              <w:rPr>
                <w:rStyle w:val="Hyperlink"/>
                <w:rFonts w:eastAsia="NSimSun"/>
                <w:noProof/>
                <w:lang w:eastAsia="zh-CN" w:bidi="hi-IN"/>
              </w:rPr>
              <w:t>2.4.</w:t>
            </w:r>
            <w:r w:rsidR="001628B8">
              <w:rPr>
                <w:rFonts w:asciiTheme="minorHAnsi" w:eastAsiaTheme="minorEastAsia" w:hAnsiTheme="minorHAnsi"/>
                <w:noProof/>
                <w:color w:val="auto"/>
                <w:sz w:val="22"/>
              </w:rPr>
              <w:tab/>
            </w:r>
            <w:r w:rsidR="001628B8" w:rsidRPr="004F4C57">
              <w:rPr>
                <w:rStyle w:val="Hyperlink"/>
                <w:noProof/>
                <w:lang w:eastAsia="zh-CN" w:bidi="hi-IN"/>
              </w:rPr>
              <w:t>CO2 reduction incentives</w:t>
            </w:r>
            <w:r w:rsidR="001628B8">
              <w:rPr>
                <w:noProof/>
                <w:webHidden/>
              </w:rPr>
              <w:tab/>
            </w:r>
            <w:r w:rsidR="001628B8">
              <w:rPr>
                <w:noProof/>
                <w:webHidden/>
              </w:rPr>
              <w:fldChar w:fldCharType="begin"/>
            </w:r>
            <w:r w:rsidR="001628B8">
              <w:rPr>
                <w:noProof/>
                <w:webHidden/>
              </w:rPr>
              <w:instrText xml:space="preserve"> PAGEREF _Toc102248347 \h </w:instrText>
            </w:r>
            <w:r w:rsidR="001628B8">
              <w:rPr>
                <w:noProof/>
                <w:webHidden/>
              </w:rPr>
            </w:r>
            <w:r w:rsidR="001628B8">
              <w:rPr>
                <w:noProof/>
                <w:webHidden/>
              </w:rPr>
              <w:fldChar w:fldCharType="separate"/>
            </w:r>
            <w:r w:rsidR="001628B8">
              <w:rPr>
                <w:noProof/>
                <w:webHidden/>
              </w:rPr>
              <w:t>6</w:t>
            </w:r>
            <w:r w:rsidR="001628B8">
              <w:rPr>
                <w:noProof/>
                <w:webHidden/>
              </w:rPr>
              <w:fldChar w:fldCharType="end"/>
            </w:r>
          </w:hyperlink>
        </w:p>
        <w:p w:rsidR="001628B8" w:rsidRDefault="00987165">
          <w:pPr>
            <w:pStyle w:val="TOC2"/>
            <w:tabs>
              <w:tab w:val="left" w:pos="1100"/>
              <w:tab w:val="right" w:leader="dot" w:pos="9396"/>
            </w:tabs>
            <w:rPr>
              <w:rFonts w:asciiTheme="minorHAnsi" w:eastAsiaTheme="minorEastAsia" w:hAnsiTheme="minorHAnsi"/>
              <w:noProof/>
              <w:color w:val="auto"/>
              <w:sz w:val="22"/>
            </w:rPr>
          </w:pPr>
          <w:hyperlink w:anchor="_Toc102248348" w:history="1">
            <w:r w:rsidR="001628B8" w:rsidRPr="004F4C57">
              <w:rPr>
                <w:rStyle w:val="Hyperlink"/>
                <w:rFonts w:eastAsia="NSimSun"/>
                <w:noProof/>
                <w:lang w:eastAsia="zh-CN" w:bidi="hi-IN"/>
              </w:rPr>
              <w:t>2.5.</w:t>
            </w:r>
            <w:r w:rsidR="001628B8">
              <w:rPr>
                <w:rFonts w:asciiTheme="minorHAnsi" w:eastAsiaTheme="minorEastAsia" w:hAnsiTheme="minorHAnsi"/>
                <w:noProof/>
                <w:color w:val="auto"/>
                <w:sz w:val="22"/>
              </w:rPr>
              <w:tab/>
            </w:r>
            <w:r w:rsidR="001628B8" w:rsidRPr="004F4C57">
              <w:rPr>
                <w:rStyle w:val="Hyperlink"/>
                <w:noProof/>
                <w:lang w:eastAsia="zh-CN" w:bidi="hi-IN"/>
              </w:rPr>
              <w:t>Tesla’s development during the pandemic</w:t>
            </w:r>
            <w:r w:rsidR="001628B8">
              <w:rPr>
                <w:noProof/>
                <w:webHidden/>
              </w:rPr>
              <w:tab/>
            </w:r>
            <w:r w:rsidR="001628B8">
              <w:rPr>
                <w:noProof/>
                <w:webHidden/>
              </w:rPr>
              <w:fldChar w:fldCharType="begin"/>
            </w:r>
            <w:r w:rsidR="001628B8">
              <w:rPr>
                <w:noProof/>
                <w:webHidden/>
              </w:rPr>
              <w:instrText xml:space="preserve"> PAGEREF _Toc102248348 \h </w:instrText>
            </w:r>
            <w:r w:rsidR="001628B8">
              <w:rPr>
                <w:noProof/>
                <w:webHidden/>
              </w:rPr>
            </w:r>
            <w:r w:rsidR="001628B8">
              <w:rPr>
                <w:noProof/>
                <w:webHidden/>
              </w:rPr>
              <w:fldChar w:fldCharType="separate"/>
            </w:r>
            <w:r w:rsidR="001628B8">
              <w:rPr>
                <w:noProof/>
                <w:webHidden/>
              </w:rPr>
              <w:t>6</w:t>
            </w:r>
            <w:r w:rsidR="001628B8">
              <w:rPr>
                <w:noProof/>
                <w:webHidden/>
              </w:rPr>
              <w:fldChar w:fldCharType="end"/>
            </w:r>
          </w:hyperlink>
        </w:p>
        <w:p w:rsidR="001628B8" w:rsidRDefault="00987165">
          <w:pPr>
            <w:pStyle w:val="TOC1"/>
            <w:tabs>
              <w:tab w:val="left" w:pos="660"/>
              <w:tab w:val="right" w:leader="dot" w:pos="9396"/>
            </w:tabs>
            <w:rPr>
              <w:rFonts w:asciiTheme="minorHAnsi" w:eastAsiaTheme="minorEastAsia" w:hAnsiTheme="minorHAnsi"/>
              <w:noProof/>
              <w:color w:val="auto"/>
              <w:sz w:val="22"/>
            </w:rPr>
          </w:pPr>
          <w:hyperlink w:anchor="_Toc102248349" w:history="1">
            <w:r w:rsidR="001628B8" w:rsidRPr="004F4C57">
              <w:rPr>
                <w:rStyle w:val="Hyperlink"/>
                <w:noProof/>
                <w:lang w:eastAsia="zh-CN" w:bidi="hi-IN"/>
              </w:rPr>
              <w:t>3.</w:t>
            </w:r>
            <w:r w:rsidR="001628B8">
              <w:rPr>
                <w:rFonts w:asciiTheme="minorHAnsi" w:eastAsiaTheme="minorEastAsia" w:hAnsiTheme="minorHAnsi"/>
                <w:noProof/>
                <w:color w:val="auto"/>
                <w:sz w:val="22"/>
              </w:rPr>
              <w:tab/>
            </w:r>
            <w:r w:rsidR="001628B8" w:rsidRPr="004F4C57">
              <w:rPr>
                <w:rStyle w:val="Hyperlink"/>
                <w:noProof/>
                <w:lang w:eastAsia="zh-CN" w:bidi="hi-IN"/>
              </w:rPr>
              <w:t>Conclusion</w:t>
            </w:r>
            <w:r w:rsidR="001628B8">
              <w:rPr>
                <w:noProof/>
                <w:webHidden/>
              </w:rPr>
              <w:tab/>
            </w:r>
            <w:r w:rsidR="001628B8">
              <w:rPr>
                <w:noProof/>
                <w:webHidden/>
              </w:rPr>
              <w:fldChar w:fldCharType="begin"/>
            </w:r>
            <w:r w:rsidR="001628B8">
              <w:rPr>
                <w:noProof/>
                <w:webHidden/>
              </w:rPr>
              <w:instrText xml:space="preserve"> PAGEREF _Toc102248349 \h </w:instrText>
            </w:r>
            <w:r w:rsidR="001628B8">
              <w:rPr>
                <w:noProof/>
                <w:webHidden/>
              </w:rPr>
            </w:r>
            <w:r w:rsidR="001628B8">
              <w:rPr>
                <w:noProof/>
                <w:webHidden/>
              </w:rPr>
              <w:fldChar w:fldCharType="separate"/>
            </w:r>
            <w:r w:rsidR="001628B8">
              <w:rPr>
                <w:noProof/>
                <w:webHidden/>
              </w:rPr>
              <w:t>9</w:t>
            </w:r>
            <w:r w:rsidR="001628B8">
              <w:rPr>
                <w:noProof/>
                <w:webHidden/>
              </w:rPr>
              <w:fldChar w:fldCharType="end"/>
            </w:r>
          </w:hyperlink>
        </w:p>
        <w:p w:rsidR="001628B8" w:rsidRDefault="00987165">
          <w:pPr>
            <w:pStyle w:val="TOC1"/>
            <w:tabs>
              <w:tab w:val="left" w:pos="660"/>
              <w:tab w:val="right" w:leader="dot" w:pos="9396"/>
            </w:tabs>
            <w:rPr>
              <w:rFonts w:asciiTheme="minorHAnsi" w:eastAsiaTheme="minorEastAsia" w:hAnsiTheme="minorHAnsi"/>
              <w:noProof/>
              <w:color w:val="auto"/>
              <w:sz w:val="22"/>
            </w:rPr>
          </w:pPr>
          <w:hyperlink w:anchor="_Toc102248350" w:history="1">
            <w:r w:rsidR="001628B8" w:rsidRPr="004F4C57">
              <w:rPr>
                <w:rStyle w:val="Hyperlink"/>
                <w:rFonts w:eastAsia="NSimSun"/>
                <w:noProof/>
                <w:lang w:eastAsia="zh-CN" w:bidi="hi-IN"/>
              </w:rPr>
              <w:t>4.</w:t>
            </w:r>
            <w:r w:rsidR="001628B8">
              <w:rPr>
                <w:rFonts w:asciiTheme="minorHAnsi" w:eastAsiaTheme="minorEastAsia" w:hAnsiTheme="minorHAnsi"/>
                <w:noProof/>
                <w:color w:val="auto"/>
                <w:sz w:val="22"/>
              </w:rPr>
              <w:tab/>
            </w:r>
            <w:r w:rsidR="001628B8" w:rsidRPr="004F4C57">
              <w:rPr>
                <w:rStyle w:val="Hyperlink"/>
                <w:noProof/>
                <w:lang w:eastAsia="zh-CN" w:bidi="hi-IN"/>
              </w:rPr>
              <w:t>Reference list</w:t>
            </w:r>
            <w:r w:rsidR="001628B8">
              <w:rPr>
                <w:noProof/>
                <w:webHidden/>
              </w:rPr>
              <w:tab/>
            </w:r>
            <w:r w:rsidR="001628B8">
              <w:rPr>
                <w:noProof/>
                <w:webHidden/>
              </w:rPr>
              <w:fldChar w:fldCharType="begin"/>
            </w:r>
            <w:r w:rsidR="001628B8">
              <w:rPr>
                <w:noProof/>
                <w:webHidden/>
              </w:rPr>
              <w:instrText xml:space="preserve"> PAGEREF _Toc102248350 \h </w:instrText>
            </w:r>
            <w:r w:rsidR="001628B8">
              <w:rPr>
                <w:noProof/>
                <w:webHidden/>
              </w:rPr>
            </w:r>
            <w:r w:rsidR="001628B8">
              <w:rPr>
                <w:noProof/>
                <w:webHidden/>
              </w:rPr>
              <w:fldChar w:fldCharType="separate"/>
            </w:r>
            <w:r w:rsidR="001628B8">
              <w:rPr>
                <w:noProof/>
                <w:webHidden/>
              </w:rPr>
              <w:t>10</w:t>
            </w:r>
            <w:r w:rsidR="001628B8">
              <w:rPr>
                <w:noProof/>
                <w:webHidden/>
              </w:rPr>
              <w:fldChar w:fldCharType="end"/>
            </w:r>
          </w:hyperlink>
        </w:p>
        <w:p w:rsidR="00414B6C" w:rsidRDefault="00414B6C">
          <w:r>
            <w:rPr>
              <w:b/>
              <w:bCs/>
              <w:noProof/>
            </w:rPr>
            <w:fldChar w:fldCharType="end"/>
          </w:r>
        </w:p>
      </w:sdtContent>
    </w:sdt>
    <w:p w:rsidR="00D10E54" w:rsidRDefault="00D10E54"/>
    <w:p w:rsidR="00C67F21" w:rsidRPr="00C67F21" w:rsidRDefault="00D10E54" w:rsidP="00506BC0">
      <w:r>
        <w:br w:type="page"/>
      </w:r>
    </w:p>
    <w:p w:rsidR="00F3316B" w:rsidRDefault="00F3316B" w:rsidP="00727670">
      <w:pPr>
        <w:pStyle w:val="Heading1"/>
        <w:numPr>
          <w:ilvl w:val="0"/>
          <w:numId w:val="1"/>
        </w:numPr>
        <w:spacing w:after="120"/>
        <w:ind w:left="0" w:firstLine="0"/>
        <w:rPr>
          <w:lang w:eastAsia="zh-CN" w:bidi="hi-IN"/>
        </w:rPr>
      </w:pPr>
      <w:bookmarkStart w:id="0" w:name="_Toc102248342"/>
      <w:r>
        <w:rPr>
          <w:lang w:eastAsia="zh-CN" w:bidi="hi-IN"/>
        </w:rPr>
        <w:lastRenderedPageBreak/>
        <w:t>Introduction</w:t>
      </w:r>
      <w:bookmarkEnd w:id="0"/>
    </w:p>
    <w:p w:rsidR="00F3316B" w:rsidRDefault="00F3316B" w:rsidP="00F3316B">
      <w:pPr>
        <w:ind w:firstLine="567"/>
        <w:rPr>
          <w:lang w:eastAsia="zh-CN" w:bidi="hi-IN"/>
        </w:rPr>
      </w:pPr>
      <w:r w:rsidRPr="00C67F21">
        <w:rPr>
          <w:lang w:eastAsia="zh-CN" w:bidi="hi-IN"/>
        </w:rPr>
        <w:t xml:space="preserve">The COVID-19 </w:t>
      </w:r>
      <w:r>
        <w:rPr>
          <w:lang w:eastAsia="zh-CN" w:bidi="hi-IN"/>
        </w:rPr>
        <w:t>pandemic has changed the world of business and our personal lives dramatically. Many businesses were frozen or went bankrupt, and the ones that survived had to substantially change their business model to cope with the unexpected situation. The hospitality industry took the greatest hit of all, as its products and services required customers to be present at a physical location. The pandemic also transformed the automotive industry, and producers offering alternative (online) methods of purchasing have seen a significant increase in sales.</w:t>
      </w:r>
    </w:p>
    <w:p w:rsidR="00F3316B" w:rsidRDefault="00F3316B" w:rsidP="00F3316B">
      <w:pPr>
        <w:ind w:firstLine="567"/>
        <w:rPr>
          <w:lang w:eastAsia="zh-CN" w:bidi="hi-IN"/>
        </w:rPr>
      </w:pPr>
      <w:r>
        <w:rPr>
          <w:lang w:eastAsia="zh-CN" w:bidi="hi-IN"/>
        </w:rPr>
        <w:t xml:space="preserve">The </w:t>
      </w:r>
      <w:r w:rsidR="00884F38">
        <w:rPr>
          <w:lang w:eastAsia="zh-CN" w:bidi="hi-IN"/>
        </w:rPr>
        <w:t xml:space="preserve">resolve </w:t>
      </w:r>
      <w:r>
        <w:rPr>
          <w:lang w:eastAsia="zh-CN" w:bidi="hi-IN"/>
        </w:rPr>
        <w:t xml:space="preserve">of this assignment is to analyze the </w:t>
      </w:r>
      <w:r w:rsidR="0046437E">
        <w:rPr>
          <w:lang w:eastAsia="zh-CN" w:bidi="hi-IN"/>
        </w:rPr>
        <w:t>effec</w:t>
      </w:r>
      <w:r>
        <w:rPr>
          <w:lang w:eastAsia="zh-CN" w:bidi="hi-IN"/>
        </w:rPr>
        <w:t>t of the pandemic on the automotive industry by providing an insight of the changes it went through in this period.</w:t>
      </w:r>
    </w:p>
    <w:p w:rsidR="00F3316B" w:rsidRDefault="00F3316B" w:rsidP="008B5F35">
      <w:pPr>
        <w:ind w:firstLine="567"/>
        <w:rPr>
          <w:lang w:eastAsia="zh-CN" w:bidi="hi-IN"/>
        </w:rPr>
      </w:pPr>
      <w:r>
        <w:rPr>
          <w:lang w:eastAsia="zh-CN" w:bidi="hi-IN"/>
        </w:rPr>
        <w:t xml:space="preserve">We will have a look on the world-wide effects of the pandemic, how it affected the automotive industry and the electric car market, </w:t>
      </w:r>
      <w:r w:rsidR="008B5F35">
        <w:rPr>
          <w:lang w:eastAsia="zh-CN" w:bidi="hi-IN"/>
        </w:rPr>
        <w:t>the CO2 reduction incentives that were introduced during that period – and how Tesla’s brand developed during this economic storm.</w:t>
      </w:r>
    </w:p>
    <w:p w:rsidR="00727670" w:rsidRDefault="00727670" w:rsidP="008B5F35">
      <w:pPr>
        <w:ind w:firstLine="567"/>
        <w:rPr>
          <w:lang w:eastAsia="zh-CN" w:bidi="hi-IN"/>
        </w:rPr>
      </w:pPr>
    </w:p>
    <w:p w:rsidR="00727670" w:rsidRDefault="00727670" w:rsidP="008B5F35">
      <w:pPr>
        <w:ind w:firstLine="567"/>
        <w:rPr>
          <w:lang w:eastAsia="zh-CN" w:bidi="hi-IN"/>
        </w:rPr>
      </w:pPr>
    </w:p>
    <w:p w:rsidR="00727670" w:rsidRDefault="00727670" w:rsidP="008B5F35">
      <w:pPr>
        <w:ind w:firstLine="567"/>
        <w:rPr>
          <w:lang w:eastAsia="zh-CN" w:bidi="hi-IN"/>
        </w:rPr>
      </w:pPr>
    </w:p>
    <w:p w:rsidR="00727670" w:rsidRDefault="00727670" w:rsidP="008B5F35">
      <w:pPr>
        <w:ind w:firstLine="567"/>
        <w:rPr>
          <w:lang w:eastAsia="zh-CN" w:bidi="hi-IN"/>
        </w:rPr>
      </w:pPr>
    </w:p>
    <w:p w:rsidR="00727670" w:rsidRDefault="00727670" w:rsidP="008B5F35">
      <w:pPr>
        <w:ind w:firstLine="567"/>
        <w:rPr>
          <w:lang w:eastAsia="zh-CN" w:bidi="hi-IN"/>
        </w:rPr>
      </w:pPr>
    </w:p>
    <w:p w:rsidR="00727670" w:rsidRDefault="00727670" w:rsidP="008B5F35">
      <w:pPr>
        <w:ind w:firstLine="567"/>
        <w:rPr>
          <w:lang w:eastAsia="zh-CN" w:bidi="hi-IN"/>
        </w:rPr>
      </w:pPr>
    </w:p>
    <w:p w:rsidR="00727670" w:rsidRDefault="00727670" w:rsidP="008B5F35">
      <w:pPr>
        <w:ind w:firstLine="567"/>
        <w:rPr>
          <w:lang w:eastAsia="zh-CN" w:bidi="hi-IN"/>
        </w:rPr>
      </w:pPr>
    </w:p>
    <w:p w:rsidR="00727670" w:rsidRPr="00F3316B" w:rsidRDefault="00727670" w:rsidP="00727670">
      <w:pPr>
        <w:pStyle w:val="Heading1"/>
        <w:numPr>
          <w:ilvl w:val="0"/>
          <w:numId w:val="1"/>
        </w:numPr>
        <w:ind w:left="0" w:firstLine="0"/>
        <w:rPr>
          <w:lang w:eastAsia="zh-CN" w:bidi="hi-IN"/>
        </w:rPr>
      </w:pPr>
      <w:bookmarkStart w:id="1" w:name="_Toc102248343"/>
      <w:r>
        <w:rPr>
          <w:lang w:eastAsia="zh-CN" w:bidi="hi-IN"/>
        </w:rPr>
        <w:lastRenderedPageBreak/>
        <w:t>Impact of COVID-19 on the automotive industry</w:t>
      </w:r>
      <w:bookmarkEnd w:id="1"/>
    </w:p>
    <w:p w:rsidR="00506BC0" w:rsidRDefault="00506BC0" w:rsidP="00727670">
      <w:pPr>
        <w:pStyle w:val="Heading2"/>
        <w:numPr>
          <w:ilvl w:val="1"/>
          <w:numId w:val="1"/>
        </w:numPr>
        <w:ind w:left="0" w:firstLine="567"/>
        <w:rPr>
          <w:lang w:eastAsia="zh-CN" w:bidi="hi-IN"/>
        </w:rPr>
      </w:pPr>
      <w:bookmarkStart w:id="2" w:name="_Toc102248344"/>
      <w:r>
        <w:rPr>
          <w:lang w:eastAsia="zh-CN" w:bidi="hi-IN"/>
        </w:rPr>
        <w:t>COVID-19 World-Wide effects</w:t>
      </w:r>
      <w:bookmarkEnd w:id="2"/>
    </w:p>
    <w:p w:rsidR="0038795E" w:rsidRPr="0038795E" w:rsidRDefault="0038795E" w:rsidP="0033196D">
      <w:pPr>
        <w:ind w:firstLine="567"/>
        <w:rPr>
          <w:lang w:eastAsia="zh-CN" w:bidi="hi-IN"/>
        </w:rPr>
      </w:pPr>
      <w:r>
        <w:rPr>
          <w:lang w:eastAsia="zh-CN" w:bidi="hi-IN"/>
        </w:rPr>
        <w:t xml:space="preserve">Here is how the </w:t>
      </w:r>
      <w:r>
        <w:t>Congressional Research Service describes the world-wide effects of the pandemic:</w:t>
      </w:r>
    </w:p>
    <w:p w:rsidR="0033196D" w:rsidRDefault="00EC270D" w:rsidP="0038795E">
      <w:pPr>
        <w:ind w:left="567"/>
        <w:rPr>
          <w:i/>
          <w:lang w:eastAsia="zh-CN" w:bidi="hi-IN"/>
        </w:rPr>
      </w:pPr>
      <w:r w:rsidRPr="00EC270D">
        <w:rPr>
          <w:i/>
          <w:lang w:eastAsia="zh-CN" w:bidi="hi-IN"/>
        </w:rPr>
        <w:t>“</w:t>
      </w:r>
      <w:r w:rsidR="00C67F21" w:rsidRPr="00EC270D">
        <w:rPr>
          <w:i/>
          <w:lang w:eastAsia="zh-CN" w:bidi="hi-IN"/>
        </w:rPr>
        <w:t>Estimates indicate the virus reduced global economic growth in 2020 to an annualized rate of around -3.2%</w:t>
      </w:r>
      <w:r w:rsidR="0033196D">
        <w:rPr>
          <w:i/>
          <w:lang w:eastAsia="zh-CN" w:bidi="hi-IN"/>
        </w:rPr>
        <w:t>.</w:t>
      </w:r>
    </w:p>
    <w:p w:rsidR="00C67F21" w:rsidRPr="00EC270D" w:rsidRDefault="00C67F21" w:rsidP="0038795E">
      <w:pPr>
        <w:ind w:left="567"/>
        <w:rPr>
          <w:i/>
          <w:lang w:eastAsia="zh-CN" w:bidi="hi-IN"/>
        </w:rPr>
      </w:pPr>
      <w:r w:rsidRPr="00EC270D">
        <w:rPr>
          <w:i/>
          <w:lang w:eastAsia="zh-CN" w:bidi="hi-IN"/>
        </w:rPr>
        <w:t>In most countries, economic growth fell sharply in the second quarter of 2020, rebounded quickly in the third quarter, and has been mostly positive since. Although lessening, the total global economic effects continue to mount. In particular, the prolonged nature of the health crisis is affecting the global economy beyond traditional measures with potentially long-lasting and far reaching repercussions.</w:t>
      </w:r>
      <w:r w:rsidR="00EC270D" w:rsidRPr="00EC270D">
        <w:rPr>
          <w:i/>
          <w:lang w:eastAsia="zh-CN" w:bidi="hi-IN"/>
        </w:rPr>
        <w:t>”</w:t>
      </w:r>
      <w:r w:rsidRPr="00EC270D">
        <w:rPr>
          <w:i/>
          <w:lang w:eastAsia="zh-CN" w:bidi="hi-IN"/>
        </w:rPr>
        <w:t xml:space="preserve"> </w:t>
      </w:r>
    </w:p>
    <w:p w:rsidR="0038795E" w:rsidRDefault="0038795E" w:rsidP="0038795E">
      <w:pPr>
        <w:ind w:left="567"/>
        <w:jc w:val="right"/>
        <w:rPr>
          <w:lang w:eastAsia="zh-CN" w:bidi="hi-IN"/>
        </w:rPr>
      </w:pPr>
      <w:r>
        <w:rPr>
          <w:lang w:eastAsia="zh-CN" w:bidi="hi-IN"/>
        </w:rPr>
        <w:t>(Congressional Research Service, 2021, pp. 2)</w:t>
      </w:r>
    </w:p>
    <w:p w:rsidR="000C7F0A" w:rsidRDefault="000C7F0A" w:rsidP="000C7F0A">
      <w:pPr>
        <w:ind w:firstLine="567"/>
        <w:rPr>
          <w:lang w:eastAsia="zh-CN" w:bidi="hi-IN"/>
        </w:rPr>
      </w:pPr>
      <w:r>
        <w:rPr>
          <w:lang w:eastAsia="zh-CN" w:bidi="hi-IN"/>
        </w:rPr>
        <w:t>In terms of the global supply, shortages affected negatively labor markets, supply chain and production of many companies, accompanied by disruptions in energy markets, transportation and delivery constraints leading to inflationary pressures.</w:t>
      </w:r>
    </w:p>
    <w:p w:rsidR="00506BC0" w:rsidRPr="00C67F21" w:rsidRDefault="00506BC0" w:rsidP="00727670">
      <w:pPr>
        <w:pStyle w:val="Heading2"/>
        <w:numPr>
          <w:ilvl w:val="1"/>
          <w:numId w:val="1"/>
        </w:numPr>
        <w:ind w:left="0" w:firstLine="567"/>
        <w:rPr>
          <w:rFonts w:eastAsia="NSimSun"/>
          <w:lang w:eastAsia="zh-CN" w:bidi="hi-IN"/>
        </w:rPr>
      </w:pPr>
      <w:bookmarkStart w:id="3" w:name="_Toc102248345"/>
      <w:r>
        <w:rPr>
          <w:lang w:eastAsia="zh-CN" w:bidi="hi-IN"/>
        </w:rPr>
        <w:t>COVID-19 Effects on the automotive industry</w:t>
      </w:r>
      <w:bookmarkEnd w:id="3"/>
    </w:p>
    <w:p w:rsidR="003553B8" w:rsidRDefault="00951E9C" w:rsidP="008126A6">
      <w:pPr>
        <w:ind w:firstLine="567"/>
        <w:rPr>
          <w:lang w:eastAsia="zh-CN" w:bidi="hi-IN"/>
        </w:rPr>
      </w:pPr>
      <w:r>
        <w:rPr>
          <w:lang w:eastAsia="zh-CN" w:bidi="hi-IN"/>
        </w:rPr>
        <w:t>A lockdown was introduced across Europe</w:t>
      </w:r>
      <w:r w:rsidR="00642C15">
        <w:rPr>
          <w:lang w:eastAsia="zh-CN" w:bidi="hi-IN"/>
        </w:rPr>
        <w:t>, which dealt a major</w:t>
      </w:r>
      <w:r w:rsidR="008126A6">
        <w:rPr>
          <w:lang w:eastAsia="zh-CN" w:bidi="hi-IN"/>
        </w:rPr>
        <w:t xml:space="preserve"> blow and declining</w:t>
      </w:r>
      <w:r w:rsidR="00DA1192">
        <w:rPr>
          <w:lang w:eastAsia="zh-CN" w:bidi="hi-IN"/>
        </w:rPr>
        <w:t xml:space="preserve"> sales in the automotive industry</w:t>
      </w:r>
      <w:r w:rsidR="003553B8">
        <w:rPr>
          <w:lang w:eastAsia="zh-CN" w:bidi="hi-IN"/>
        </w:rPr>
        <w:t xml:space="preserve">. </w:t>
      </w:r>
      <w:r w:rsidR="00586C26">
        <w:rPr>
          <w:lang w:eastAsia="zh-CN" w:bidi="hi-IN"/>
        </w:rPr>
        <w:t xml:space="preserve">According to </w:t>
      </w:r>
      <w:r w:rsidR="00586C26">
        <w:t xml:space="preserve">McKinsey Quarterly (2021) the effects began in China, where “sales plunged 71 percent in February 2020; by April, sales had dropped 47 percent in the United States and dived 80 percent in Europe”. </w:t>
      </w:r>
    </w:p>
    <w:p w:rsidR="00684504" w:rsidRDefault="00DA1192" w:rsidP="00C67F21">
      <w:pPr>
        <w:ind w:firstLine="567"/>
      </w:pPr>
      <w:r>
        <w:lastRenderedPageBreak/>
        <w:t>T</w:t>
      </w:r>
      <w:r w:rsidR="00586C26">
        <w:t xml:space="preserve">his trend obviously followed the initial mass panic from the unexpected events of the pandemic, and “From the third quarter of 2020 through the first quarter of 2021, automakers around the world have seen rapid (and in some cases, record) levels of production.” (McKinsey Quarterly, 2021). It appears COVID-19 has accelerated the trends throughout the mobility value chain, that were </w:t>
      </w:r>
      <w:r w:rsidR="00684504">
        <w:t xml:space="preserve">strengthening before it happened. The options to explore vehicles online to compare prices, experience the vehicle virtually in 360-degrees and customize their own car before buying it – were available before the COVID, but have not been in such high demand after it occurred. After physical dealerships around the world found it nearly impossible to meet their target revenue due to the evolving in-person restrictions, these technologies have proven to be invaluable. </w:t>
      </w:r>
    </w:p>
    <w:p w:rsidR="00586C26" w:rsidRDefault="00684504" w:rsidP="00C67F21">
      <w:pPr>
        <w:ind w:firstLine="567"/>
      </w:pPr>
      <w:r>
        <w:t xml:space="preserve">This led to an almost all-virtual buying experience, including accelerating sites and apps offering related services such as financing and insurance. </w:t>
      </w:r>
    </w:p>
    <w:p w:rsidR="00684504" w:rsidRDefault="0015558C" w:rsidP="00C67F21">
      <w:pPr>
        <w:ind w:firstLine="567"/>
      </w:pPr>
      <w:r>
        <w:t>A</w:t>
      </w:r>
      <w:r w:rsidR="00684504">
        <w:t xml:space="preserve">fter the </w:t>
      </w:r>
      <w:r>
        <w:t>pandemic</w:t>
      </w:r>
      <w:r w:rsidR="00684504">
        <w:t xml:space="preserve"> restrictions have </w:t>
      </w:r>
      <w:r>
        <w:t>reduced</w:t>
      </w:r>
      <w:r w:rsidR="00684504">
        <w:t xml:space="preserve"> in some states, </w:t>
      </w:r>
      <w:r w:rsidR="00D3237B">
        <w:t>clients</w:t>
      </w:r>
      <w:r w:rsidR="00684504">
        <w:t xml:space="preserve"> came back to dealership – as it is still normal for a customer to seek an interaction with a dealer and to see, feel and test-drive a vehicle before purchasing it. </w:t>
      </w:r>
    </w:p>
    <w:p w:rsidR="000C7F0A" w:rsidRDefault="000C7F0A" w:rsidP="00C67F21">
      <w:pPr>
        <w:ind w:firstLine="567"/>
        <w:rPr>
          <w:lang w:eastAsia="zh-CN" w:bidi="hi-IN"/>
        </w:rPr>
      </w:pPr>
      <w:r>
        <w:rPr>
          <w:lang w:eastAsia="zh-CN" w:bidi="hi-IN"/>
        </w:rPr>
        <w:t>At the moment different platforms (both physical and virtual) exist simultaneously, complementing and competing with each other at the same time. Tesla, Porsche, VW and Volvo have rapidly adopted the model of selling by other means than the traditional showroom dealerships. Many other automotive companies are experimenting with alternative ways to bring their vehicles to market.</w:t>
      </w:r>
    </w:p>
    <w:p w:rsidR="00506BC0" w:rsidRPr="00C67F21" w:rsidRDefault="00506BC0" w:rsidP="00727670">
      <w:pPr>
        <w:pStyle w:val="Heading2"/>
        <w:numPr>
          <w:ilvl w:val="1"/>
          <w:numId w:val="1"/>
        </w:numPr>
        <w:ind w:left="0" w:firstLine="567"/>
        <w:rPr>
          <w:rFonts w:eastAsia="NSimSun"/>
          <w:lang w:eastAsia="zh-CN" w:bidi="hi-IN"/>
        </w:rPr>
      </w:pPr>
      <w:bookmarkStart w:id="4" w:name="_Toc102248346"/>
      <w:r>
        <w:rPr>
          <w:lang w:eastAsia="zh-CN" w:bidi="hi-IN"/>
        </w:rPr>
        <w:lastRenderedPageBreak/>
        <w:t>Electric car market during the pandemic</w:t>
      </w:r>
      <w:bookmarkEnd w:id="4"/>
    </w:p>
    <w:p w:rsidR="008F16BE" w:rsidRDefault="008F16BE" w:rsidP="00C67F21">
      <w:pPr>
        <w:ind w:firstLine="567"/>
        <w:rPr>
          <w:lang w:eastAsia="zh-CN" w:bidi="hi-IN"/>
        </w:rPr>
      </w:pPr>
      <w:r>
        <w:rPr>
          <w:lang w:eastAsia="zh-CN" w:bidi="hi-IN"/>
        </w:rPr>
        <w:t>Here is some data and estimations in regards of the EV market, according to IEA:</w:t>
      </w:r>
    </w:p>
    <w:p w:rsidR="00C67F21" w:rsidRPr="00EC270D" w:rsidRDefault="00EC270D" w:rsidP="008F16BE">
      <w:pPr>
        <w:ind w:left="567"/>
        <w:rPr>
          <w:i/>
          <w:lang w:eastAsia="zh-CN" w:bidi="hi-IN"/>
        </w:rPr>
      </w:pPr>
      <w:r w:rsidRPr="00EC270D">
        <w:rPr>
          <w:i/>
          <w:lang w:eastAsia="zh-CN" w:bidi="hi-IN"/>
        </w:rPr>
        <w:t>“</w:t>
      </w:r>
      <w:r w:rsidR="00C67F21" w:rsidRPr="00EC270D">
        <w:rPr>
          <w:i/>
          <w:lang w:eastAsia="zh-CN" w:bidi="hi-IN"/>
        </w:rPr>
        <w:t>Despite gradual recovery over the course of the year, early market data suggests that global car sales contracted in 2020 by an estimated 14% year-on-year, mirroring closely the IEA estimate of 15%. The drop in global car sales in 2020 was significantly larger than the one observed during the global</w:t>
      </w:r>
      <w:r w:rsidR="009314B6">
        <w:rPr>
          <w:i/>
          <w:lang w:eastAsia="zh-CN" w:bidi="hi-IN"/>
        </w:rPr>
        <w:t xml:space="preserve"> financial crisis of 2007-2009.”</w:t>
      </w:r>
    </w:p>
    <w:p w:rsidR="008F16BE" w:rsidRDefault="009314B6" w:rsidP="008F16BE">
      <w:pPr>
        <w:ind w:left="567"/>
        <w:jc w:val="right"/>
        <w:rPr>
          <w:lang w:eastAsia="zh-CN" w:bidi="hi-IN"/>
        </w:rPr>
      </w:pPr>
      <w:r>
        <w:rPr>
          <w:lang w:eastAsia="zh-CN" w:bidi="hi-IN"/>
        </w:rPr>
        <w:t xml:space="preserve"> </w:t>
      </w:r>
      <w:r w:rsidR="008F16BE">
        <w:rPr>
          <w:lang w:eastAsia="zh-CN" w:bidi="hi-IN"/>
        </w:rPr>
        <w:t>(IEA, 2021)</w:t>
      </w:r>
    </w:p>
    <w:p w:rsidR="008F16BE" w:rsidRDefault="008F16BE" w:rsidP="00A5064C">
      <w:pPr>
        <w:ind w:firstLine="567"/>
        <w:rPr>
          <w:lang w:eastAsia="zh-CN" w:bidi="hi-IN"/>
        </w:rPr>
      </w:pPr>
      <w:r>
        <w:rPr>
          <w:lang w:eastAsia="zh-CN" w:bidi="hi-IN"/>
        </w:rPr>
        <w:t xml:space="preserve">Obviously, EV sales in 2020 exceeded all expectations, given the grim economic circumstances. It was generally expected for EVs to be more resilient than the general automotive sector, they have grown by over 40% in global sales </w:t>
      </w:r>
      <w:r w:rsidR="00A5064C">
        <w:rPr>
          <w:lang w:eastAsia="zh-CN" w:bidi="hi-IN"/>
        </w:rPr>
        <w:t xml:space="preserve">to almost 3 million cars, compared to 2.1 EVs in 2019. Currently, there are more than 10 million EVs on the road globally. </w:t>
      </w:r>
    </w:p>
    <w:p w:rsidR="00D278B4" w:rsidRDefault="00D278B4" w:rsidP="00A5064C">
      <w:pPr>
        <w:ind w:firstLine="567"/>
        <w:rPr>
          <w:lang w:eastAsia="zh-CN" w:bidi="hi-IN"/>
        </w:rPr>
      </w:pPr>
      <w:r>
        <w:rPr>
          <w:lang w:eastAsia="zh-CN" w:bidi="hi-IN"/>
        </w:rPr>
        <w:t>During 2020, Europe as a region has doubled its new EV registrations, totaling 1.4 million, representing a sales share of 10% of the global EV annual registrations. This turned around the trend Europe picked up in 2019, which led to the Europe’s new car market contracting with 22%.</w:t>
      </w:r>
    </w:p>
    <w:p w:rsidR="00D278B4" w:rsidRDefault="00D278B4" w:rsidP="00A5064C">
      <w:pPr>
        <w:ind w:firstLine="567"/>
        <w:rPr>
          <w:lang w:eastAsia="zh-CN" w:bidi="hi-IN"/>
        </w:rPr>
      </w:pPr>
      <w:r>
        <w:rPr>
          <w:lang w:eastAsia="zh-CN" w:bidi="hi-IN"/>
        </w:rPr>
        <w:t>The highest ranking countries in Europe in terms of new EV sales were Germany (395,000 new registered EVs), France (185,000 new registered EVs) and the UK (88,000 new registered EVs). Based on market share in 2020, Norway was the top country, amassing 75% of new car sales to be EVs, followed by Iceland with 50%, Sweden with 30% and the Netherlands with 25%.</w:t>
      </w:r>
    </w:p>
    <w:p w:rsidR="00506BC0" w:rsidRPr="00C67F21" w:rsidRDefault="00506BC0" w:rsidP="007A45DC">
      <w:pPr>
        <w:pStyle w:val="Heading2"/>
        <w:numPr>
          <w:ilvl w:val="1"/>
          <w:numId w:val="1"/>
        </w:numPr>
        <w:ind w:left="0" w:firstLine="567"/>
        <w:rPr>
          <w:rFonts w:eastAsia="NSimSun"/>
          <w:lang w:eastAsia="zh-CN" w:bidi="hi-IN"/>
        </w:rPr>
      </w:pPr>
      <w:bookmarkStart w:id="5" w:name="_Toc102248347"/>
      <w:r>
        <w:rPr>
          <w:lang w:eastAsia="zh-CN" w:bidi="hi-IN"/>
        </w:rPr>
        <w:lastRenderedPageBreak/>
        <w:t>CO2 reduction incentives</w:t>
      </w:r>
      <w:bookmarkEnd w:id="5"/>
    </w:p>
    <w:p w:rsidR="00EB3B76" w:rsidRDefault="00EB3B76" w:rsidP="00C67F21">
      <w:pPr>
        <w:ind w:firstLine="567"/>
        <w:rPr>
          <w:lang w:eastAsia="zh-CN" w:bidi="hi-IN"/>
        </w:rPr>
      </w:pPr>
      <w:r>
        <w:rPr>
          <w:lang w:eastAsia="zh-CN" w:bidi="hi-IN"/>
        </w:rPr>
        <w:t>Kevin Adler states, that:</w:t>
      </w:r>
    </w:p>
    <w:p w:rsidR="00C67F21" w:rsidRPr="00EC270D" w:rsidRDefault="00EC270D" w:rsidP="00EB3B76">
      <w:pPr>
        <w:ind w:left="567"/>
        <w:rPr>
          <w:i/>
          <w:lang w:eastAsia="zh-CN" w:bidi="hi-IN"/>
        </w:rPr>
      </w:pPr>
      <w:r w:rsidRPr="00EC270D">
        <w:rPr>
          <w:i/>
          <w:lang w:eastAsia="zh-CN" w:bidi="hi-IN"/>
        </w:rPr>
        <w:t>“</w:t>
      </w:r>
      <w:r w:rsidR="00C67F21" w:rsidRPr="00EC270D">
        <w:rPr>
          <w:i/>
          <w:lang w:eastAsia="zh-CN" w:bidi="hi-IN"/>
        </w:rPr>
        <w:t>Europe's current CO2 standard for automakers is that their new fleet sales cannot exceed 95 g CO2/km for model years 2020 and 2021, and those standards are due to be tightened further in 2025 and 2030 as the region seeks to meet its economy wide goal of 55% GHG reductions by the end of the decade, in accord with its Paris Agreement target.</w:t>
      </w:r>
      <w:r w:rsidRPr="00EC270D">
        <w:rPr>
          <w:i/>
          <w:lang w:eastAsia="zh-CN" w:bidi="hi-IN"/>
        </w:rPr>
        <w:t>”</w:t>
      </w:r>
    </w:p>
    <w:p w:rsidR="00607AD1" w:rsidRDefault="00EB3B76" w:rsidP="00607AD1">
      <w:pPr>
        <w:ind w:left="567"/>
        <w:jc w:val="right"/>
        <w:rPr>
          <w:lang w:eastAsia="zh-CN" w:bidi="hi-IN"/>
        </w:rPr>
      </w:pPr>
      <w:r>
        <w:rPr>
          <w:lang w:eastAsia="zh-CN" w:bidi="hi-IN"/>
        </w:rPr>
        <w:t>(Kevin Adler, 2021)</w:t>
      </w:r>
    </w:p>
    <w:p w:rsidR="00C67F21" w:rsidRPr="00C67F21" w:rsidRDefault="00C67F21" w:rsidP="00C67F21">
      <w:pPr>
        <w:ind w:firstLine="567"/>
        <w:rPr>
          <w:lang w:eastAsia="zh-CN" w:bidi="hi-IN"/>
        </w:rPr>
      </w:pPr>
      <w:r w:rsidRPr="00C67F21">
        <w:rPr>
          <w:lang w:eastAsia="zh-CN" w:bidi="hi-IN"/>
        </w:rPr>
        <w:t xml:space="preserve"> IHS </w:t>
      </w:r>
      <w:r w:rsidR="00506BC0" w:rsidRPr="00C67F21">
        <w:rPr>
          <w:lang w:eastAsia="zh-CN" w:bidi="hi-IN"/>
        </w:rPr>
        <w:t>Market</w:t>
      </w:r>
      <w:r w:rsidRPr="00C67F21">
        <w:rPr>
          <w:lang w:eastAsia="zh-CN" w:bidi="hi-IN"/>
        </w:rPr>
        <w:t xml:space="preserve"> estimates that 50% of new car sales each year across the EU will be EVs by 2030. </w:t>
      </w:r>
      <w:r w:rsidR="00E550EC">
        <w:rPr>
          <w:lang w:eastAsia="zh-CN" w:bidi="hi-IN"/>
        </w:rPr>
        <w:t xml:space="preserve">These calculations are on base on </w:t>
      </w:r>
      <w:r w:rsidR="00ED3CCB">
        <w:rPr>
          <w:lang w:eastAsia="zh-CN" w:bidi="hi-IN"/>
        </w:rPr>
        <w:t xml:space="preserve">national incentives, regulation and new sustainability in the European </w:t>
      </w:r>
      <w:r w:rsidR="0006501E">
        <w:rPr>
          <w:lang w:eastAsia="zh-CN" w:bidi="hi-IN"/>
        </w:rPr>
        <w:t>Green Deal.</w:t>
      </w:r>
    </w:p>
    <w:p w:rsidR="00607AD1" w:rsidRDefault="00607AD1" w:rsidP="00C67F21">
      <w:pPr>
        <w:ind w:firstLine="567"/>
        <w:rPr>
          <w:lang w:eastAsia="zh-CN" w:bidi="hi-IN"/>
        </w:rPr>
      </w:pPr>
      <w:r>
        <w:rPr>
          <w:lang w:eastAsia="zh-CN" w:bidi="hi-IN"/>
        </w:rPr>
        <w:t xml:space="preserve">On the other hand, The Green Deal opens a huge opportunity to put Europe on a steady course towards climate neutrality. In terms of vehicles, this would add up to moving from a ‘tailpipe’ to a ‘life cycle’ model. </w:t>
      </w:r>
      <w:r w:rsidR="000F2DF9">
        <w:rPr>
          <w:lang w:eastAsia="zh-CN" w:bidi="hi-IN"/>
        </w:rPr>
        <w:t xml:space="preserve">Electric mobility proves to be the most economical solution in the industry and sets itself up for success. </w:t>
      </w:r>
    </w:p>
    <w:p w:rsidR="00D74165" w:rsidRPr="00C67F21" w:rsidRDefault="00D74165" w:rsidP="007A45DC">
      <w:pPr>
        <w:pStyle w:val="Heading2"/>
        <w:numPr>
          <w:ilvl w:val="1"/>
          <w:numId w:val="1"/>
        </w:numPr>
        <w:ind w:left="0" w:firstLine="567"/>
        <w:rPr>
          <w:rFonts w:eastAsia="NSimSun"/>
          <w:lang w:eastAsia="zh-CN" w:bidi="hi-IN"/>
        </w:rPr>
      </w:pPr>
      <w:bookmarkStart w:id="6" w:name="_Toc102248348"/>
      <w:r>
        <w:rPr>
          <w:lang w:eastAsia="zh-CN" w:bidi="hi-IN"/>
        </w:rPr>
        <w:t>Tesla’s development during the pandemic</w:t>
      </w:r>
      <w:bookmarkEnd w:id="6"/>
    </w:p>
    <w:p w:rsidR="00522876" w:rsidRDefault="00522876" w:rsidP="00C67F21">
      <w:pPr>
        <w:ind w:firstLine="567"/>
        <w:rPr>
          <w:lang w:eastAsia="zh-CN" w:bidi="hi-IN"/>
        </w:rPr>
      </w:pPr>
      <w:r>
        <w:rPr>
          <w:lang w:eastAsia="zh-CN" w:bidi="hi-IN"/>
        </w:rPr>
        <w:t>According to Rakesh Sharma:</w:t>
      </w:r>
    </w:p>
    <w:p w:rsidR="00C67F21" w:rsidRPr="00EC270D" w:rsidRDefault="00EC270D" w:rsidP="00522876">
      <w:pPr>
        <w:ind w:left="567"/>
        <w:rPr>
          <w:i/>
          <w:lang w:eastAsia="zh-CN" w:bidi="hi-IN"/>
        </w:rPr>
      </w:pPr>
      <w:r w:rsidRPr="00EC270D">
        <w:rPr>
          <w:i/>
          <w:lang w:eastAsia="zh-CN" w:bidi="hi-IN"/>
        </w:rPr>
        <w:t>“</w:t>
      </w:r>
      <w:r w:rsidR="00C67F21" w:rsidRPr="00EC270D">
        <w:rPr>
          <w:i/>
          <w:lang w:eastAsia="zh-CN" w:bidi="hi-IN"/>
        </w:rPr>
        <w:t>In January 2020, Tesla, Inc. (TSLA) was valued at $117 billion by the stock market. By the end of the year, that figure had skyrocketed to $658.39 billion. Subsequently, Tesla's stock traversed the distance to a $1 trillion market cap in less than a year, reaching that milestone on Oct. 25, 2021.</w:t>
      </w:r>
      <w:r w:rsidRPr="00EC270D">
        <w:rPr>
          <w:i/>
          <w:lang w:eastAsia="zh-CN" w:bidi="hi-IN"/>
        </w:rPr>
        <w:t>”</w:t>
      </w:r>
    </w:p>
    <w:p w:rsidR="00522876" w:rsidRPr="00C67F21" w:rsidRDefault="00522876" w:rsidP="00522876">
      <w:pPr>
        <w:ind w:left="567"/>
        <w:jc w:val="right"/>
        <w:rPr>
          <w:lang w:eastAsia="zh-CN" w:bidi="hi-IN"/>
        </w:rPr>
      </w:pPr>
      <w:r>
        <w:rPr>
          <w:lang w:eastAsia="zh-CN" w:bidi="hi-IN"/>
        </w:rPr>
        <w:t>(Rakesh Sharma, 2021)</w:t>
      </w:r>
    </w:p>
    <w:p w:rsidR="00522876" w:rsidRDefault="00522876" w:rsidP="00C67F21">
      <w:pPr>
        <w:ind w:firstLine="567"/>
        <w:rPr>
          <w:lang w:eastAsia="zh-CN" w:bidi="hi-IN"/>
        </w:rPr>
      </w:pPr>
      <w:r>
        <w:rPr>
          <w:lang w:eastAsia="zh-CN" w:bidi="hi-IN"/>
        </w:rPr>
        <w:lastRenderedPageBreak/>
        <w:t xml:space="preserve">As Elon’s tweets and retail investors took a major part in Tesla’s skyrocket, </w:t>
      </w:r>
      <w:r w:rsidR="007966EC">
        <w:rPr>
          <w:lang w:eastAsia="zh-CN" w:bidi="hi-IN"/>
        </w:rPr>
        <w:t>the core of the automotive giant’s ascension lies the “Tesla financial complex”, as termed by the Financial Times. This complex consists of a combination of investment tools – equity-linked funds, options and climate tech-focused investment instruments – and they imply a serious influence in the derivative and equity markets.</w:t>
      </w:r>
    </w:p>
    <w:p w:rsidR="007966EC" w:rsidRDefault="007966EC" w:rsidP="00C67F21">
      <w:pPr>
        <w:ind w:firstLine="567"/>
        <w:rPr>
          <w:lang w:eastAsia="zh-CN" w:bidi="hi-IN"/>
        </w:rPr>
      </w:pPr>
      <w:r>
        <w:rPr>
          <w:lang w:eastAsia="zh-CN" w:bidi="hi-IN"/>
        </w:rPr>
        <w:t xml:space="preserve">The connection between Tesla stock and elements of this complex is symbiotic. As the company’s growth ascends in the markets, derivatives and funds tied to the stock generate massive returns. This leads new investors to put money into the company and increase its influence in the industry further. </w:t>
      </w:r>
    </w:p>
    <w:p w:rsidR="00C67F21" w:rsidRPr="00C67F21" w:rsidRDefault="00C67F21" w:rsidP="00C67F21">
      <w:pPr>
        <w:ind w:firstLine="567"/>
        <w:rPr>
          <w:lang w:eastAsia="zh-CN" w:bidi="hi-IN"/>
        </w:rPr>
      </w:pPr>
      <w:r w:rsidRPr="00C67F21">
        <w:rPr>
          <w:lang w:eastAsia="zh-CN" w:bidi="hi-IN"/>
        </w:rPr>
        <w:t xml:space="preserve">The </w:t>
      </w:r>
      <w:proofErr w:type="spellStart"/>
      <w:r w:rsidR="00654063">
        <w:rPr>
          <w:lang w:eastAsia="zh-CN" w:bidi="hi-IN"/>
        </w:rPr>
        <w:t>connecton</w:t>
      </w:r>
      <w:proofErr w:type="spellEnd"/>
      <w:r w:rsidRPr="00C67F21">
        <w:rPr>
          <w:lang w:eastAsia="zh-CN" w:bidi="hi-IN"/>
        </w:rPr>
        <w:t xml:space="preserve"> between the stock and members  is </w:t>
      </w:r>
      <w:r w:rsidR="007A1D11">
        <w:rPr>
          <w:lang w:eastAsia="zh-CN" w:bidi="hi-IN"/>
        </w:rPr>
        <w:t>closely related</w:t>
      </w:r>
      <w:r w:rsidRPr="00C67F21">
        <w:rPr>
          <w:lang w:eastAsia="zh-CN" w:bidi="hi-IN"/>
        </w:rPr>
        <w:t>. As Tesla's stature grows in the markets, funds and derivatives with exposure to the stock</w:t>
      </w:r>
      <w:r w:rsidR="00B87DE4">
        <w:rPr>
          <w:lang w:eastAsia="zh-CN" w:bidi="hi-IN"/>
        </w:rPr>
        <w:t>, they report</w:t>
      </w:r>
      <w:r w:rsidRPr="00C67F21">
        <w:rPr>
          <w:lang w:eastAsia="zh-CN" w:bidi="hi-IN"/>
        </w:rPr>
        <w:t xml:space="preserve"> outsized </w:t>
      </w:r>
      <w:proofErr w:type="spellStart"/>
      <w:r w:rsidRPr="00C67F21">
        <w:rPr>
          <w:lang w:eastAsia="zh-CN" w:bidi="hi-IN"/>
        </w:rPr>
        <w:t>returns</w:t>
      </w:r>
      <w:r w:rsidR="00DB5B81">
        <w:rPr>
          <w:lang w:eastAsia="zh-CN" w:bidi="hi-IN"/>
        </w:rPr>
        <w:t>.</w:t>
      </w:r>
      <w:r w:rsidR="00FC60FF">
        <w:rPr>
          <w:lang w:eastAsia="zh-CN" w:bidi="hi-IN"/>
        </w:rPr>
        <w:t>This</w:t>
      </w:r>
      <w:proofErr w:type="spellEnd"/>
      <w:r w:rsidRPr="00C67F21">
        <w:rPr>
          <w:lang w:eastAsia="zh-CN" w:bidi="hi-IN"/>
        </w:rPr>
        <w:t xml:space="preserve"> </w:t>
      </w:r>
      <w:r w:rsidR="00FC60FF">
        <w:rPr>
          <w:lang w:eastAsia="zh-CN" w:bidi="hi-IN"/>
        </w:rPr>
        <w:t xml:space="preserve">drives </w:t>
      </w:r>
      <w:r w:rsidR="002E06D2">
        <w:rPr>
          <w:lang w:eastAsia="zh-CN" w:bidi="hi-IN"/>
        </w:rPr>
        <w:t>new</w:t>
      </w:r>
      <w:r w:rsidRPr="00C67F21">
        <w:rPr>
          <w:lang w:eastAsia="zh-CN" w:bidi="hi-IN"/>
        </w:rPr>
        <w:t xml:space="preserve"> investors to </w:t>
      </w:r>
      <w:r w:rsidR="002E06D2">
        <w:rPr>
          <w:lang w:eastAsia="zh-CN" w:bidi="hi-IN"/>
        </w:rPr>
        <w:t>fill theirs</w:t>
      </w:r>
      <w:r w:rsidRPr="00C67F21">
        <w:rPr>
          <w:lang w:eastAsia="zh-CN" w:bidi="hi-IN"/>
        </w:rPr>
        <w:t xml:space="preserve"> money into it and further increase its influence. </w:t>
      </w:r>
      <w:r w:rsidR="007966EC">
        <w:rPr>
          <w:lang w:eastAsia="zh-CN" w:bidi="hi-IN"/>
        </w:rPr>
        <w:t>Rakesh Sharma (2021) states, that “</w:t>
      </w:r>
      <w:r w:rsidRPr="00C67F21">
        <w:rPr>
          <w:lang w:eastAsia="zh-CN" w:bidi="hi-IN"/>
        </w:rPr>
        <w:t>For example, in July 2018, the Tesla was a holding in 106 exchange traded funds (ETFs). By December 2021, it became a holding in 244 ETFs.</w:t>
      </w:r>
      <w:r w:rsidR="007966EC">
        <w:rPr>
          <w:lang w:eastAsia="zh-CN" w:bidi="hi-IN"/>
        </w:rPr>
        <w:t>”</w:t>
      </w:r>
    </w:p>
    <w:p w:rsidR="007966EC" w:rsidRDefault="007966EC" w:rsidP="00C67F21">
      <w:pPr>
        <w:ind w:firstLine="567"/>
        <w:rPr>
          <w:lang w:eastAsia="zh-CN" w:bidi="hi-IN"/>
        </w:rPr>
      </w:pPr>
      <w:r>
        <w:rPr>
          <w:lang w:eastAsia="zh-CN" w:bidi="hi-IN"/>
        </w:rPr>
        <w:t xml:space="preserve">The company’s annual sales grew by 36%, following a final quarter of 2020 that exceeded </w:t>
      </w:r>
      <w:r w:rsidR="00850212">
        <w:rPr>
          <w:lang w:eastAsia="zh-CN" w:bidi="hi-IN"/>
        </w:rPr>
        <w:t>the analysts’ expectations. Tesla delivered the astonishing 499,550 vehicles in 2020.</w:t>
      </w:r>
    </w:p>
    <w:p w:rsidR="00850212" w:rsidRDefault="00850212" w:rsidP="00C67F21">
      <w:pPr>
        <w:ind w:firstLine="567"/>
        <w:rPr>
          <w:lang w:eastAsia="zh-CN" w:bidi="hi-IN"/>
        </w:rPr>
      </w:pPr>
      <w:r>
        <w:rPr>
          <w:lang w:eastAsia="zh-CN" w:bidi="hi-IN"/>
        </w:rPr>
        <w:t xml:space="preserve">Even though the pandemic forced the closure of Tesla’s Fremont US assembly plant in the spring of 2020, Elon Musk incentivized employees to increase production to hit the target by offering free “self-driving” options worth 10 thousand US dollars on Tesla vehicles with paperwork and delivery completed by the end of December 2020. </w:t>
      </w:r>
    </w:p>
    <w:p w:rsidR="00850212" w:rsidRDefault="00850212" w:rsidP="00C67F21">
      <w:pPr>
        <w:ind w:firstLine="567"/>
        <w:rPr>
          <w:lang w:eastAsia="zh-CN" w:bidi="hi-IN"/>
        </w:rPr>
      </w:pPr>
      <w:r>
        <w:rPr>
          <w:lang w:eastAsia="zh-CN" w:bidi="hi-IN"/>
        </w:rPr>
        <w:lastRenderedPageBreak/>
        <w:t xml:space="preserve">The following year was even more impressive for Tesla – annual revenue grew to $53.8 billion compared to $31.5 billion in 2020. As deliveries increased to 936,000 vehicles (87% increase), the company closed 2021 with a fourth quarter worth $17.7 in sales, as well as net income was $2.3 billion compared to $270 million in the fourth quarter of 2020. Generating $4.6 billion in cash in the fourth quarter of 2021, the company closed the year with $17.5 billion cash on hand.  </w:t>
      </w:r>
    </w:p>
    <w:p w:rsidR="00850212" w:rsidRDefault="007D778B" w:rsidP="00C67F21">
      <w:pPr>
        <w:ind w:firstLine="567"/>
        <w:rPr>
          <w:lang w:eastAsia="zh-CN" w:bidi="hi-IN"/>
        </w:rPr>
      </w:pPr>
      <w:r>
        <w:rPr>
          <w:lang w:eastAsia="zh-CN" w:bidi="hi-IN"/>
        </w:rPr>
        <w:t xml:space="preserve">In spite of the computer chips shortage, which affected the entire industry – Tesla obviously managed to experience significant growth. The key change that mitigated the impact of this shortage was switching to more readily available types of chips. The company’s software allows its cars to work with a greater variety of hardware compared to other automakers, hence such change was possible.  </w:t>
      </w:r>
    </w:p>
    <w:p w:rsidR="00DD03EF" w:rsidRDefault="00540B0D" w:rsidP="007A45DC">
      <w:pPr>
        <w:ind w:firstLine="567"/>
        <w:rPr>
          <w:lang w:eastAsia="zh-CN" w:bidi="hi-IN"/>
        </w:rPr>
      </w:pPr>
      <w:r>
        <w:rPr>
          <w:lang w:eastAsia="zh-CN" w:bidi="hi-IN"/>
        </w:rPr>
        <w:t xml:space="preserve">Tesla currently has a very strong position on the US EV market, however it is likely to face some serious competition in 2022. GM, Ford, Hyundai and VW have all announced ambitious plans for the introduction of new EVs in the US. Lucid Motors and </w:t>
      </w:r>
      <w:proofErr w:type="spellStart"/>
      <w:r>
        <w:rPr>
          <w:lang w:eastAsia="zh-CN" w:bidi="hi-IN"/>
        </w:rPr>
        <w:t>Rivian</w:t>
      </w:r>
      <w:proofErr w:type="spellEnd"/>
      <w:r>
        <w:rPr>
          <w:lang w:eastAsia="zh-CN" w:bidi="hi-IN"/>
        </w:rPr>
        <w:t xml:space="preserve"> have also start</w:t>
      </w:r>
      <w:r w:rsidR="00CB7C26">
        <w:rPr>
          <w:lang w:eastAsia="zh-CN" w:bidi="hi-IN"/>
        </w:rPr>
        <w:t>ed</w:t>
      </w:r>
      <w:r>
        <w:rPr>
          <w:lang w:eastAsia="zh-CN" w:bidi="hi-IN"/>
        </w:rPr>
        <w:t xml:space="preserve"> shipping EVs, </w:t>
      </w:r>
      <w:r w:rsidR="00CB7C26">
        <w:rPr>
          <w:lang w:eastAsia="zh-CN" w:bidi="hi-IN"/>
        </w:rPr>
        <w:t>striving</w:t>
      </w:r>
      <w:r>
        <w:rPr>
          <w:lang w:eastAsia="zh-CN" w:bidi="hi-IN"/>
        </w:rPr>
        <w:t xml:space="preserve"> to compete with Tesla. </w:t>
      </w:r>
    </w:p>
    <w:p w:rsidR="0033196D" w:rsidRDefault="0033196D" w:rsidP="007A45DC">
      <w:pPr>
        <w:ind w:firstLine="567"/>
        <w:rPr>
          <w:lang w:eastAsia="zh-CN" w:bidi="hi-IN"/>
        </w:rPr>
      </w:pPr>
    </w:p>
    <w:p w:rsidR="0033196D" w:rsidRDefault="0033196D" w:rsidP="007A45DC">
      <w:pPr>
        <w:ind w:firstLine="567"/>
        <w:rPr>
          <w:lang w:eastAsia="zh-CN" w:bidi="hi-IN"/>
        </w:rPr>
      </w:pPr>
    </w:p>
    <w:p w:rsidR="0033196D" w:rsidRDefault="0033196D" w:rsidP="007A45DC">
      <w:pPr>
        <w:ind w:firstLine="567"/>
        <w:rPr>
          <w:lang w:eastAsia="zh-CN" w:bidi="hi-IN"/>
        </w:rPr>
      </w:pPr>
    </w:p>
    <w:p w:rsidR="0033196D" w:rsidRDefault="0033196D" w:rsidP="007A45DC">
      <w:pPr>
        <w:ind w:firstLine="567"/>
        <w:rPr>
          <w:lang w:eastAsia="zh-CN" w:bidi="hi-IN"/>
        </w:rPr>
      </w:pPr>
    </w:p>
    <w:p w:rsidR="00462CAC" w:rsidRDefault="00462CAC" w:rsidP="007A45DC">
      <w:pPr>
        <w:pStyle w:val="Heading1"/>
        <w:numPr>
          <w:ilvl w:val="0"/>
          <w:numId w:val="1"/>
        </w:numPr>
        <w:spacing w:after="240"/>
        <w:ind w:left="0" w:firstLine="0"/>
        <w:rPr>
          <w:lang w:eastAsia="zh-CN" w:bidi="hi-IN"/>
        </w:rPr>
      </w:pPr>
      <w:bookmarkStart w:id="7" w:name="_Toc102248349"/>
      <w:r>
        <w:rPr>
          <w:lang w:eastAsia="zh-CN" w:bidi="hi-IN"/>
        </w:rPr>
        <w:lastRenderedPageBreak/>
        <w:t>Conclusion</w:t>
      </w:r>
      <w:bookmarkEnd w:id="7"/>
    </w:p>
    <w:p w:rsidR="0005555A" w:rsidRDefault="0005555A" w:rsidP="0005555A">
      <w:pPr>
        <w:ind w:firstLine="567"/>
        <w:rPr>
          <w:lang w:eastAsia="zh-CN" w:bidi="hi-IN"/>
        </w:rPr>
      </w:pPr>
      <w:r>
        <w:rPr>
          <w:lang w:eastAsia="zh-CN" w:bidi="hi-IN"/>
        </w:rPr>
        <w:t xml:space="preserve">One of the key issues for automakers during the COVID-19 pandemic was – how to reach their end-customer in a period of social lockdown, as the traditional dealership and test-drive model became impossible to sustain for a long period of time. This brought significant losses for the industry in terms of car sales and market capitalization, and became a race for all competitors to gain an even greater market share than before by the sights of vehicle giants starting to lose ground. And as more eyes started turning to the screens as ever before, this was an opportunity that the fastest movers in the market took in to account and acted upon. </w:t>
      </w:r>
    </w:p>
    <w:p w:rsidR="00850212" w:rsidRDefault="0005555A" w:rsidP="00557098">
      <w:pPr>
        <w:spacing w:after="360"/>
        <w:ind w:firstLine="567"/>
        <w:rPr>
          <w:lang w:eastAsia="zh-CN" w:bidi="hi-IN"/>
        </w:rPr>
      </w:pPr>
      <w:r>
        <w:rPr>
          <w:lang w:eastAsia="zh-CN" w:bidi="hi-IN"/>
        </w:rPr>
        <w:t xml:space="preserve">On the other hand, the massive shift in the world economy has led to significant supply-chain stoppages and delays, making it even harder for automakers to sustain a lean and effective production. Some key components for the industry were also scarce, which brought the overall cost of production to new heights. </w:t>
      </w:r>
    </w:p>
    <w:p w:rsidR="00D07308" w:rsidRDefault="00D07308" w:rsidP="00557098">
      <w:pPr>
        <w:spacing w:after="360"/>
        <w:ind w:firstLine="567"/>
        <w:rPr>
          <w:lang w:eastAsia="zh-CN" w:bidi="hi-IN"/>
        </w:rPr>
      </w:pPr>
    </w:p>
    <w:p w:rsidR="00D07308" w:rsidRDefault="00D07308" w:rsidP="00557098">
      <w:pPr>
        <w:spacing w:after="360"/>
        <w:ind w:firstLine="567"/>
        <w:rPr>
          <w:lang w:eastAsia="zh-CN" w:bidi="hi-IN"/>
        </w:rPr>
      </w:pPr>
    </w:p>
    <w:p w:rsidR="00D07308" w:rsidRDefault="00D07308" w:rsidP="00557098">
      <w:pPr>
        <w:spacing w:after="360"/>
        <w:ind w:firstLine="567"/>
        <w:rPr>
          <w:lang w:eastAsia="zh-CN" w:bidi="hi-IN"/>
        </w:rPr>
      </w:pPr>
    </w:p>
    <w:p w:rsidR="00D07308" w:rsidRDefault="00D07308" w:rsidP="00557098">
      <w:pPr>
        <w:spacing w:after="360"/>
        <w:ind w:firstLine="567"/>
        <w:rPr>
          <w:lang w:eastAsia="zh-CN" w:bidi="hi-IN"/>
        </w:rPr>
      </w:pPr>
    </w:p>
    <w:p w:rsidR="00D07308" w:rsidRDefault="00D07308" w:rsidP="00557098">
      <w:pPr>
        <w:spacing w:after="360"/>
        <w:ind w:firstLine="567"/>
        <w:rPr>
          <w:lang w:eastAsia="zh-CN" w:bidi="hi-IN"/>
        </w:rPr>
      </w:pPr>
    </w:p>
    <w:p w:rsidR="0033196D" w:rsidRDefault="0033196D" w:rsidP="00557098">
      <w:pPr>
        <w:spacing w:after="360"/>
        <w:ind w:firstLine="567"/>
        <w:rPr>
          <w:lang w:eastAsia="zh-CN" w:bidi="hi-IN"/>
        </w:rPr>
      </w:pPr>
    </w:p>
    <w:p w:rsidR="00C67F21" w:rsidRPr="00C67F21" w:rsidRDefault="00D74165" w:rsidP="0033196D">
      <w:pPr>
        <w:pStyle w:val="Heading1"/>
        <w:numPr>
          <w:ilvl w:val="0"/>
          <w:numId w:val="1"/>
        </w:numPr>
        <w:spacing w:after="120"/>
        <w:ind w:left="0" w:firstLine="0"/>
        <w:rPr>
          <w:rFonts w:eastAsia="NSimSun"/>
          <w:lang w:eastAsia="zh-CN" w:bidi="hi-IN"/>
        </w:rPr>
      </w:pPr>
      <w:bookmarkStart w:id="8" w:name="_Toc102248350"/>
      <w:r>
        <w:rPr>
          <w:lang w:eastAsia="zh-CN" w:bidi="hi-IN"/>
        </w:rPr>
        <w:lastRenderedPageBreak/>
        <w:t>Reference</w:t>
      </w:r>
      <w:r w:rsidR="00D07308">
        <w:rPr>
          <w:lang w:eastAsia="zh-CN" w:bidi="hi-IN"/>
        </w:rPr>
        <w:t xml:space="preserve"> list</w:t>
      </w:r>
      <w:bookmarkEnd w:id="8"/>
    </w:p>
    <w:p w:rsidR="00F3316B" w:rsidRPr="00C67F21" w:rsidRDefault="00F3316B" w:rsidP="00C67F21">
      <w:pPr>
        <w:rPr>
          <w:lang w:eastAsia="zh-CN" w:bidi="hi-IN"/>
        </w:rPr>
      </w:pPr>
      <w:r>
        <w:t xml:space="preserve">Bengt Halvorson (2022), </w:t>
      </w:r>
      <w:r w:rsidRPr="00FB334D">
        <w:rPr>
          <w:i/>
        </w:rPr>
        <w:t>Tesla delivered a record number of EVs in Q1, amid supply-chain struggles.</w:t>
      </w:r>
      <w:r>
        <w:t xml:space="preserve"> Available at: </w:t>
      </w:r>
      <w:hyperlink r:id="rId10" w:history="1">
        <w:r w:rsidRPr="00D74165">
          <w:rPr>
            <w:rStyle w:val="Hyperlink"/>
            <w:lang w:eastAsia="zh-CN" w:bidi="hi-IN"/>
          </w:rPr>
          <w:t>https://www.greencarreports.com/news/1135486_tesla-delivered-a-record-number-of-evs-in-q1-amid-supply-chain-struggles</w:t>
        </w:r>
      </w:hyperlink>
      <w:r>
        <w:rPr>
          <w:rStyle w:val="Hyperlink"/>
          <w:lang w:eastAsia="zh-CN" w:bidi="hi-IN"/>
        </w:rPr>
        <w:t xml:space="preserve"> </w:t>
      </w:r>
      <w:r w:rsidRPr="00E92FEF">
        <w:rPr>
          <w:lang w:eastAsia="zh-CN" w:bidi="hi-IN"/>
        </w:rPr>
        <w:t>(Accessed: 28 April 2022)</w:t>
      </w:r>
    </w:p>
    <w:p w:rsidR="00F3316B" w:rsidRPr="00C67F21" w:rsidRDefault="00F3316B" w:rsidP="00C67F21">
      <w:pPr>
        <w:rPr>
          <w:lang w:eastAsia="zh-CN" w:bidi="hi-IN"/>
        </w:rPr>
      </w:pPr>
      <w:r>
        <w:t xml:space="preserve">Congressional Research Service (2021), </w:t>
      </w:r>
      <w:r w:rsidRPr="00FB334D">
        <w:rPr>
          <w:i/>
        </w:rPr>
        <w:t xml:space="preserve">Global Economic Effects of COVID-19. </w:t>
      </w:r>
      <w:r>
        <w:t xml:space="preserve">Available at: </w:t>
      </w:r>
      <w:hyperlink r:id="rId11" w:history="1">
        <w:r w:rsidRPr="00D74165">
          <w:rPr>
            <w:rStyle w:val="Hyperlink"/>
            <w:lang w:eastAsia="zh-CN" w:bidi="hi-IN"/>
          </w:rPr>
          <w:t>https://sgp.fas.org/crs/row/R46270.pdf</w:t>
        </w:r>
      </w:hyperlink>
      <w:r>
        <w:rPr>
          <w:rStyle w:val="Hyperlink"/>
          <w:lang w:eastAsia="zh-CN" w:bidi="hi-IN"/>
        </w:rPr>
        <w:t xml:space="preserve"> </w:t>
      </w:r>
      <w:r w:rsidRPr="00E92FEF">
        <w:rPr>
          <w:lang w:eastAsia="zh-CN" w:bidi="hi-IN"/>
        </w:rPr>
        <w:t>(Accessed: 28 April 2022)</w:t>
      </w:r>
    </w:p>
    <w:p w:rsidR="00F3316B" w:rsidRPr="00C67F21" w:rsidRDefault="00987165" w:rsidP="00C67F21">
      <w:pPr>
        <w:rPr>
          <w:lang w:eastAsia="zh-CN" w:bidi="hi-IN"/>
        </w:rPr>
      </w:pPr>
      <w:hyperlink r:id="rId12" w:history="1">
        <w:r w:rsidR="00F3316B" w:rsidRPr="00D74165">
          <w:rPr>
            <w:rStyle w:val="Hyperlink"/>
            <w:lang w:eastAsia="zh-CN" w:bidi="hi-IN"/>
          </w:rPr>
          <w:t>https://www.nytimes.com/2020/07/02/business/tesla-sales-second-quarter.html</w:t>
        </w:r>
      </w:hyperlink>
    </w:p>
    <w:p w:rsidR="00F3316B" w:rsidRPr="00C67F21" w:rsidRDefault="00F3316B" w:rsidP="00C67F21">
      <w:pPr>
        <w:rPr>
          <w:lang w:eastAsia="zh-CN" w:bidi="hi-IN"/>
        </w:rPr>
      </w:pPr>
      <w:r w:rsidRPr="00E92FEF">
        <w:rPr>
          <w:lang w:eastAsia="zh-CN" w:bidi="hi-IN"/>
        </w:rPr>
        <w:t>IEA (2021), </w:t>
      </w:r>
      <w:r w:rsidRPr="00397925">
        <w:rPr>
          <w:i/>
          <w:lang w:eastAsia="zh-CN" w:bidi="hi-IN"/>
        </w:rPr>
        <w:t>How global electric car sales defied Covid-19 in 2020, IEA, Paris</w:t>
      </w:r>
      <w:r>
        <w:rPr>
          <w:lang w:eastAsia="zh-CN" w:bidi="hi-IN"/>
        </w:rPr>
        <w:t>.</w:t>
      </w:r>
      <w:r w:rsidRPr="00E92FEF">
        <w:rPr>
          <w:lang w:eastAsia="zh-CN" w:bidi="hi-IN"/>
        </w:rPr>
        <w:t xml:space="preserve"> Available at: </w:t>
      </w:r>
      <w:hyperlink r:id="rId13" w:history="1">
        <w:r w:rsidRPr="00E92FEF">
          <w:rPr>
            <w:rStyle w:val="Hyperlink"/>
            <w:rFonts w:cs="Times New Roman"/>
            <w:lang w:eastAsia="zh-CN" w:bidi="hi-IN"/>
          </w:rPr>
          <w:t>https://www.iea.org/commentaries/how-global-electric-car-sales-defied-covid-19-in-2020</w:t>
        </w:r>
      </w:hyperlink>
      <w:r w:rsidRPr="00E92FEF">
        <w:rPr>
          <w:rStyle w:val="Hyperlink"/>
          <w:lang w:eastAsia="zh-CN" w:bidi="hi-IN"/>
        </w:rPr>
        <w:t xml:space="preserve"> </w:t>
      </w:r>
      <w:r w:rsidRPr="00E92FEF">
        <w:rPr>
          <w:rFonts w:cs="Arial"/>
          <w:color w:val="000000"/>
          <w:sz w:val="26"/>
          <w:szCs w:val="26"/>
          <w:shd w:val="clear" w:color="auto" w:fill="FFFFFF"/>
        </w:rPr>
        <w:t xml:space="preserve"> </w:t>
      </w:r>
      <w:r w:rsidRPr="00E92FEF">
        <w:rPr>
          <w:lang w:eastAsia="zh-CN" w:bidi="hi-IN"/>
        </w:rPr>
        <w:t>(Accessed: 28 April 2022)</w:t>
      </w:r>
    </w:p>
    <w:p w:rsidR="00F3316B" w:rsidRPr="00C67F21" w:rsidRDefault="00F3316B" w:rsidP="00C67F21">
      <w:pPr>
        <w:rPr>
          <w:lang w:eastAsia="zh-CN" w:bidi="hi-IN"/>
        </w:rPr>
      </w:pPr>
      <w:r>
        <w:t xml:space="preserve">Kevin Adler (2021), Global </w:t>
      </w:r>
      <w:proofErr w:type="spellStart"/>
      <w:r>
        <w:t>electriv</w:t>
      </w:r>
      <w:proofErr w:type="spellEnd"/>
      <w:r>
        <w:t xml:space="preserve"> vehicle sales grew 41% in 2020, more growth coming through decade: IEA. Available at: </w:t>
      </w:r>
      <w:hyperlink r:id="rId14" w:history="1">
        <w:r w:rsidRPr="00D74165">
          <w:rPr>
            <w:rStyle w:val="Hyperlink"/>
            <w:lang w:eastAsia="zh-CN" w:bidi="hi-IN"/>
          </w:rPr>
          <w:t>https://cleanenergynews.ihsmarkit.com/research-analysis/global-electric-vehicle-sales-grew-41-in-2020-more-growth-comi.html</w:t>
        </w:r>
      </w:hyperlink>
      <w:r>
        <w:rPr>
          <w:rStyle w:val="Hyperlink"/>
          <w:lang w:eastAsia="zh-CN" w:bidi="hi-IN"/>
        </w:rPr>
        <w:t xml:space="preserve"> </w:t>
      </w:r>
      <w:r w:rsidRPr="00E92FEF">
        <w:rPr>
          <w:lang w:eastAsia="zh-CN" w:bidi="hi-IN"/>
        </w:rPr>
        <w:t>(Accessed: 28 April 2022)</w:t>
      </w:r>
    </w:p>
    <w:p w:rsidR="00F3316B" w:rsidRPr="00C67F21" w:rsidRDefault="00F3316B" w:rsidP="00C67F21">
      <w:pPr>
        <w:rPr>
          <w:lang w:eastAsia="zh-CN" w:bidi="hi-IN"/>
        </w:rPr>
      </w:pPr>
      <w:proofErr w:type="spellStart"/>
      <w:r>
        <w:t>Knauf</w:t>
      </w:r>
      <w:proofErr w:type="spellEnd"/>
      <w:r>
        <w:t xml:space="preserve"> (2021), New trends and developments in global automotive industry versus COVID-19. Available at: </w:t>
      </w:r>
      <w:hyperlink r:id="rId15" w:history="1">
        <w:r w:rsidRPr="00D74165">
          <w:rPr>
            <w:rStyle w:val="Hyperlink"/>
            <w:lang w:eastAsia="zh-CN" w:bidi="hi-IN"/>
          </w:rPr>
          <w:t>https://knaufautomotive.com/new-trends-and-developments-in-global-automotive-industry-versus-covid-19/</w:t>
        </w:r>
      </w:hyperlink>
      <w:r>
        <w:rPr>
          <w:rStyle w:val="Hyperlink"/>
          <w:lang w:eastAsia="zh-CN" w:bidi="hi-IN"/>
        </w:rPr>
        <w:t xml:space="preserve"> </w:t>
      </w:r>
      <w:r w:rsidRPr="00E92FEF">
        <w:rPr>
          <w:lang w:eastAsia="zh-CN" w:bidi="hi-IN"/>
        </w:rPr>
        <w:t>(Accessed: 28 April 2022)</w:t>
      </w:r>
    </w:p>
    <w:p w:rsidR="00F3316B" w:rsidRPr="00C67F21" w:rsidRDefault="00F3316B" w:rsidP="00C67F21">
      <w:pPr>
        <w:rPr>
          <w:lang w:eastAsia="zh-CN" w:bidi="hi-IN"/>
        </w:rPr>
      </w:pPr>
      <w:r>
        <w:t xml:space="preserve">McKinsey Quarterly (2021), How the automotive industry is accelerating out of the turn. Available at: </w:t>
      </w:r>
      <w:hyperlink r:id="rId16" w:history="1">
        <w:r w:rsidRPr="00D74165">
          <w:rPr>
            <w:rStyle w:val="Hyperlink"/>
            <w:lang w:eastAsia="zh-CN" w:bidi="hi-IN"/>
          </w:rPr>
          <w:t>https://www.mckinsey.com/industries/automotive-</w:t>
        </w:r>
        <w:r w:rsidRPr="00D74165">
          <w:rPr>
            <w:rStyle w:val="Hyperlink"/>
            <w:lang w:eastAsia="zh-CN" w:bidi="hi-IN"/>
          </w:rPr>
          <w:lastRenderedPageBreak/>
          <w:t>and-assembly/our-insights/how-the-automotive-industry-is-accelerating-out-of-the-turn</w:t>
        </w:r>
      </w:hyperlink>
      <w:r>
        <w:rPr>
          <w:rStyle w:val="Hyperlink"/>
          <w:lang w:eastAsia="zh-CN" w:bidi="hi-IN"/>
        </w:rPr>
        <w:t xml:space="preserve"> </w:t>
      </w:r>
      <w:r w:rsidRPr="00E92FEF">
        <w:rPr>
          <w:lang w:eastAsia="zh-CN" w:bidi="hi-IN"/>
        </w:rPr>
        <w:t>(Accessed: 28 April 2022)</w:t>
      </w:r>
    </w:p>
    <w:p w:rsidR="00F3316B" w:rsidRPr="00D74165" w:rsidRDefault="00F3316B" w:rsidP="00C67F21">
      <w:pPr>
        <w:rPr>
          <w:lang w:val="bg-BG" w:eastAsia="zh-CN" w:bidi="hi-IN"/>
        </w:rPr>
      </w:pPr>
      <w:r>
        <w:t xml:space="preserve">Rakesh Sharma (2021), </w:t>
      </w:r>
      <w:r w:rsidRPr="00397925">
        <w:rPr>
          <w:i/>
        </w:rPr>
        <w:t>Why Tesla (TSLA) Skyrocketed During the Pandemic.</w:t>
      </w:r>
      <w:r>
        <w:t xml:space="preserve"> Available at:  </w:t>
      </w:r>
      <w:hyperlink r:id="rId17" w:history="1">
        <w:r w:rsidRPr="00D74165">
          <w:rPr>
            <w:rStyle w:val="Hyperlink"/>
            <w:lang w:eastAsia="zh-CN" w:bidi="hi-IN"/>
          </w:rPr>
          <w:t>https://www.investopedia.com/why-tesla-skyrocketed-during-pandemic-5211590</w:t>
        </w:r>
      </w:hyperlink>
      <w:r>
        <w:rPr>
          <w:rStyle w:val="Hyperlink"/>
          <w:lang w:eastAsia="zh-CN" w:bidi="hi-IN"/>
        </w:rPr>
        <w:t xml:space="preserve">  </w:t>
      </w:r>
      <w:r w:rsidRPr="00E92FEF">
        <w:rPr>
          <w:lang w:eastAsia="zh-CN" w:bidi="hi-IN"/>
        </w:rPr>
        <w:t>(Accessed: 28 April 2022)</w:t>
      </w:r>
    </w:p>
    <w:p w:rsidR="00F3316B" w:rsidRPr="00C67F21" w:rsidRDefault="00F3316B" w:rsidP="00C67F21">
      <w:pPr>
        <w:rPr>
          <w:lang w:eastAsia="zh-CN" w:bidi="hi-IN"/>
        </w:rPr>
      </w:pPr>
      <w:r>
        <w:t xml:space="preserve">Sigrid de </w:t>
      </w:r>
      <w:proofErr w:type="spellStart"/>
      <w:r>
        <w:t>Vries</w:t>
      </w:r>
      <w:proofErr w:type="spellEnd"/>
      <w:r>
        <w:t xml:space="preserve"> (2021), </w:t>
      </w:r>
      <w:r w:rsidRPr="002746D0">
        <w:rPr>
          <w:i/>
        </w:rPr>
        <w:t xml:space="preserve">Green Deal and cars: European Commission chooses haste over prudence – Newsletter Editorial July 2021. </w:t>
      </w:r>
      <w:r>
        <w:t xml:space="preserve">Available at: </w:t>
      </w:r>
      <w:hyperlink r:id="rId18" w:history="1">
        <w:r w:rsidRPr="00D74165">
          <w:rPr>
            <w:rStyle w:val="Hyperlink"/>
            <w:lang w:eastAsia="zh-CN" w:bidi="hi-IN"/>
          </w:rPr>
          <w:t>https://clepa.eu/mediaroom/green-deal-and-cars-european-commission-choses-haste-over-prudence-newsletter-editorial-july-2021/</w:t>
        </w:r>
      </w:hyperlink>
      <w:r>
        <w:rPr>
          <w:rStyle w:val="Hyperlink"/>
          <w:lang w:eastAsia="zh-CN" w:bidi="hi-IN"/>
        </w:rPr>
        <w:t xml:space="preserve"> </w:t>
      </w:r>
      <w:r w:rsidRPr="00E92FEF">
        <w:rPr>
          <w:lang w:eastAsia="zh-CN" w:bidi="hi-IN"/>
        </w:rPr>
        <w:t>(Accessed: 28 April 2022)</w:t>
      </w:r>
    </w:p>
    <w:p w:rsidR="00F3316B" w:rsidRPr="00C67F21" w:rsidRDefault="00F3316B" w:rsidP="00C67F21">
      <w:pPr>
        <w:rPr>
          <w:lang w:eastAsia="zh-CN" w:bidi="hi-IN"/>
        </w:rPr>
      </w:pPr>
      <w:r>
        <w:t xml:space="preserve">Tesla 2020 Impact Report. Available at: </w:t>
      </w:r>
      <w:hyperlink r:id="rId19" w:history="1">
        <w:r w:rsidRPr="00D74165">
          <w:rPr>
            <w:rStyle w:val="Hyperlink"/>
            <w:lang w:eastAsia="zh-CN" w:bidi="hi-IN"/>
          </w:rPr>
          <w:t>https://www.tesla.com/ns_videos/2020-tesla-impact-report.pdf</w:t>
        </w:r>
      </w:hyperlink>
      <w:r>
        <w:rPr>
          <w:rStyle w:val="Hyperlink"/>
          <w:lang w:eastAsia="zh-CN" w:bidi="hi-IN"/>
        </w:rPr>
        <w:t xml:space="preserve"> </w:t>
      </w:r>
      <w:r w:rsidRPr="00E92FEF">
        <w:rPr>
          <w:lang w:eastAsia="zh-CN" w:bidi="hi-IN"/>
        </w:rPr>
        <w:t>(Accessed: 28 April 2022)</w:t>
      </w:r>
    </w:p>
    <w:p w:rsidR="00AB7570" w:rsidRDefault="00F3316B">
      <w:pPr>
        <w:rPr>
          <w:lang w:eastAsia="zh-CN" w:bidi="hi-IN"/>
        </w:rPr>
      </w:pPr>
      <w:r>
        <w:t xml:space="preserve">The Guardian (2021), </w:t>
      </w:r>
      <w:r w:rsidRPr="00397925">
        <w:rPr>
          <w:i/>
        </w:rPr>
        <w:t>Tesla almost hits 500,000-car delivery target for 2020 despite pandemic.</w:t>
      </w:r>
      <w:r>
        <w:t xml:space="preserve"> Available at: </w:t>
      </w:r>
      <w:hyperlink r:id="rId20" w:history="1">
        <w:r w:rsidRPr="00D74165">
          <w:rPr>
            <w:rStyle w:val="Hyperlink"/>
            <w:lang w:eastAsia="zh-CN" w:bidi="hi-IN"/>
          </w:rPr>
          <w:t>https://www.theguardian.com/technology/2021/jan/03/tesla-almost-hits-500000-car-delivery-target-for-2020-despite-pandemic</w:t>
        </w:r>
      </w:hyperlink>
      <w:r>
        <w:rPr>
          <w:rStyle w:val="Hyperlink"/>
          <w:lang w:eastAsia="zh-CN" w:bidi="hi-IN"/>
        </w:rPr>
        <w:t xml:space="preserve"> </w:t>
      </w:r>
      <w:r w:rsidRPr="00E92FEF">
        <w:rPr>
          <w:lang w:eastAsia="zh-CN" w:bidi="hi-IN"/>
        </w:rPr>
        <w:t>(Accessed: 28 April 2022)</w:t>
      </w:r>
    </w:p>
    <w:sectPr w:rsidR="00AB7570" w:rsidSect="00801376">
      <w:headerReference w:type="even" r:id="rId21"/>
      <w:headerReference w:type="default" r:id="rId22"/>
      <w:footerReference w:type="default" r:id="rId23"/>
      <w:pgSz w:w="12240" w:h="15840"/>
      <w:pgMar w:top="1417" w:right="1417" w:bottom="1417" w:left="1417"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987165" w:rsidRDefault="00987165" w:rsidP="00AB1343">
      <w:pPr>
        <w:spacing w:after="0" w:line="240" w:lineRule="auto"/>
      </w:pPr>
      <w:r>
        <w:separator/>
      </w:r>
    </w:p>
  </w:endnote>
  <w:endnote w:type="continuationSeparator" w:id="0">
    <w:p w:rsidR="00987165" w:rsidRDefault="00987165" w:rsidP="00AB134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SimSun">
    <w:altName w:val="宋体"/>
    <w:panose1 w:val="02010600030101010101"/>
    <w:charset w:val="86"/>
    <w:family w:val="auto"/>
    <w:notTrueType/>
    <w:pitch w:val="variable"/>
    <w:sig w:usb0="00000203" w:usb1="288F0000" w:usb2="00000016" w:usb3="00000000" w:csb0="00040001"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Montserrat Medium">
    <w:panose1 w:val="00000600000000000000"/>
    <w:charset w:val="00"/>
    <w:family w:val="auto"/>
    <w:pitch w:val="variable"/>
    <w:sig w:usb0="2000020F" w:usb1="00000003" w:usb2="00000000" w:usb3="00000000" w:csb0="00000197" w:csb1="00000000"/>
  </w:font>
  <w:font w:name="NSimSun">
    <w:panose1 w:val="02010609030101010101"/>
    <w:charset w:val="86"/>
    <w:family w:val="modern"/>
    <w:pitch w:val="fixed"/>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40549876"/>
      <w:docPartObj>
        <w:docPartGallery w:val="Page Numbers (Bottom of Page)"/>
        <w:docPartUnique/>
      </w:docPartObj>
    </w:sdtPr>
    <w:sdtEndPr>
      <w:rPr>
        <w:noProof/>
      </w:rPr>
    </w:sdtEndPr>
    <w:sdtContent>
      <w:p w:rsidR="0005555A" w:rsidRDefault="0005555A">
        <w:pPr>
          <w:pStyle w:val="Footer"/>
          <w:jc w:val="center"/>
        </w:pPr>
        <w:r>
          <w:fldChar w:fldCharType="begin"/>
        </w:r>
        <w:r>
          <w:instrText xml:space="preserve"> PAGE   \* MERGEFORMAT </w:instrText>
        </w:r>
        <w:r>
          <w:fldChar w:fldCharType="separate"/>
        </w:r>
        <w:r w:rsidR="001628B8">
          <w:rPr>
            <w:noProof/>
          </w:rPr>
          <w:t>2</w:t>
        </w:r>
        <w:r>
          <w:rPr>
            <w:noProof/>
          </w:rPr>
          <w:fldChar w:fldCharType="end"/>
        </w:r>
      </w:p>
    </w:sdtContent>
  </w:sdt>
  <w:p w:rsidR="0005555A" w:rsidRDefault="0005555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987165" w:rsidRDefault="00987165" w:rsidP="00AB1343">
      <w:pPr>
        <w:spacing w:after="0" w:line="240" w:lineRule="auto"/>
      </w:pPr>
      <w:r>
        <w:separator/>
      </w:r>
    </w:p>
  </w:footnote>
  <w:footnote w:type="continuationSeparator" w:id="0">
    <w:p w:rsidR="00987165" w:rsidRDefault="00987165" w:rsidP="00AB134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05555A" w:rsidRDefault="0005555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05555A" w:rsidRDefault="0005555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EEA780B"/>
    <w:multiLevelType w:val="multilevel"/>
    <w:tmpl w:val="82B24DAC"/>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440" w:hanging="1080"/>
      </w:pPr>
      <w:rPr>
        <w:rFonts w:hint="default"/>
      </w:rPr>
    </w:lvl>
    <w:lvl w:ilvl="3">
      <w:start w:val="1"/>
      <w:numFmt w:val="decimal"/>
      <w:isLgl/>
      <w:lvlText w:val="%1.%2.%3.%4."/>
      <w:lvlJc w:val="left"/>
      <w:pPr>
        <w:ind w:left="1800" w:hanging="1440"/>
      </w:pPr>
      <w:rPr>
        <w:rFonts w:hint="default"/>
      </w:rPr>
    </w:lvl>
    <w:lvl w:ilvl="4">
      <w:start w:val="1"/>
      <w:numFmt w:val="decimal"/>
      <w:isLgl/>
      <w:lvlText w:val="%1.%2.%3.%4.%5."/>
      <w:lvlJc w:val="left"/>
      <w:pPr>
        <w:ind w:left="2160" w:hanging="1800"/>
      </w:pPr>
      <w:rPr>
        <w:rFonts w:hint="default"/>
      </w:rPr>
    </w:lvl>
    <w:lvl w:ilvl="5">
      <w:start w:val="1"/>
      <w:numFmt w:val="decimal"/>
      <w:isLgl/>
      <w:lvlText w:val="%1.%2.%3.%4.%5.%6."/>
      <w:lvlJc w:val="left"/>
      <w:pPr>
        <w:ind w:left="2520" w:hanging="2160"/>
      </w:pPr>
      <w:rPr>
        <w:rFonts w:hint="default"/>
      </w:rPr>
    </w:lvl>
    <w:lvl w:ilvl="6">
      <w:start w:val="1"/>
      <w:numFmt w:val="decimal"/>
      <w:isLgl/>
      <w:lvlText w:val="%1.%2.%3.%4.%5.%6.%7."/>
      <w:lvlJc w:val="left"/>
      <w:pPr>
        <w:ind w:left="2520" w:hanging="2160"/>
      </w:pPr>
      <w:rPr>
        <w:rFonts w:hint="default"/>
      </w:rPr>
    </w:lvl>
    <w:lvl w:ilvl="7">
      <w:start w:val="1"/>
      <w:numFmt w:val="decimal"/>
      <w:isLgl/>
      <w:lvlText w:val="%1.%2.%3.%4.%5.%6.%7.%8."/>
      <w:lvlJc w:val="left"/>
      <w:pPr>
        <w:ind w:left="2880" w:hanging="2520"/>
      </w:pPr>
      <w:rPr>
        <w:rFonts w:hint="default"/>
      </w:rPr>
    </w:lvl>
    <w:lvl w:ilvl="8">
      <w:start w:val="1"/>
      <w:numFmt w:val="decimal"/>
      <w:isLgl/>
      <w:lvlText w:val="%1.%2.%3.%4.%5.%6.%7.%8.%9."/>
      <w:lvlJc w:val="left"/>
      <w:pPr>
        <w:ind w:left="3240" w:hanging="288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8"/>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372CF"/>
    <w:rsid w:val="0005555A"/>
    <w:rsid w:val="0006501E"/>
    <w:rsid w:val="00087421"/>
    <w:rsid w:val="00087627"/>
    <w:rsid w:val="000C7F0A"/>
    <w:rsid w:val="000F0BB0"/>
    <w:rsid w:val="000F2DF9"/>
    <w:rsid w:val="0011111C"/>
    <w:rsid w:val="0015558C"/>
    <w:rsid w:val="001628B8"/>
    <w:rsid w:val="001D2946"/>
    <w:rsid w:val="0025068F"/>
    <w:rsid w:val="002746D0"/>
    <w:rsid w:val="002A2021"/>
    <w:rsid w:val="002C1073"/>
    <w:rsid w:val="002E06D2"/>
    <w:rsid w:val="002F4323"/>
    <w:rsid w:val="003056CF"/>
    <w:rsid w:val="0033196D"/>
    <w:rsid w:val="003372CF"/>
    <w:rsid w:val="003553B8"/>
    <w:rsid w:val="0038795E"/>
    <w:rsid w:val="00397925"/>
    <w:rsid w:val="003B7719"/>
    <w:rsid w:val="00414B6C"/>
    <w:rsid w:val="0045177D"/>
    <w:rsid w:val="00462CAC"/>
    <w:rsid w:val="0046437E"/>
    <w:rsid w:val="00493E1B"/>
    <w:rsid w:val="00506BC0"/>
    <w:rsid w:val="00522876"/>
    <w:rsid w:val="00540B0D"/>
    <w:rsid w:val="00557098"/>
    <w:rsid w:val="00586C26"/>
    <w:rsid w:val="005D5DE1"/>
    <w:rsid w:val="00607AD1"/>
    <w:rsid w:val="00637717"/>
    <w:rsid w:val="006408FD"/>
    <w:rsid w:val="00642C15"/>
    <w:rsid w:val="00654063"/>
    <w:rsid w:val="00684504"/>
    <w:rsid w:val="00727670"/>
    <w:rsid w:val="007367F6"/>
    <w:rsid w:val="007966EC"/>
    <w:rsid w:val="007A1D11"/>
    <w:rsid w:val="007A20BA"/>
    <w:rsid w:val="007A45DC"/>
    <w:rsid w:val="007B7C7F"/>
    <w:rsid w:val="007D778B"/>
    <w:rsid w:val="00801376"/>
    <w:rsid w:val="008126A6"/>
    <w:rsid w:val="00850212"/>
    <w:rsid w:val="00884F38"/>
    <w:rsid w:val="008B5F35"/>
    <w:rsid w:val="008F16BE"/>
    <w:rsid w:val="009314B6"/>
    <w:rsid w:val="00951E9C"/>
    <w:rsid w:val="0096514F"/>
    <w:rsid w:val="00987165"/>
    <w:rsid w:val="009A6DF7"/>
    <w:rsid w:val="009B0F23"/>
    <w:rsid w:val="009D1FC9"/>
    <w:rsid w:val="00A41C30"/>
    <w:rsid w:val="00A5064C"/>
    <w:rsid w:val="00AB1343"/>
    <w:rsid w:val="00AB7570"/>
    <w:rsid w:val="00B756A8"/>
    <w:rsid w:val="00B87DE4"/>
    <w:rsid w:val="00B979A5"/>
    <w:rsid w:val="00BF18A2"/>
    <w:rsid w:val="00C22898"/>
    <w:rsid w:val="00C3388D"/>
    <w:rsid w:val="00C67F21"/>
    <w:rsid w:val="00C95587"/>
    <w:rsid w:val="00CB346C"/>
    <w:rsid w:val="00CB7404"/>
    <w:rsid w:val="00CB7C26"/>
    <w:rsid w:val="00CE24D7"/>
    <w:rsid w:val="00D07308"/>
    <w:rsid w:val="00D10E54"/>
    <w:rsid w:val="00D278B4"/>
    <w:rsid w:val="00D3237B"/>
    <w:rsid w:val="00D74165"/>
    <w:rsid w:val="00DA1192"/>
    <w:rsid w:val="00DB5B81"/>
    <w:rsid w:val="00DD03EF"/>
    <w:rsid w:val="00DD33C5"/>
    <w:rsid w:val="00E06E65"/>
    <w:rsid w:val="00E122AC"/>
    <w:rsid w:val="00E43D11"/>
    <w:rsid w:val="00E51649"/>
    <w:rsid w:val="00E550EC"/>
    <w:rsid w:val="00E92FEF"/>
    <w:rsid w:val="00EA35CA"/>
    <w:rsid w:val="00EB3B76"/>
    <w:rsid w:val="00EC270D"/>
    <w:rsid w:val="00ED1E2E"/>
    <w:rsid w:val="00ED3CCB"/>
    <w:rsid w:val="00F0376B"/>
    <w:rsid w:val="00F32CCF"/>
    <w:rsid w:val="00F3316B"/>
    <w:rsid w:val="00F56147"/>
    <w:rsid w:val="00FA05CB"/>
    <w:rsid w:val="00FB136D"/>
    <w:rsid w:val="00FB334D"/>
    <w:rsid w:val="00FC60FF"/>
    <w:rsid w:val="00FF109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75E9E7B"/>
  <w15:chartTrackingRefBased/>
  <w15:docId w15:val="{FB70A429-FF85-4A09-9328-5B89845A4F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SimSun"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07308"/>
    <w:pPr>
      <w:spacing w:line="360" w:lineRule="auto"/>
      <w:jc w:val="both"/>
    </w:pPr>
    <w:rPr>
      <w:rFonts w:ascii="Arial" w:hAnsi="Arial"/>
      <w:color w:val="000000" w:themeColor="text1"/>
      <w:sz w:val="28"/>
    </w:rPr>
  </w:style>
  <w:style w:type="paragraph" w:styleId="Heading1">
    <w:name w:val="heading 1"/>
    <w:basedOn w:val="Normal"/>
    <w:next w:val="Normal"/>
    <w:link w:val="Heading1Char"/>
    <w:uiPriority w:val="9"/>
    <w:qFormat/>
    <w:rsid w:val="00727670"/>
    <w:pPr>
      <w:keepNext/>
      <w:keepLines/>
      <w:spacing w:before="240" w:after="0"/>
      <w:outlineLvl w:val="0"/>
    </w:pPr>
    <w:rPr>
      <w:rFonts w:eastAsiaTheme="majorEastAsia" w:cstheme="majorBidi"/>
      <w:b/>
      <w:color w:val="1F4E79" w:themeColor="accent1" w:themeShade="80"/>
      <w:sz w:val="40"/>
      <w:szCs w:val="32"/>
    </w:rPr>
  </w:style>
  <w:style w:type="paragraph" w:styleId="Heading2">
    <w:name w:val="heading 2"/>
    <w:basedOn w:val="Normal"/>
    <w:next w:val="Normal"/>
    <w:link w:val="Heading2Char"/>
    <w:uiPriority w:val="9"/>
    <w:unhideWhenUsed/>
    <w:qFormat/>
    <w:rsid w:val="00727670"/>
    <w:pPr>
      <w:keepNext/>
      <w:keepLines/>
      <w:spacing w:before="40" w:after="0"/>
      <w:outlineLvl w:val="1"/>
    </w:pPr>
    <w:rPr>
      <w:rFonts w:eastAsiaTheme="majorEastAsia" w:cstheme="majorBidi"/>
      <w:b/>
      <w:color w:val="1F4E79" w:themeColor="accent1" w:themeShade="80"/>
      <w:sz w:val="36"/>
      <w:szCs w:val="26"/>
    </w:rPr>
  </w:style>
  <w:style w:type="paragraph" w:styleId="Heading3">
    <w:name w:val="heading 3"/>
    <w:basedOn w:val="Normal"/>
    <w:next w:val="Normal"/>
    <w:link w:val="Heading3Char"/>
    <w:uiPriority w:val="9"/>
    <w:unhideWhenUsed/>
    <w:qFormat/>
    <w:rsid w:val="00727670"/>
    <w:pPr>
      <w:keepNext/>
      <w:keepLines/>
      <w:spacing w:before="40" w:after="0"/>
      <w:outlineLvl w:val="2"/>
    </w:pPr>
    <w:rPr>
      <w:rFonts w:eastAsiaTheme="majorEastAsia" w:cstheme="majorBidi"/>
      <w:b/>
      <w:color w:val="1F4E79" w:themeColor="accent1" w:themeShade="80"/>
      <w:sz w:val="32"/>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01376"/>
    <w:pPr>
      <w:spacing w:after="0" w:line="240" w:lineRule="auto"/>
    </w:pPr>
    <w:rPr>
      <w:rFonts w:eastAsiaTheme="minorEastAsia"/>
    </w:rPr>
  </w:style>
  <w:style w:type="character" w:customStyle="1" w:styleId="NoSpacingChar">
    <w:name w:val="No Spacing Char"/>
    <w:basedOn w:val="DefaultParagraphFont"/>
    <w:link w:val="NoSpacing"/>
    <w:uiPriority w:val="1"/>
    <w:rsid w:val="00801376"/>
    <w:rPr>
      <w:rFonts w:eastAsiaTheme="minorEastAsia"/>
    </w:rPr>
  </w:style>
  <w:style w:type="paragraph" w:styleId="Header">
    <w:name w:val="header"/>
    <w:basedOn w:val="Normal"/>
    <w:link w:val="HeaderChar"/>
    <w:uiPriority w:val="99"/>
    <w:unhideWhenUsed/>
    <w:rsid w:val="00AB1343"/>
    <w:pPr>
      <w:tabs>
        <w:tab w:val="center" w:pos="4703"/>
        <w:tab w:val="right" w:pos="9406"/>
      </w:tabs>
      <w:spacing w:after="0" w:line="240" w:lineRule="auto"/>
    </w:pPr>
  </w:style>
  <w:style w:type="character" w:customStyle="1" w:styleId="HeaderChar">
    <w:name w:val="Header Char"/>
    <w:basedOn w:val="DefaultParagraphFont"/>
    <w:link w:val="Header"/>
    <w:uiPriority w:val="99"/>
    <w:rsid w:val="00AB1343"/>
  </w:style>
  <w:style w:type="paragraph" w:styleId="Footer">
    <w:name w:val="footer"/>
    <w:basedOn w:val="Normal"/>
    <w:link w:val="FooterChar"/>
    <w:uiPriority w:val="99"/>
    <w:unhideWhenUsed/>
    <w:rsid w:val="00AB1343"/>
    <w:pPr>
      <w:tabs>
        <w:tab w:val="center" w:pos="4703"/>
        <w:tab w:val="right" w:pos="9406"/>
      </w:tabs>
      <w:spacing w:after="0" w:line="240" w:lineRule="auto"/>
    </w:pPr>
  </w:style>
  <w:style w:type="character" w:customStyle="1" w:styleId="FooterChar">
    <w:name w:val="Footer Char"/>
    <w:basedOn w:val="DefaultParagraphFont"/>
    <w:link w:val="Footer"/>
    <w:uiPriority w:val="99"/>
    <w:rsid w:val="00AB1343"/>
  </w:style>
  <w:style w:type="character" w:customStyle="1" w:styleId="Heading1Char">
    <w:name w:val="Heading 1 Char"/>
    <w:basedOn w:val="DefaultParagraphFont"/>
    <w:link w:val="Heading1"/>
    <w:uiPriority w:val="9"/>
    <w:rsid w:val="00727670"/>
    <w:rPr>
      <w:rFonts w:ascii="Arial" w:eastAsiaTheme="majorEastAsia" w:hAnsi="Arial" w:cstheme="majorBidi"/>
      <w:b/>
      <w:color w:val="1F4E79" w:themeColor="accent1" w:themeShade="80"/>
      <w:sz w:val="40"/>
      <w:szCs w:val="32"/>
    </w:rPr>
  </w:style>
  <w:style w:type="character" w:customStyle="1" w:styleId="Heading2Char">
    <w:name w:val="Heading 2 Char"/>
    <w:basedOn w:val="DefaultParagraphFont"/>
    <w:link w:val="Heading2"/>
    <w:uiPriority w:val="9"/>
    <w:rsid w:val="00727670"/>
    <w:rPr>
      <w:rFonts w:ascii="Arial" w:eastAsiaTheme="majorEastAsia" w:hAnsi="Arial" w:cstheme="majorBidi"/>
      <w:b/>
      <w:color w:val="1F4E79" w:themeColor="accent1" w:themeShade="80"/>
      <w:sz w:val="36"/>
      <w:szCs w:val="26"/>
    </w:rPr>
  </w:style>
  <w:style w:type="character" w:customStyle="1" w:styleId="Heading3Char">
    <w:name w:val="Heading 3 Char"/>
    <w:basedOn w:val="DefaultParagraphFont"/>
    <w:link w:val="Heading3"/>
    <w:uiPriority w:val="9"/>
    <w:rsid w:val="00727670"/>
    <w:rPr>
      <w:rFonts w:ascii="Arial" w:eastAsiaTheme="majorEastAsia" w:hAnsi="Arial" w:cstheme="majorBidi"/>
      <w:b/>
      <w:color w:val="1F4E79" w:themeColor="accent1" w:themeShade="80"/>
      <w:sz w:val="32"/>
      <w:szCs w:val="24"/>
    </w:rPr>
  </w:style>
  <w:style w:type="paragraph" w:styleId="TOCHeading">
    <w:name w:val="TOC Heading"/>
    <w:basedOn w:val="Heading1"/>
    <w:next w:val="Normal"/>
    <w:uiPriority w:val="39"/>
    <w:unhideWhenUsed/>
    <w:qFormat/>
    <w:rsid w:val="00414B6C"/>
    <w:pPr>
      <w:jc w:val="left"/>
      <w:outlineLvl w:val="9"/>
    </w:pPr>
    <w:rPr>
      <w:rFonts w:asciiTheme="majorHAnsi" w:hAnsiTheme="majorHAnsi"/>
      <w:color w:val="2E74B5" w:themeColor="accent1" w:themeShade="BF"/>
      <w:sz w:val="32"/>
    </w:rPr>
  </w:style>
  <w:style w:type="paragraph" w:styleId="TOC1">
    <w:name w:val="toc 1"/>
    <w:basedOn w:val="Normal"/>
    <w:next w:val="Normal"/>
    <w:autoRedefine/>
    <w:uiPriority w:val="39"/>
    <w:unhideWhenUsed/>
    <w:rsid w:val="00414B6C"/>
    <w:pPr>
      <w:spacing w:after="100"/>
    </w:pPr>
  </w:style>
  <w:style w:type="paragraph" w:styleId="TOC2">
    <w:name w:val="toc 2"/>
    <w:basedOn w:val="Normal"/>
    <w:next w:val="Normal"/>
    <w:autoRedefine/>
    <w:uiPriority w:val="39"/>
    <w:unhideWhenUsed/>
    <w:rsid w:val="00414B6C"/>
    <w:pPr>
      <w:spacing w:after="100"/>
      <w:ind w:left="200"/>
    </w:pPr>
  </w:style>
  <w:style w:type="paragraph" w:styleId="TOC3">
    <w:name w:val="toc 3"/>
    <w:basedOn w:val="Normal"/>
    <w:next w:val="Normal"/>
    <w:autoRedefine/>
    <w:uiPriority w:val="39"/>
    <w:unhideWhenUsed/>
    <w:rsid w:val="00414B6C"/>
    <w:pPr>
      <w:spacing w:after="100"/>
      <w:ind w:left="400"/>
    </w:pPr>
  </w:style>
  <w:style w:type="character" w:styleId="Hyperlink">
    <w:name w:val="Hyperlink"/>
    <w:basedOn w:val="DefaultParagraphFont"/>
    <w:uiPriority w:val="99"/>
    <w:unhideWhenUsed/>
    <w:rsid w:val="00414B6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 /><Relationship Id="rId13" Type="http://schemas.openxmlformats.org/officeDocument/2006/relationships/hyperlink" Target="https://www.iea.org/commentaries/how-global-electric-car-sales-defied-covid-19-in-2020" TargetMode="External" /><Relationship Id="rId18" Type="http://schemas.openxmlformats.org/officeDocument/2006/relationships/hyperlink" Target="https://clepa.eu/mediaroom/green-deal-and-cars-european-commission-choses-haste-over-prudence-newsletter-editorial-july-2021/" TargetMode="External" /><Relationship Id="rId3" Type="http://schemas.openxmlformats.org/officeDocument/2006/relationships/numbering" Target="numbering.xml" /><Relationship Id="rId21" Type="http://schemas.openxmlformats.org/officeDocument/2006/relationships/header" Target="header1.xml" /><Relationship Id="rId7" Type="http://schemas.openxmlformats.org/officeDocument/2006/relationships/footnotes" Target="footnotes.xml" /><Relationship Id="rId12" Type="http://schemas.openxmlformats.org/officeDocument/2006/relationships/hyperlink" Target="https://www.nytimes.com/2020/07/02/business/tesla-sales-second-quarter.html" TargetMode="External" /><Relationship Id="rId17" Type="http://schemas.openxmlformats.org/officeDocument/2006/relationships/hyperlink" Target="https://www.investopedia.com/why-tesla-skyrocketed-during-pandemic-5211590" TargetMode="External" /><Relationship Id="rId25" Type="http://schemas.openxmlformats.org/officeDocument/2006/relationships/theme" Target="theme/theme1.xml" /><Relationship Id="rId2" Type="http://schemas.openxmlformats.org/officeDocument/2006/relationships/customXml" Target="../customXml/item2.xml" /><Relationship Id="rId16" Type="http://schemas.openxmlformats.org/officeDocument/2006/relationships/hyperlink" Target="https://www.mckinsey.com/industries/automotive-and-assembly/our-insights/how-the-automotive-industry-is-accelerating-out-of-the-turn" TargetMode="External" /><Relationship Id="rId20" Type="http://schemas.openxmlformats.org/officeDocument/2006/relationships/hyperlink" Target="https://www.theguardian.com/technology/2021/jan/03/tesla-almost-hits-500000-car-delivery-target-for-2020-despite-pandemic" TargetMode="External" /><Relationship Id="rId1" Type="http://schemas.openxmlformats.org/officeDocument/2006/relationships/customXml" Target="../customXml/item1.xml" /><Relationship Id="rId6" Type="http://schemas.openxmlformats.org/officeDocument/2006/relationships/webSettings" Target="webSettings.xml" /><Relationship Id="rId11" Type="http://schemas.openxmlformats.org/officeDocument/2006/relationships/hyperlink" Target="https://sgp.fas.org/crs/row/R46270.pdf" TargetMode="External" /><Relationship Id="rId24" Type="http://schemas.openxmlformats.org/officeDocument/2006/relationships/fontTable" Target="fontTable.xml" /><Relationship Id="rId5" Type="http://schemas.openxmlformats.org/officeDocument/2006/relationships/settings" Target="settings.xml" /><Relationship Id="rId15" Type="http://schemas.openxmlformats.org/officeDocument/2006/relationships/hyperlink" Target="https://knaufautomotive.com/new-trends-and-developments-in-global-automotive-industry-versus-covid-19/" TargetMode="External" /><Relationship Id="rId23" Type="http://schemas.openxmlformats.org/officeDocument/2006/relationships/footer" Target="footer1.xml" /><Relationship Id="rId10" Type="http://schemas.openxmlformats.org/officeDocument/2006/relationships/hyperlink" Target="https://www.greencarreports.com/news/1135486_tesla-delivered-a-record-number-of-evs-in-q1-amid-supply-chain-struggles" TargetMode="External" /><Relationship Id="rId19" Type="http://schemas.openxmlformats.org/officeDocument/2006/relationships/hyperlink" Target="https://www.tesla.com/ns_videos/2020-tesla-impact-report.pdf" TargetMode="External" /><Relationship Id="rId4" Type="http://schemas.openxmlformats.org/officeDocument/2006/relationships/styles" Target="styles.xml" /><Relationship Id="rId9" Type="http://schemas.openxmlformats.org/officeDocument/2006/relationships/image" Target="media/image1.jpg" /><Relationship Id="rId14" Type="http://schemas.openxmlformats.org/officeDocument/2006/relationships/hyperlink" Target="https://cleanenergynews.ihsmarkit.com/research-analysis/global-electric-vehicle-sales-grew-41-in-2020-more-growth-comi.html" TargetMode="External" /><Relationship Id="rId22" Type="http://schemas.openxmlformats.org/officeDocument/2006/relationships/header" Target="header2.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 /></Relationships>
</file>

<file path=customXml/item1.xml><?xml version="1.0" encoding="utf-8"?>
<CoverPageProperties xmlns="http://schemas.microsoft.com/office/2006/coverPageProps">
  <PublishDate>2022</PublishDate>
  <Abstract/>
  <CompanyAddress>Tsveta Valerieva Lyushtova</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CF73A9E-7397-4D7E-921D-74A28015B7D1}">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77</TotalTime>
  <Pages>12</Pages>
  <Words>2308</Words>
  <Characters>13157</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Assignment 1 Automobile brand evaluation</vt:lpstr>
    </vt:vector>
  </TitlesOfParts>
  <Company>2124712</Company>
  <LinksUpToDate>false</LinksUpToDate>
  <CharactersWithSpaces>15435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1 Automobile brand evaluation</dc:title>
  <dc:subject/>
  <dc:creator>PS</dc:creator>
  <cp:keywords/>
  <dc:description/>
  <cp:lastModifiedBy>cveti333.1987@gmail.com</cp:lastModifiedBy>
  <cp:revision>21</cp:revision>
  <cp:lastPrinted>2022-04-10T18:08:00Z</cp:lastPrinted>
  <dcterms:created xsi:type="dcterms:W3CDTF">2022-05-10T22:49:00Z</dcterms:created>
  <dcterms:modified xsi:type="dcterms:W3CDTF">2022-05-11T10:33:00Z</dcterms:modified>
</cp:coreProperties>
</file>