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43C45A3" wp14:paraId="52A3BEE9" wp14:textId="57065577">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345C2719" wp14:textId="62052CC7">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1.1) 359</w:t>
      </w:r>
    </w:p>
    <w:p xmlns:wp14="http://schemas.microsoft.com/office/word/2010/wordml" w:rsidP="243C45A3" wp14:paraId="7B3F2AF3" wp14:textId="12E6C5B3">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Employment Rights Act 1980 is important for creating a fair, safe, and stable work environment. According to CIPD (2024), there is evidence that UK employment legislation balances flexibility for businesses and job opportunities, with security for individuals. These regulations set standards and protections that aim to secure workers rights, foster equality, and prevent discrimination.</w:t>
      </w:r>
    </w:p>
    <w:p xmlns:wp14="http://schemas.microsoft.com/office/word/2010/wordml" w:rsidP="243C45A3" wp14:paraId="1F6BA5ED" wp14:textId="20503CA2">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Facing the realities of modern-day slavery and child labour, strong employment regulations are crucial for fighting these terrible practices. By establishing clear rules and penalties for exploitation, these regulations act as a deterrent and provide recourse for victims. However, the effectiveness of enforcement mechanisms is key in ensuring that perpetrators are held accountable, and victims are adequately supported.  (CIPD, 2024)</w:t>
      </w:r>
    </w:p>
    <w:p xmlns:wp14="http://schemas.microsoft.com/office/word/2010/wordml" w:rsidP="243C45A3" wp14:paraId="5EB36DCD" wp14:textId="7A877A17">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They also set minimum standards for wages, which was one of the earliest examples of working conditions, thus preventing exploitation while fostering a balanced relationship between employers and employees. Equal pay legislation is another area where employment regulations are vital. Despite progress in gender equality, the gender pay gap persists in many industries. Employment regulations that require equal pay for equal work are essential in addressing this disparity and promoting fairness in compensation practices. Additionally, employment regulations prioritise health and safety, providing guidelines to create a secure working environment. Through mechanisms for dispute resolution and enforcement, they strive to uphold these standards, encouraging compliance and accountability. (CIPD, 2024)</w:t>
      </w:r>
    </w:p>
    <w:p xmlns:wp14="http://schemas.microsoft.com/office/word/2010/wordml" w:rsidP="243C45A3" wp14:paraId="0E101425" wp14:textId="561528FC">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Employment Rights Act of 1980, introduced by the Conservative government, aimed to reduce the power of trade unions, and increase employer's flexibility in hiring and firing decisions. However, when the Labour government came to power in 1997, it focused on improving workers' rights and enhancing workplace conditions. Legislative changes, such as the National Minimum Wage Act 1998 and the Employment Relations Act 1999, aimed to strengthen workers rights and promote collective bargaining. (Daniels, 2022)</w:t>
      </w:r>
    </w:p>
    <w:p xmlns:wp14="http://schemas.microsoft.com/office/word/2010/wordml" w:rsidP="243C45A3" wp14:paraId="5BE21907" wp14:textId="099FD6E8">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Despite these efforts CIPD (2024) suggests that the UK's labour market enforcement mechanism is inadequate, both at the individual level through the tribunal system and through the multiple enforcement authorities. This means that many workers continue to be treated unfairly and discriminated against, as well as having difficulty accessing justice and receiving compensation if their job rights are violated. </w:t>
      </w:r>
    </w:p>
    <w:p xmlns:wp14="http://schemas.microsoft.com/office/word/2010/wordml" w:rsidP="243C45A3" wp14:paraId="7FD3F1F4" wp14:textId="2DF2021D">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2F1A23B2" wp14:textId="2AB25251">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360BA0B0" wp14:textId="07A4415C">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6D1F6AD6" wp14:textId="15578318">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1.2) 353</w:t>
      </w:r>
    </w:p>
    <w:p xmlns:wp14="http://schemas.microsoft.com/office/word/2010/wordml" w:rsidP="243C45A3" wp14:paraId="37BBEFAF" wp14:textId="201691DF">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43C45A3" wp14:paraId="415F5052" wp14:textId="41164583">
      <w:pPr>
        <w:spacing w:line="26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Most employment law in the United Kingdom falls under the category of civil law or private law, where legal conflicts between parties are settled through legal actions taken in civil courts. This legal system aims to deal with breaches of employment rights and provide remedies for the affected party, such as employees, workers, former employees or workers, or unsuccessful job applicants. (CIPD, 2023)</w:t>
      </w:r>
    </w:p>
    <w:p xmlns:wp14="http://schemas.microsoft.com/office/word/2010/wordml" w:rsidP="243C45A3" wp14:paraId="73AD9EAD" wp14:textId="6FFF8B0F">
      <w:pPr>
        <w:spacing w:line="26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tribunal and court systems play a key role in upholding and enforcing employment law, but they have different functions and levels of authority within the legal system. Tribunals are usually lower in the legal hierarchy than courts. Tribunals are special bodies created to handle specific areas of law, such as employment disputes, and are meant to offer accessible, informal, and cost-effective resolution processes. (CIPD, 2023).  Courts are part of the official judicial system and have higher authority, covering a wider range of legal issues beyond specialised areas. They follow formal legal procedures and are overseen by professional judges. (Courts and Tribunal Judiciary no date) </w:t>
      </w:r>
    </w:p>
    <w:p xmlns:wp14="http://schemas.microsoft.com/office/word/2010/wordml" w:rsidP="243C45A3" wp14:paraId="29751507" wp14:textId="288E3836">
      <w:pPr>
        <w:spacing w:line="26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Through their decisions, these tribunals enforce legal rights, issuing orders to make parties comply with legal duties and offer compensation for complaints such as unfair dismissal, discrimination, and unpaid wages. By acting as a deterrent against illegal practices and facilitating access to justice for individuals, including those with limited resources, tribunals and courts promote a culture of compliance and accountability within the workplace. (Daniels, 2022) </w:t>
      </w:r>
    </w:p>
    <w:p xmlns:wp14="http://schemas.microsoft.com/office/word/2010/wordml" w:rsidP="243C45A3" wp14:paraId="55800956" wp14:textId="2D79D764">
      <w:pPr>
        <w:spacing w:line="26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Moreover, their functions maintain the consistency and accuracy of legal rulings, thereby supporting the reliability of the employment law system. Before making a claim, individuals should try all available options with their employer, which may include informal talks or filing a formal grievance. If a direct resolution with the employer fails, individuals must first contact ACAS to seek resolution through early conciliation. (ACAS, no date)</w:t>
      </w:r>
    </w:p>
    <w:p xmlns:wp14="http://schemas.microsoft.com/office/word/2010/wordml" w:rsidP="243C45A3" wp14:paraId="27BB0093" wp14:textId="5584E1DE">
      <w:pPr>
        <w:spacing w:line="264" w:lineRule="auto"/>
        <w:jc w:val="left"/>
        <w:rPr>
          <w:rFonts w:ascii="Calibri" w:hAnsi="Calibri" w:eastAsia="Calibri" w:cs="Calibri"/>
          <w:b w:val="0"/>
          <w:bCs w:val="0"/>
          <w:i w:val="0"/>
          <w:iCs w:val="0"/>
          <w:caps w:val="0"/>
          <w:smallCaps w:val="0"/>
          <w:noProof w:val="0"/>
          <w:color w:val="FF0000"/>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Despite these efforts, concerns raised by CIPD (2024) indicate that the UK's labour market enforcement system remains insufficient, with shortcomings observed at both the individual level through the tribunal system and within various enforcement authorities. This indicates ongoing difficulties in ensuring fair treatment for workers and effective access to justice when work rights are breached.</w:t>
      </w:r>
      <w:r w:rsidRPr="243C45A3" w:rsidR="5313D17E">
        <w:rPr>
          <w:rFonts w:ascii="Calibri" w:hAnsi="Calibri" w:eastAsia="Calibri" w:cs="Calibri"/>
          <w:b w:val="0"/>
          <w:bCs w:val="0"/>
          <w:i w:val="0"/>
          <w:iCs w:val="0"/>
          <w:caps w:val="0"/>
          <w:smallCaps w:val="0"/>
          <w:noProof w:val="0"/>
          <w:color w:val="FF0000"/>
          <w:sz w:val="24"/>
          <w:szCs w:val="24"/>
          <w:lang w:val="en-US"/>
        </w:rPr>
        <w:t xml:space="preserve"> </w:t>
      </w:r>
    </w:p>
    <w:p xmlns:wp14="http://schemas.microsoft.com/office/word/2010/wordml" w:rsidP="243C45A3" wp14:paraId="27128DF0" wp14:textId="5DA64537">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736835C0" wp14:textId="12D3E9D0">
      <w:pPr>
        <w:spacing w:after="0"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 1.3) 512 </w:t>
      </w:r>
    </w:p>
    <w:p xmlns:wp14="http://schemas.microsoft.com/office/word/2010/wordml" w:rsidP="243C45A3" wp14:paraId="41D12E42" wp14:textId="64AE5F8E">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0FDA8A8E" wp14:textId="13EE7D27">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There are many ways to resolve disputes both before and during legal processes, such as negotiation, mediation, arbitration, and settlement agreements. Before bringing a claim, individuals should try all possible options with their employer, which may include informal talks or filing a formal grievance. If resolution with the employer is not possible, individuals need to contact ACAS first to try to resolve the dispute through early conciliation. (ACAS, no date) </w:t>
      </w:r>
    </w:p>
    <w:p xmlns:wp14="http://schemas.microsoft.com/office/word/2010/wordml" w:rsidP="243C45A3" wp14:paraId="3314A7CA" wp14:textId="10EF5932">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ACAS is a service for both employers and employees. It aims to be impartial and help both sides find solutions to their difficult situation. (Daniels, 2022)</w:t>
      </w:r>
    </w:p>
    <w:p xmlns:wp14="http://schemas.microsoft.com/office/word/2010/wordml" w:rsidP="243C45A3" wp14:paraId="14AD6E83" wp14:textId="27E53E0F">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Before starting a claim with the Employment Tribunal, most cases require participation in the Early Conciliation process. In this process, the claimant starts the proceedings by filling out an ET1 form, which requires the respondent to reply within 28 days using an ET3 form. (Daniels, 2022).</w:t>
      </w:r>
    </w:p>
    <w:p xmlns:wp14="http://schemas.microsoft.com/office/word/2010/wordml" w:rsidP="243C45A3" wp14:paraId="34F2697B" wp14:textId="5A937977">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Negotiation is also a common way to settle work disputes. It involves direct communication between the parties, which is usually supported by their legal representatives. Negotiation allows the parties to express their issues and work towards a mutually beneficial outcome. The purpose of negotiation is to resolve a dispute without going to trial. (ACAS, no date)</w:t>
      </w:r>
    </w:p>
    <w:p xmlns:wp14="http://schemas.microsoft.com/office/word/2010/wordml" w:rsidP="243C45A3" wp14:paraId="6A16296E" wp14:textId="47736D8A">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Another option outside of court is mediation. It involves a neutral third party, called a mediator, who helps the parties reach an agreement. The mediator facilitates honest discussion, encourages compromise, and gives advice on feasible solutions. Mediation can help parties understand each other's perspectives and reach a mutually satisfactory conclusion. (ACAS, no date)</w:t>
      </w:r>
    </w:p>
    <w:p xmlns:wp14="http://schemas.microsoft.com/office/word/2010/wordml" w:rsidP="243C45A3" wp14:paraId="52FF662E" wp14:textId="6D40201D">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Before going to tribunal, parties can also engage in settlement negotiations. These negotiations can happen at various stages of the legal process, such as the discovery phase, where parties exchange information and evidence, or during pretrial motions. Settling before trial can save time and resources for all parties. Additionally, settlements can be reached during the trial itself, especially if there is a critical moment in the proceedings, such as one party making a significant concession, or it is becoming clear that a trial verdict is unlikely. Settlements during trial can be strategic or opportunistic, depending on the specific circumstances of the case. (ACAS, no date)</w:t>
      </w:r>
    </w:p>
    <w:p xmlns:wp14="http://schemas.microsoft.com/office/word/2010/wordml" w:rsidP="243C45A3" wp14:paraId="3C9BEEEF" wp14:textId="517BBD1D">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 COT3 is also a legally enforceable settlement agreement and can be reached with or without ACAS. It outlines the terms that both parties agree on to settle the dispute without going to a tribunal hearing. (ACAS No date)</w:t>
      </w:r>
    </w:p>
    <w:p xmlns:wp14="http://schemas.microsoft.com/office/word/2010/wordml" w:rsidP="243C45A3" wp14:paraId="26B101F5" wp14:textId="076F7C8F">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Arbitration provides a more formal option. The Employment Rights (Dispute Resolution) Act of 1998 created this as a new mechanism to try to reduce the pressure on the Employment Tribunal system. It is called the ACAS Arbitration Scheme, and an arbitrator will make a binding decision after hearing both sides. (Daniels, 2022)</w:t>
      </w:r>
    </w:p>
    <w:p xmlns:wp14="http://schemas.microsoft.com/office/word/2010/wordml" w:rsidP="243C45A3" wp14:paraId="2C6182AE" wp14:textId="188283D3">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Furthermore, the Employment Appeal Tribunal handles cases where disputes arise over legal points or apparent errors in Employment Tribunal decisions. The Employment Appeal Tribunal (EAT) hears appeals from decisions made by the Employment Tribunal. The EAT's role is to review the decisions of Employment Tribunals and decide whether they were right in law or if they made any mistakes in reaching their conclusions. (Daniels, 2022).</w:t>
      </w:r>
    </w:p>
    <w:p xmlns:wp14="http://schemas.microsoft.com/office/word/2010/wordml" w:rsidP="243C45A3" wp14:paraId="79BB866B" wp14:textId="0B16557A">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43C45A3" wp14:paraId="41825A84" wp14:textId="62EF349A">
      <w:pPr>
        <w:spacing w:before="240" w:after="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2.1 416</w:t>
      </w:r>
    </w:p>
    <w:p xmlns:wp14="http://schemas.microsoft.com/office/word/2010/wordml" w:rsidP="243C45A3" wp14:paraId="18183183" wp14:textId="434717C4">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75E3E023" wp14:textId="126C87AE">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Peachy Deserts needs to understand the laws against discrimination in employment under the Equality Act 2010 this law forbids discriminating against people based on age or other protected characteristics such as sex, marital status and civil partnership, pregnancy and maternity, race, disability, gender reassignment, sexual orientation, religion, and belief in hiring and employment practices. (CIPD, 2024). My advice would be to follow these rules as it is not only legal but also ethical. (Daniels, 2022)</w:t>
      </w:r>
    </w:p>
    <w:p xmlns:wp14="http://schemas.microsoft.com/office/word/2010/wordml" w:rsidP="243C45A3" wp14:paraId="45C5EBB6" wp14:textId="355C97F7">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 also advise that to avoid discrimination when promoting, interviewing, and hiring focus should be on skills and experience instead of age in their recruitment process. This will make the selection process fair and inclusive, based on the individual's qualifications and abilities. (ACAS, 2023)</w:t>
      </w:r>
    </w:p>
    <w:p xmlns:wp14="http://schemas.microsoft.com/office/word/2010/wordml" w:rsidP="243C45A3" wp14:paraId="053B2577" wp14:textId="6A64F24C">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Also, having a diverse workforce is good for business, as it improves creativity, decision-making, and company resilience. To be lawful and successful, Peachy Deserts should have recruitment policies that include and represent diverse groups in society. This will protect them from legal problems and make them a fair and modern employer. (ACAS, 2023)</w:t>
      </w:r>
    </w:p>
    <w:p xmlns:wp14="http://schemas.microsoft.com/office/word/2010/wordml" w:rsidP="243C45A3" wp14:paraId="647AE17E" wp14:textId="383C6CD7">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Additionally, CIPD (2024) recommends that Peachy Deserts support employees at different life stages. This means offering flexible work options and good maternity leave policies. This way, the company can avoid leaving out some groups and create a diverse workforce of people of all ages. (ACAS,2023)</w:t>
      </w:r>
    </w:p>
    <w:p xmlns:wp14="http://schemas.microsoft.com/office/word/2010/wordml" w:rsidP="243C45A3" wp14:paraId="123C0B53" wp14:textId="2CD1BEF4">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As an advisor, I would urge Peachy Deserts to implement these suggestions and comply with the Equality Act 2010. Ignoring the law could result in costly lawsuits, reputational damage, and loss of customers. Moreover, neglecting diversity and inclusion could lead to low employee morale, high turnover, and poor performance. Therefore, Peachy Deserts should embrace diversity and equality as a core value and a competitive advantage.</w:t>
      </w:r>
    </w:p>
    <w:p xmlns:wp14="http://schemas.microsoft.com/office/word/2010/wordml" w:rsidP="243C45A3" wp14:paraId="217013BD" wp14:textId="38048B9A">
      <w:pPr>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noProof w:val="0"/>
          <w:color w:val="000000" w:themeColor="text1" w:themeTint="FF" w:themeShade="FF"/>
          <w:sz w:val="24"/>
          <w:szCs w:val="24"/>
          <w:lang w:val="en-US"/>
        </w:rPr>
        <w:t>An example of case law in recruitment stage is the case of Essop v Home Office (2017), where a group of civil servants from ethnic minorities and over 35 years old claimed that a core skills assessment they had to pass for promotion was indirectly discriminatory, as they had lower pass rates than other groups. The Supreme Court ruled that they did not have to show the reason why they were disadvantaged by the test, only that there was a causal link between the test and the disadvantage. This case shows that employers should be careful when using tests or criteria that may have a disproportionate impact on certain groups of applicants or employees, and that they should be able to justify them as a proportionate means of achieving a legitimate aim. (Daniels, 2022)</w:t>
      </w:r>
    </w:p>
    <w:p xmlns:wp14="http://schemas.microsoft.com/office/word/2010/wordml" w:rsidP="243C45A3" wp14:paraId="0DCA6977" wp14:textId="01C252DF">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2.2) 337</w:t>
      </w:r>
    </w:p>
    <w:p xmlns:wp14="http://schemas.microsoft.com/office/word/2010/wordml" w:rsidP="243C45A3" wp14:paraId="410AACB4" wp14:textId="02F16514">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1AA47BEB" wp14:textId="7185AB08">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noProof w:val="0"/>
          <w:color w:val="000000" w:themeColor="text1" w:themeTint="FF" w:themeShade="FF"/>
          <w:sz w:val="24"/>
          <w:szCs w:val="24"/>
          <w:lang w:val="en-US"/>
        </w:rPr>
        <w:t>Under the Equality Act 2010, an employer cannot pay different wages to employees who do the same or similar work, unless they have a valid and non-discriminatory reason for that. Cat might be able to make an equal pay claim if Cat and Kit have the same jobs and duties and there are no big differences in their performance, skills, or experience to explain the wage difference, as this could be seen as pay discrimination based on sex. (Daniels, 2022)</w:t>
      </w:r>
    </w:p>
    <w:p xmlns:wp14="http://schemas.microsoft.com/office/word/2010/wordml" w:rsidP="243C45A3" wp14:paraId="2168A2D6" wp14:textId="7690FEEE">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5BFAC99D" wp14:textId="5F4DA0FC">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noProof w:val="0"/>
          <w:color w:val="000000" w:themeColor="text1" w:themeTint="FF" w:themeShade="FF"/>
          <w:sz w:val="24"/>
          <w:szCs w:val="24"/>
          <w:lang w:val="en-US"/>
        </w:rPr>
        <w:t>To handle Cat's complaint and resolve it, Charlotte should follow the ACAS grievance policy, which involves four steps raising the grievance, meeting to discuss the grievance, deciding on the grievance, and appealing the decision if needed. (ACAS, no date)</w:t>
      </w:r>
    </w:p>
    <w:p xmlns:wp14="http://schemas.microsoft.com/office/word/2010/wordml" w:rsidP="243C45A3" wp14:paraId="0F7CDC8A" wp14:textId="0CBEB540">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17AF765A" wp14:textId="45D46FB3">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noProof w:val="0"/>
          <w:color w:val="000000" w:themeColor="text1" w:themeTint="FF" w:themeShade="FF"/>
          <w:sz w:val="24"/>
          <w:szCs w:val="24"/>
          <w:lang w:val="en-US"/>
        </w:rPr>
        <w:t>Starting with an investigation into why there are differences, she should conduct an equal pay audit to compare the pay of Cat and Kit and identify any unjustified gaps. She should also look at both employees' job descriptions, contracts, and performance reviews, and see if there are any objective reasons for the pay difference, such as seniority, qualifications, or market forces. She should communicate with Cat and Kit respectfully and transparently, explaining the purpose and process of the audit, and inviting them to share any concerns or feedback. She should listen to their views and respond to their questions. She should inform them of the results of the audit and the actions that will be taken to address any issues. She should apologise for any errors or oversights that may have caused the pay discrepancy and assure them that the company values their work and contribution. She should also review the company's pay policy and practices and implement any changes or improvements that are needed to prevent future complaints. (ACAS, no date)</w:t>
      </w:r>
    </w:p>
    <w:p xmlns:wp14="http://schemas.microsoft.com/office/word/2010/wordml" w:rsidP="243C45A3" wp14:paraId="4917B73F" wp14:textId="5D66D19A">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33A391EF" wp14:textId="6F39B135">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noProof w:val="0"/>
          <w:color w:val="000000" w:themeColor="text1" w:themeTint="FF" w:themeShade="FF"/>
          <w:sz w:val="24"/>
          <w:szCs w:val="24"/>
          <w:lang w:val="en-US"/>
        </w:rPr>
        <w:t>I would suggest they also ensure that all pay criteria are clear, fair, and consistent and that the pay decisions are documented and communicated effectively. She should also provide regular training and guidance for the managers and staff on equal pay and diversity issues. (Daniels, 2022)</w:t>
      </w:r>
    </w:p>
    <w:p xmlns:wp14="http://schemas.microsoft.com/office/word/2010/wordml" w:rsidP="243C45A3" wp14:paraId="7B8E7010" wp14:textId="62612B3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51C74FCE" wp14:textId="76528A4C">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3.1) 358</w:t>
      </w:r>
    </w:p>
    <w:p xmlns:wp14="http://schemas.microsoft.com/office/word/2010/wordml" w:rsidP="243C45A3" wp14:paraId="3FE6FED4" wp14:textId="4220C638">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02020"/>
          <w:sz w:val="24"/>
          <w:szCs w:val="24"/>
          <w:lang w:val="en-US"/>
        </w:rPr>
      </w:pPr>
      <w:r w:rsidRPr="243C45A3" w:rsidR="5313D17E">
        <w:rPr>
          <w:rFonts w:ascii="Calibri" w:hAnsi="Calibri" w:eastAsia="Calibri" w:cs="Calibri"/>
          <w:b w:val="0"/>
          <w:bCs w:val="0"/>
          <w:i w:val="0"/>
          <w:iCs w:val="0"/>
          <w:caps w:val="0"/>
          <w:smallCaps w:val="0"/>
          <w:strike w:val="0"/>
          <w:dstrike w:val="0"/>
          <w:noProof w:val="0"/>
          <w:color w:val="202020"/>
          <w:sz w:val="24"/>
          <w:szCs w:val="24"/>
          <w:u w:val="none"/>
          <w:lang w:val="en-US"/>
        </w:rPr>
        <w:t>Redundancy is a form of dismissal from your job. If you are facing redundancy, you have the right to certain things, such as redundancy pay and a notice period. Redundancy is upsetting for workers and can affect their mood and performance it should therefore be avoided if possible if alternative employment an option this should always be considered before a redundancy dismissal (CIPD, 2024)</w:t>
      </w:r>
    </w:p>
    <w:p xmlns:wp14="http://schemas.microsoft.com/office/word/2010/wordml" w:rsidP="243C45A3" wp14:paraId="6F39E87F" wp14:textId="62DF8252">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02020"/>
          <w:sz w:val="24"/>
          <w:szCs w:val="24"/>
          <w:lang w:val="en-US"/>
        </w:rPr>
      </w:pPr>
    </w:p>
    <w:p xmlns:wp14="http://schemas.microsoft.com/office/word/2010/wordml" w:rsidP="243C45A3" wp14:paraId="75B00777" wp14:textId="35022902">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The approach being used to close the restaurant and dismissing the employees poses significant legal risks and is not in compliance with employment law making the decision to dismiss employees without following proper redundancy procedures outlined in the Employment Rights Act 1996 could result in unfair dismissal claims. (Daniels, 2022)</w:t>
      </w:r>
    </w:p>
    <w:p xmlns:wp14="http://schemas.microsoft.com/office/word/2010/wordml" w:rsidP="243C45A3" wp14:paraId="38D6A258" wp14:textId="545CFEFB">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Instead of their current approach, I advise following the proper redundancy procedures, including individual consultations, and ensuring that all employees are treated fairly and in accordance with the law. They should also refrain from discriminatory practices and provide appropriate redundancy pay to eligible employees. (CIPD, 2024) </w:t>
      </w:r>
    </w:p>
    <w:p xmlns:wp14="http://schemas.microsoft.com/office/word/2010/wordml" w:rsidP="243C45A3" wp14:paraId="3F38C4C4" wp14:textId="0829CCE0">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Angelica, the manager, and Saffron, the supervisor, both have more than two years of service, making them potentially eligible for redundancy pay unless suitable alternative employment is offered. </w:t>
      </w:r>
    </w:p>
    <w:p xmlns:wp14="http://schemas.microsoft.com/office/word/2010/wordml" w:rsidP="243C45A3" wp14:paraId="45F87783" wp14:textId="0DE5A000">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20" w:firstRow="1" w:lastRow="0" w:firstColumn="0" w:lastColumn="0" w:noHBand="0" w:noVBand="1"/>
      </w:tblPr>
      <w:tblGrid>
        <w:gridCol w:w="1560"/>
        <w:gridCol w:w="1560"/>
        <w:gridCol w:w="1560"/>
        <w:gridCol w:w="1560"/>
        <w:gridCol w:w="1560"/>
        <w:gridCol w:w="1560"/>
      </w:tblGrid>
      <w:tr w:rsidR="243C45A3" w:rsidTr="243C45A3" w14:paraId="7133E5B6">
        <w:trPr>
          <w:trHeight w:val="300"/>
        </w:trPr>
        <w:tc>
          <w:tcPr>
            <w:tcW w:w="1560" w:type="dxa"/>
            <w:tcBorders>
              <w:top w:val="single" w:color="D1D1D1" w:themeColor="background2" w:themeShade="E6" w:sz="6"/>
              <w:left w:val="single" w:color="D1D1D1" w:themeColor="background2" w:themeShade="E6" w:sz="6"/>
              <w:bottom w:val="single" w:color="F0F0F0" w:sz="6"/>
              <w:right w:val="nil"/>
            </w:tcBorders>
            <w:shd w:val="clear" w:color="auto" w:fill="F5F5F5"/>
            <w:tcMar>
              <w:top w:w="60" w:type="dxa"/>
              <w:left w:w="60" w:type="dxa"/>
              <w:bottom w:w="60" w:type="dxa"/>
              <w:right w:w="60" w:type="dxa"/>
            </w:tcMar>
            <w:vAlign w:val="top"/>
          </w:tcPr>
          <w:p w:rsidR="243C45A3" w:rsidP="243C45A3" w:rsidRDefault="243C45A3" w14:paraId="767907DA" w14:textId="3BDFEBBA">
            <w:pPr>
              <w:rPr>
                <w:rFonts w:ascii="Calibri" w:hAnsi="Calibri" w:eastAsia="Calibri" w:cs="Calibri"/>
                <w:b w:val="0"/>
                <w:bCs w:val="0"/>
                <w:i w:val="0"/>
                <w:iCs w:val="0"/>
                <w:sz w:val="24"/>
                <w:szCs w:val="24"/>
              </w:rPr>
            </w:pPr>
            <w:r w:rsidRPr="243C45A3" w:rsidR="243C45A3">
              <w:rPr>
                <w:rFonts w:ascii="Calibri" w:hAnsi="Calibri" w:eastAsia="Calibri" w:cs="Calibri"/>
                <w:b w:val="1"/>
                <w:bCs w:val="1"/>
                <w:i w:val="0"/>
                <w:iCs w:val="0"/>
                <w:sz w:val="24"/>
                <w:szCs w:val="24"/>
                <w:lang w:val="en-US"/>
              </w:rPr>
              <w:t>Employee Status</w:t>
            </w:r>
          </w:p>
        </w:tc>
        <w:tc>
          <w:tcPr>
            <w:tcW w:w="1560" w:type="dxa"/>
            <w:tcBorders>
              <w:top w:val="single" w:color="D1D1D1" w:themeColor="background2" w:themeShade="E6" w:sz="6"/>
              <w:left w:val="nil"/>
              <w:bottom w:val="single" w:color="F0F0F0" w:sz="6"/>
              <w:right w:val="nil"/>
            </w:tcBorders>
            <w:shd w:val="clear" w:color="auto" w:fill="F5F5F5"/>
            <w:tcMar>
              <w:top w:w="60" w:type="dxa"/>
              <w:left w:w="60" w:type="dxa"/>
              <w:bottom w:w="60" w:type="dxa"/>
              <w:right w:w="60" w:type="dxa"/>
            </w:tcMar>
            <w:vAlign w:val="top"/>
          </w:tcPr>
          <w:p w:rsidR="243C45A3" w:rsidP="243C45A3" w:rsidRDefault="243C45A3" w14:paraId="01B29B5C" w14:textId="7E65445A">
            <w:pPr>
              <w:rPr>
                <w:rFonts w:ascii="Calibri" w:hAnsi="Calibri" w:eastAsia="Calibri" w:cs="Calibri"/>
                <w:b w:val="0"/>
                <w:bCs w:val="0"/>
                <w:i w:val="0"/>
                <w:iCs w:val="0"/>
                <w:sz w:val="24"/>
                <w:szCs w:val="24"/>
              </w:rPr>
            </w:pPr>
            <w:r w:rsidRPr="243C45A3" w:rsidR="243C45A3">
              <w:rPr>
                <w:rFonts w:ascii="Calibri" w:hAnsi="Calibri" w:eastAsia="Calibri" w:cs="Calibri"/>
                <w:b w:val="1"/>
                <w:bCs w:val="1"/>
                <w:i w:val="0"/>
                <w:iCs w:val="0"/>
                <w:sz w:val="24"/>
                <w:szCs w:val="24"/>
                <w:lang w:val="en-US"/>
              </w:rPr>
              <w:t>Years with Employer</w:t>
            </w:r>
          </w:p>
        </w:tc>
        <w:tc>
          <w:tcPr>
            <w:tcW w:w="1560" w:type="dxa"/>
            <w:tcBorders>
              <w:top w:val="single" w:color="D1D1D1" w:themeColor="background2" w:themeShade="E6" w:sz="6"/>
              <w:left w:val="nil"/>
              <w:bottom w:val="single" w:color="F0F0F0" w:sz="6"/>
              <w:right w:val="nil"/>
            </w:tcBorders>
            <w:shd w:val="clear" w:color="auto" w:fill="F5F5F5"/>
            <w:tcMar>
              <w:top w:w="60" w:type="dxa"/>
              <w:left w:w="60" w:type="dxa"/>
              <w:bottom w:w="60" w:type="dxa"/>
              <w:right w:w="60" w:type="dxa"/>
            </w:tcMar>
            <w:vAlign w:val="top"/>
          </w:tcPr>
          <w:p w:rsidR="243C45A3" w:rsidP="243C45A3" w:rsidRDefault="243C45A3" w14:paraId="34068A17" w14:textId="51388A28">
            <w:pPr>
              <w:rPr>
                <w:rFonts w:ascii="Calibri" w:hAnsi="Calibri" w:eastAsia="Calibri" w:cs="Calibri"/>
                <w:b w:val="0"/>
                <w:bCs w:val="0"/>
                <w:i w:val="0"/>
                <w:iCs w:val="0"/>
                <w:sz w:val="24"/>
                <w:szCs w:val="24"/>
              </w:rPr>
            </w:pPr>
            <w:r w:rsidRPr="243C45A3" w:rsidR="243C45A3">
              <w:rPr>
                <w:rFonts w:ascii="Calibri" w:hAnsi="Calibri" w:eastAsia="Calibri" w:cs="Calibri"/>
                <w:b w:val="1"/>
                <w:bCs w:val="1"/>
                <w:i w:val="0"/>
                <w:iCs w:val="0"/>
                <w:sz w:val="24"/>
                <w:szCs w:val="24"/>
                <w:lang w:val="en-US"/>
              </w:rPr>
              <w:t>Age</w:t>
            </w:r>
          </w:p>
        </w:tc>
        <w:tc>
          <w:tcPr>
            <w:tcW w:w="1560" w:type="dxa"/>
            <w:tcBorders>
              <w:top w:val="single" w:color="D1D1D1" w:themeColor="background2" w:themeShade="E6" w:sz="6"/>
              <w:left w:val="nil"/>
              <w:bottom w:val="single" w:color="F0F0F0" w:sz="6"/>
              <w:right w:val="nil"/>
            </w:tcBorders>
            <w:shd w:val="clear" w:color="auto" w:fill="F5F5F5"/>
            <w:tcMar>
              <w:top w:w="60" w:type="dxa"/>
              <w:left w:w="60" w:type="dxa"/>
              <w:bottom w:w="60" w:type="dxa"/>
              <w:right w:w="60" w:type="dxa"/>
            </w:tcMar>
            <w:vAlign w:val="top"/>
          </w:tcPr>
          <w:p w:rsidR="243C45A3" w:rsidP="243C45A3" w:rsidRDefault="243C45A3" w14:paraId="1E9D5051" w14:textId="3AC18E9C">
            <w:pPr>
              <w:rPr>
                <w:rFonts w:ascii="Calibri" w:hAnsi="Calibri" w:eastAsia="Calibri" w:cs="Calibri"/>
                <w:b w:val="0"/>
                <w:bCs w:val="0"/>
                <w:i w:val="0"/>
                <w:iCs w:val="0"/>
                <w:sz w:val="24"/>
                <w:szCs w:val="24"/>
              </w:rPr>
            </w:pPr>
            <w:r w:rsidRPr="243C45A3" w:rsidR="243C45A3">
              <w:rPr>
                <w:rFonts w:ascii="Calibri" w:hAnsi="Calibri" w:eastAsia="Calibri" w:cs="Calibri"/>
                <w:b w:val="1"/>
                <w:bCs w:val="1"/>
                <w:i w:val="0"/>
                <w:iCs w:val="0"/>
                <w:sz w:val="24"/>
                <w:szCs w:val="24"/>
                <w:lang w:val="en-US"/>
              </w:rPr>
              <w:t>Statutory Redundancy Pay</w:t>
            </w:r>
          </w:p>
        </w:tc>
        <w:tc>
          <w:tcPr>
            <w:tcW w:w="1560" w:type="dxa"/>
            <w:tcBorders>
              <w:top w:val="single" w:color="D1D1D1" w:themeColor="background2" w:themeShade="E6" w:sz="6"/>
              <w:left w:val="nil"/>
              <w:bottom w:val="single" w:color="F0F0F0" w:sz="6"/>
              <w:right w:val="nil"/>
            </w:tcBorders>
            <w:shd w:val="clear" w:color="auto" w:fill="F5F5F5"/>
            <w:tcMar>
              <w:top w:w="60" w:type="dxa"/>
              <w:left w:w="60" w:type="dxa"/>
              <w:bottom w:w="60" w:type="dxa"/>
              <w:right w:w="60" w:type="dxa"/>
            </w:tcMar>
            <w:vAlign w:val="top"/>
          </w:tcPr>
          <w:p w:rsidR="243C45A3" w:rsidP="243C45A3" w:rsidRDefault="243C45A3" w14:paraId="5B1343B6" w14:textId="302C4189">
            <w:pPr>
              <w:rPr>
                <w:rFonts w:ascii="Calibri" w:hAnsi="Calibri" w:eastAsia="Calibri" w:cs="Calibri"/>
                <w:b w:val="0"/>
                <w:bCs w:val="0"/>
                <w:i w:val="0"/>
                <w:iCs w:val="0"/>
                <w:sz w:val="24"/>
                <w:szCs w:val="24"/>
              </w:rPr>
            </w:pPr>
            <w:r w:rsidRPr="243C45A3" w:rsidR="243C45A3">
              <w:rPr>
                <w:rFonts w:ascii="Calibri" w:hAnsi="Calibri" w:eastAsia="Calibri" w:cs="Calibri"/>
                <w:b w:val="1"/>
                <w:bCs w:val="1"/>
                <w:i w:val="0"/>
                <w:iCs w:val="0"/>
                <w:sz w:val="24"/>
                <w:szCs w:val="24"/>
                <w:lang w:val="en-US"/>
              </w:rPr>
              <w:t>Length of Service Cap</w:t>
            </w:r>
          </w:p>
        </w:tc>
        <w:tc>
          <w:tcPr>
            <w:tcW w:w="1560" w:type="dxa"/>
            <w:tcBorders>
              <w:top w:val="single" w:color="D1D1D1" w:themeColor="background2" w:themeShade="E6" w:sz="6"/>
              <w:left w:val="nil"/>
              <w:bottom w:val="single" w:color="F0F0F0" w:sz="6"/>
              <w:right w:val="single" w:color="D1D1D1" w:themeColor="background2" w:themeShade="E6" w:sz="6"/>
            </w:tcBorders>
            <w:shd w:val="clear" w:color="auto" w:fill="F5F5F5"/>
            <w:tcMar>
              <w:top w:w="60" w:type="dxa"/>
              <w:left w:w="60" w:type="dxa"/>
              <w:bottom w:w="60" w:type="dxa"/>
              <w:right w:w="60" w:type="dxa"/>
            </w:tcMar>
            <w:vAlign w:val="top"/>
          </w:tcPr>
          <w:p w:rsidR="243C45A3" w:rsidP="243C45A3" w:rsidRDefault="243C45A3" w14:paraId="5EEFFC6D" w14:textId="645EA6C5">
            <w:pPr>
              <w:rPr>
                <w:rFonts w:ascii="Calibri" w:hAnsi="Calibri" w:eastAsia="Calibri" w:cs="Calibri"/>
                <w:b w:val="0"/>
                <w:bCs w:val="0"/>
                <w:i w:val="0"/>
                <w:iCs w:val="0"/>
                <w:sz w:val="24"/>
                <w:szCs w:val="24"/>
              </w:rPr>
            </w:pPr>
            <w:r w:rsidRPr="243C45A3" w:rsidR="243C45A3">
              <w:rPr>
                <w:rFonts w:ascii="Calibri" w:hAnsi="Calibri" w:eastAsia="Calibri" w:cs="Calibri"/>
                <w:b w:val="1"/>
                <w:bCs w:val="1"/>
                <w:i w:val="0"/>
                <w:iCs w:val="0"/>
                <w:sz w:val="24"/>
                <w:szCs w:val="24"/>
                <w:lang w:val="en-US"/>
              </w:rPr>
              <w:t>Weekly Pay Calculation</w:t>
            </w:r>
          </w:p>
        </w:tc>
      </w:tr>
      <w:tr w:rsidR="243C45A3" w:rsidTr="243C45A3" w14:paraId="26EF90B5">
        <w:trPr>
          <w:trHeight w:val="300"/>
        </w:trPr>
        <w:tc>
          <w:tcPr>
            <w:tcW w:w="1560" w:type="dxa"/>
            <w:tcBorders>
              <w:top w:val="single" w:color="F0F0F0" w:sz="6"/>
              <w:left w:val="single" w:color="D1D1D1" w:themeColor="background2" w:themeShade="E6" w:sz="6"/>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1D299AEE" w14:textId="530B7F41">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Employee</w:t>
            </w:r>
          </w:p>
        </w:tc>
        <w:tc>
          <w:tcPr>
            <w:tcW w:w="1560" w:type="dxa"/>
            <w:tcBorders>
              <w:top w:val="single" w:color="F0F0F0" w:sz="6"/>
              <w:left w:val="nil"/>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35069821" w14:textId="4B76B0C2">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2 years or more</w:t>
            </w:r>
          </w:p>
        </w:tc>
        <w:tc>
          <w:tcPr>
            <w:tcW w:w="1560" w:type="dxa"/>
            <w:tcBorders>
              <w:top w:val="single" w:color="F0F0F0" w:sz="6"/>
              <w:left w:val="nil"/>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1E0E5267" w14:textId="3B9D1D73">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Under 22</w:t>
            </w:r>
          </w:p>
        </w:tc>
        <w:tc>
          <w:tcPr>
            <w:tcW w:w="1560" w:type="dxa"/>
            <w:tcBorders>
              <w:top w:val="single" w:color="F0F0F0" w:sz="6"/>
              <w:left w:val="nil"/>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03E91F2C" w14:textId="19C4A2C0">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Half a week's pay for each full year</w:t>
            </w:r>
          </w:p>
        </w:tc>
        <w:tc>
          <w:tcPr>
            <w:tcW w:w="1560" w:type="dxa"/>
            <w:tcBorders>
              <w:top w:val="single" w:color="F0F0F0" w:sz="6"/>
              <w:left w:val="nil"/>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18BC559D" w14:textId="6623B28F">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20 years</w:t>
            </w:r>
          </w:p>
        </w:tc>
        <w:tc>
          <w:tcPr>
            <w:tcW w:w="1560" w:type="dxa"/>
            <w:tcBorders>
              <w:top w:val="single" w:color="F0F0F0" w:sz="6"/>
              <w:left w:val="nil"/>
              <w:bottom w:val="single" w:color="F0F0F0" w:sz="6"/>
              <w:right w:val="single" w:color="D1D1D1" w:themeColor="background2" w:themeShade="E6" w:sz="6"/>
            </w:tcBorders>
            <w:shd w:val="clear" w:color="auto" w:fill="FFFFFF" w:themeFill="background1"/>
            <w:tcMar>
              <w:top w:w="60" w:type="dxa"/>
              <w:left w:w="60" w:type="dxa"/>
              <w:bottom w:w="60" w:type="dxa"/>
              <w:right w:w="60" w:type="dxa"/>
            </w:tcMar>
            <w:vAlign w:val="top"/>
          </w:tcPr>
          <w:p w:rsidR="243C45A3" w:rsidP="243C45A3" w:rsidRDefault="243C45A3" w14:paraId="10CF497C" w14:textId="5643B8B3">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Average earned per week over the 12 weeks before redundancy notice</w:t>
            </w:r>
          </w:p>
        </w:tc>
      </w:tr>
      <w:tr w:rsidR="243C45A3" w:rsidTr="243C45A3" w14:paraId="49E8683C">
        <w:trPr>
          <w:trHeight w:val="300"/>
        </w:trPr>
        <w:tc>
          <w:tcPr>
            <w:tcW w:w="1560" w:type="dxa"/>
            <w:tcBorders>
              <w:top w:val="single" w:color="F0F0F0" w:sz="6"/>
              <w:left w:val="single" w:color="D1D1D1" w:themeColor="background2" w:themeShade="E6" w:sz="6"/>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5FD5EC61" w14:textId="1674828C">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Employee</w:t>
            </w:r>
          </w:p>
        </w:tc>
        <w:tc>
          <w:tcPr>
            <w:tcW w:w="1560" w:type="dxa"/>
            <w:tcBorders>
              <w:top w:val="single" w:color="F0F0F0" w:sz="6"/>
              <w:left w:val="nil"/>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360F49BB" w14:textId="7E611EEC">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2 years or more</w:t>
            </w:r>
          </w:p>
        </w:tc>
        <w:tc>
          <w:tcPr>
            <w:tcW w:w="1560" w:type="dxa"/>
            <w:tcBorders>
              <w:top w:val="single" w:color="F0F0F0" w:sz="6"/>
              <w:left w:val="nil"/>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73293E1F" w14:textId="1C069854">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22 or older, but under 41</w:t>
            </w:r>
          </w:p>
        </w:tc>
        <w:tc>
          <w:tcPr>
            <w:tcW w:w="1560" w:type="dxa"/>
            <w:tcBorders>
              <w:top w:val="single" w:color="F0F0F0" w:sz="6"/>
              <w:left w:val="nil"/>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4DE8E771" w14:textId="2DBFC374">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One week's pay for each full year</w:t>
            </w:r>
          </w:p>
        </w:tc>
        <w:tc>
          <w:tcPr>
            <w:tcW w:w="1560" w:type="dxa"/>
            <w:tcBorders>
              <w:top w:val="single" w:color="F0F0F0" w:sz="6"/>
              <w:left w:val="nil"/>
              <w:bottom w:val="single" w:color="F0F0F0" w:sz="6"/>
              <w:right w:val="nil"/>
            </w:tcBorders>
            <w:shd w:val="clear" w:color="auto" w:fill="FFFFFF" w:themeFill="background1"/>
            <w:tcMar>
              <w:top w:w="60" w:type="dxa"/>
              <w:left w:w="60" w:type="dxa"/>
              <w:bottom w:w="60" w:type="dxa"/>
              <w:right w:w="60" w:type="dxa"/>
            </w:tcMar>
            <w:vAlign w:val="top"/>
          </w:tcPr>
          <w:p w:rsidR="243C45A3" w:rsidP="243C45A3" w:rsidRDefault="243C45A3" w14:paraId="1938EA00" w14:textId="120374A7">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20 years</w:t>
            </w:r>
          </w:p>
        </w:tc>
        <w:tc>
          <w:tcPr>
            <w:tcW w:w="1560" w:type="dxa"/>
            <w:tcBorders>
              <w:top w:val="single" w:color="F0F0F0" w:sz="6"/>
              <w:left w:val="nil"/>
              <w:bottom w:val="single" w:color="F0F0F0" w:sz="6"/>
              <w:right w:val="single" w:color="D1D1D1" w:themeColor="background2" w:themeShade="E6" w:sz="6"/>
            </w:tcBorders>
            <w:shd w:val="clear" w:color="auto" w:fill="FFFFFF" w:themeFill="background1"/>
            <w:tcMar>
              <w:top w:w="60" w:type="dxa"/>
              <w:left w:w="60" w:type="dxa"/>
              <w:bottom w:w="60" w:type="dxa"/>
              <w:right w:w="60" w:type="dxa"/>
            </w:tcMar>
            <w:vAlign w:val="top"/>
          </w:tcPr>
          <w:p w:rsidR="243C45A3" w:rsidP="243C45A3" w:rsidRDefault="243C45A3" w14:paraId="1C3CE0FC" w14:textId="20E17329">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Average earned per week over the 12 weeks before redundancy notice</w:t>
            </w:r>
          </w:p>
        </w:tc>
      </w:tr>
      <w:tr w:rsidR="243C45A3" w:rsidTr="243C45A3" w14:paraId="7938262C">
        <w:trPr>
          <w:trHeight w:val="300"/>
        </w:trPr>
        <w:tc>
          <w:tcPr>
            <w:tcW w:w="1560" w:type="dxa"/>
            <w:tcBorders>
              <w:top w:val="single" w:color="F0F0F0" w:sz="6"/>
              <w:left w:val="single" w:color="D1D1D1" w:themeColor="background2" w:themeShade="E6" w:sz="6"/>
              <w:bottom w:val="single" w:color="D1D1D1" w:themeColor="background2" w:themeShade="E6" w:sz="6"/>
              <w:right w:val="nil"/>
            </w:tcBorders>
            <w:shd w:val="clear" w:color="auto" w:fill="FFFFFF" w:themeFill="background1"/>
            <w:tcMar>
              <w:top w:w="60" w:type="dxa"/>
              <w:left w:w="60" w:type="dxa"/>
              <w:bottom w:w="60" w:type="dxa"/>
              <w:right w:w="60" w:type="dxa"/>
            </w:tcMar>
            <w:vAlign w:val="top"/>
          </w:tcPr>
          <w:p w:rsidR="243C45A3" w:rsidP="243C45A3" w:rsidRDefault="243C45A3" w14:paraId="1BB4074E" w14:textId="36C14EC2">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Employee</w:t>
            </w:r>
          </w:p>
        </w:tc>
        <w:tc>
          <w:tcPr>
            <w:tcW w:w="1560" w:type="dxa"/>
            <w:tcBorders>
              <w:top w:val="single" w:color="F0F0F0" w:sz="6"/>
              <w:left w:val="nil"/>
              <w:bottom w:val="single" w:color="D1D1D1" w:themeColor="background2" w:themeShade="E6" w:sz="6"/>
              <w:right w:val="nil"/>
            </w:tcBorders>
            <w:shd w:val="clear" w:color="auto" w:fill="FFFFFF" w:themeFill="background1"/>
            <w:tcMar>
              <w:top w:w="60" w:type="dxa"/>
              <w:left w:w="60" w:type="dxa"/>
              <w:bottom w:w="60" w:type="dxa"/>
              <w:right w:w="60" w:type="dxa"/>
            </w:tcMar>
            <w:vAlign w:val="top"/>
          </w:tcPr>
          <w:p w:rsidR="243C45A3" w:rsidP="243C45A3" w:rsidRDefault="243C45A3" w14:paraId="32A10508" w14:textId="647BB897">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2 years or more</w:t>
            </w:r>
          </w:p>
        </w:tc>
        <w:tc>
          <w:tcPr>
            <w:tcW w:w="1560" w:type="dxa"/>
            <w:tcBorders>
              <w:top w:val="single" w:color="F0F0F0" w:sz="6"/>
              <w:left w:val="nil"/>
              <w:bottom w:val="single" w:color="D1D1D1" w:themeColor="background2" w:themeShade="E6" w:sz="6"/>
              <w:right w:val="nil"/>
            </w:tcBorders>
            <w:shd w:val="clear" w:color="auto" w:fill="FFFFFF" w:themeFill="background1"/>
            <w:tcMar>
              <w:top w:w="60" w:type="dxa"/>
              <w:left w:w="60" w:type="dxa"/>
              <w:bottom w:w="60" w:type="dxa"/>
              <w:right w:w="60" w:type="dxa"/>
            </w:tcMar>
            <w:vAlign w:val="top"/>
          </w:tcPr>
          <w:p w:rsidR="243C45A3" w:rsidP="243C45A3" w:rsidRDefault="243C45A3" w14:paraId="0324E866" w14:textId="1FF78387">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41 or older</w:t>
            </w:r>
          </w:p>
        </w:tc>
        <w:tc>
          <w:tcPr>
            <w:tcW w:w="1560" w:type="dxa"/>
            <w:tcBorders>
              <w:top w:val="single" w:color="F0F0F0" w:sz="6"/>
              <w:left w:val="nil"/>
              <w:bottom w:val="single" w:color="D1D1D1" w:themeColor="background2" w:themeShade="E6" w:sz="6"/>
              <w:right w:val="nil"/>
            </w:tcBorders>
            <w:shd w:val="clear" w:color="auto" w:fill="FFFFFF" w:themeFill="background1"/>
            <w:tcMar>
              <w:top w:w="60" w:type="dxa"/>
              <w:left w:w="60" w:type="dxa"/>
              <w:bottom w:w="60" w:type="dxa"/>
              <w:right w:w="60" w:type="dxa"/>
            </w:tcMar>
            <w:vAlign w:val="top"/>
          </w:tcPr>
          <w:p w:rsidR="243C45A3" w:rsidP="243C45A3" w:rsidRDefault="243C45A3" w14:paraId="0E8005CB" w14:textId="1B23FF7C">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One and half week's pay for each full year</w:t>
            </w:r>
          </w:p>
        </w:tc>
        <w:tc>
          <w:tcPr>
            <w:tcW w:w="1560" w:type="dxa"/>
            <w:tcBorders>
              <w:top w:val="single" w:color="F0F0F0" w:sz="6"/>
              <w:left w:val="nil"/>
              <w:bottom w:val="single" w:color="D1D1D1" w:themeColor="background2" w:themeShade="E6" w:sz="6"/>
              <w:right w:val="nil"/>
            </w:tcBorders>
            <w:shd w:val="clear" w:color="auto" w:fill="FFFFFF" w:themeFill="background1"/>
            <w:tcMar>
              <w:top w:w="60" w:type="dxa"/>
              <w:left w:w="60" w:type="dxa"/>
              <w:bottom w:w="60" w:type="dxa"/>
              <w:right w:w="60" w:type="dxa"/>
            </w:tcMar>
            <w:vAlign w:val="top"/>
          </w:tcPr>
          <w:p w:rsidR="243C45A3" w:rsidP="243C45A3" w:rsidRDefault="243C45A3" w14:paraId="56832EA8" w14:textId="1668D23E">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20 years</w:t>
            </w:r>
          </w:p>
        </w:tc>
        <w:tc>
          <w:tcPr>
            <w:tcW w:w="1560" w:type="dxa"/>
            <w:tcBorders>
              <w:top w:val="single" w:color="F0F0F0" w:sz="6"/>
              <w:left w:val="nil"/>
              <w:bottom w:val="single" w:color="D1D1D1" w:themeColor="background2" w:themeShade="E6" w:sz="6"/>
              <w:right w:val="single" w:color="D1D1D1" w:themeColor="background2" w:themeShade="E6" w:sz="6"/>
            </w:tcBorders>
            <w:shd w:val="clear" w:color="auto" w:fill="FFFFFF" w:themeFill="background1"/>
            <w:tcMar>
              <w:top w:w="60" w:type="dxa"/>
              <w:left w:w="60" w:type="dxa"/>
              <w:bottom w:w="60" w:type="dxa"/>
              <w:right w:w="60" w:type="dxa"/>
            </w:tcMar>
            <w:vAlign w:val="top"/>
          </w:tcPr>
          <w:p w:rsidR="243C45A3" w:rsidP="243C45A3" w:rsidRDefault="243C45A3" w14:paraId="3DAC7C5D" w14:textId="0D5BCBDA">
            <w:pPr>
              <w:rPr>
                <w:rFonts w:ascii="Calibri" w:hAnsi="Calibri" w:eastAsia="Calibri" w:cs="Calibri"/>
                <w:b w:val="0"/>
                <w:bCs w:val="0"/>
                <w:i w:val="0"/>
                <w:iCs w:val="0"/>
                <w:sz w:val="24"/>
                <w:szCs w:val="24"/>
              </w:rPr>
            </w:pPr>
            <w:r w:rsidRPr="243C45A3" w:rsidR="243C45A3">
              <w:rPr>
                <w:rFonts w:ascii="Calibri" w:hAnsi="Calibri" w:eastAsia="Calibri" w:cs="Calibri"/>
                <w:b w:val="0"/>
                <w:bCs w:val="0"/>
                <w:i w:val="0"/>
                <w:iCs w:val="0"/>
                <w:sz w:val="24"/>
                <w:szCs w:val="24"/>
                <w:lang w:val="en-US"/>
              </w:rPr>
              <w:t>Average earned per week over the 12 weeks before redundancy notice</w:t>
            </w:r>
          </w:p>
        </w:tc>
      </w:tr>
    </w:tbl>
    <w:p xmlns:wp14="http://schemas.microsoft.com/office/word/2010/wordml" w:rsidP="243C45A3" wp14:paraId="60B4B443" wp14:textId="6AEAF500">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5F641A38" wp14:textId="0E1E98B5">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Angelica = £8400 </w:t>
      </w:r>
    </w:p>
    <w:p xmlns:wp14="http://schemas.microsoft.com/office/word/2010/wordml" w:rsidP="243C45A3" wp14:paraId="77908718" wp14:textId="77BAFF24">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Saffron = 1750 </w:t>
      </w:r>
    </w:p>
    <w:p xmlns:wp14="http://schemas.microsoft.com/office/word/2010/wordml" w:rsidP="243C45A3" wp14:paraId="3E25097D" wp14:textId="4C29731D">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Chip, Cherry, Reese and Carmel = one weeks notice £225</w:t>
      </w:r>
    </w:p>
    <w:p xmlns:wp14="http://schemas.microsoft.com/office/word/2010/wordml" w:rsidP="243C45A3" wp14:paraId="0D5AD8E7" wp14:textId="48B540C4">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Additionally, dismissing employees based on their age could constitute age discrimination. All employees should be treated the same regardless of age, and age should not be a factor in determining who is dismissed. Such discriminatory practices could lead to legal claims and reputational damage for Peachy Deserts. (ACAS, 2019)</w:t>
      </w:r>
    </w:p>
    <w:p xmlns:wp14="http://schemas.microsoft.com/office/word/2010/wordml" w:rsidP="243C45A3" wp14:paraId="765FD46F" wp14:textId="787F2B6E">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3.2) 313</w:t>
      </w:r>
    </w:p>
    <w:p xmlns:wp14="http://schemas.microsoft.com/office/word/2010/wordml" w:rsidP="243C45A3" wp14:paraId="2D9A5DA7" wp14:textId="65FD70CB">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Charlotte and Madeleine's proposal to offer Crumbly Cakes employees new contracts on the same terms and conditions as their current employees may entail legal risks under the Transfer of Undertakings Protection of Employment Regulations 2006 (TUPE) (Daniels, 2022). </w:t>
      </w:r>
    </w:p>
    <w:p xmlns:wp14="http://schemas.microsoft.com/office/word/2010/wordml" w:rsidP="243C45A3" wp14:paraId="01EC9391" wp14:textId="2DBBD8C0">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Employees who work for a company that is sold to a new owner are protected by these rights. When an undertaking is transferred, all an employee's contractual rights are transferred from the previous owner to the new owner. This covers continuity of service, contracts of employment, trade union recognition, collective agreements, and other rights and obligations specified in the employment contract. (ACAS, no date) </w:t>
      </w:r>
    </w:p>
    <w:p xmlns:wp14="http://schemas.microsoft.com/office/word/2010/wordml" w:rsidP="243C45A3" wp14:paraId="2CCEB5EF" wp14:textId="2320EB68">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TUPE applies when a firm or a portion of a business is transferred from one employer to another, such as Peachy Desserts acquiring Crumbly Cakes. By offering new contracts with differing terms and circumstances, Charlotte and Madeleine may be in violation of TUPE legislation, potentially exposing Peachy Desserts to legal claims for unfair dismissal or breach of contract from impacted employees. Any dismissal due to a transfer of undertaking is automatically unfair. However, unlike other kinds of automatically unjust dismissal, a two-year qualifying service period is still required to file an unfair dismissal claim. (Daniels, 2022)</w:t>
      </w:r>
    </w:p>
    <w:p xmlns:wp14="http://schemas.microsoft.com/office/word/2010/wordml" w:rsidP="243C45A3" wp14:paraId="5317D729" wp14:textId="120982EE">
      <w:pPr>
        <w:spacing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Any changes to the terms and conditions should be agreed with employee representatives or individual employees, considering the transfer's impact on their employment rights. (CIPD, 2022) This may involve providing information about the transfer, consulting with affected personnel, and allowing for a reasonable period of consultation before implementing any modifications. Charlotte and Madeleine can reduce the legal risks associated with the transfer and guarantee a seamless transition for all parties concerned by following TUPE requirements and communicating fairly and openly with the impacted employees. (Daniels, 2022)</w:t>
      </w:r>
    </w:p>
    <w:p xmlns:wp14="http://schemas.microsoft.com/office/word/2010/wordml" w:rsidP="243C45A3" wp14:paraId="5A72A073" wp14:textId="5C4A3B54">
      <w:pPr>
        <w:rPr>
          <w:rFonts w:ascii="Aptos" w:hAnsi="Aptos" w:eastAsia="Aptos" w:cs="Aptos"/>
          <w:b w:val="0"/>
          <w:bCs w:val="0"/>
          <w:i w:val="0"/>
          <w:iCs w:val="0"/>
          <w:caps w:val="0"/>
          <w:smallCaps w:val="0"/>
          <w:noProof w:val="0"/>
          <w:color w:val="FF0000"/>
          <w:sz w:val="24"/>
          <w:szCs w:val="24"/>
          <w:lang w:val="en-US"/>
        </w:rPr>
      </w:pPr>
      <w:r w:rsidRPr="243C45A3" w:rsidR="5313D17E">
        <w:rPr>
          <w:rFonts w:ascii="Aptos" w:hAnsi="Aptos" w:eastAsia="Aptos" w:cs="Aptos"/>
          <w:b w:val="0"/>
          <w:bCs w:val="0"/>
          <w:i w:val="0"/>
          <w:iCs w:val="0"/>
          <w:caps w:val="0"/>
          <w:smallCaps w:val="0"/>
          <w:noProof w:val="0"/>
          <w:color w:val="000000" w:themeColor="text1" w:themeTint="FF" w:themeShade="FF"/>
          <w:sz w:val="24"/>
          <w:szCs w:val="24"/>
          <w:lang w:val="en-US"/>
        </w:rPr>
        <w:t xml:space="preserve">Therefore, Crumbly Cakes employees should retain their existing terms and conditions of employment after the transfer, and any changes made by Charlotte and Madeleine could be deemed unlawful. For example, in Ferguson v Kimberley Group Housing Ltd (2006), the Employment Appeal Tribunal (EAT) held that the new employer's attempt to harmonise the terms and conditions of transferred staff with those of its existing staff was a breach of TUPE, even though the changes were beneficial to the employees. The EAT stated that "the whole purpose of TUPE is to keep things as they are and not to allow scope for change". </w:t>
      </w:r>
      <w:r w:rsidRPr="243C45A3" w:rsidR="5313D17E">
        <w:rPr>
          <w:rFonts w:ascii="Aptos" w:hAnsi="Aptos" w:eastAsia="Aptos" w:cs="Aptos"/>
          <w:b w:val="0"/>
          <w:bCs w:val="0"/>
          <w:i w:val="0"/>
          <w:iCs w:val="0"/>
          <w:caps w:val="0"/>
          <w:smallCaps w:val="0"/>
          <w:noProof w:val="0"/>
          <w:color w:val="FF0000"/>
          <w:sz w:val="24"/>
          <w:szCs w:val="24"/>
          <w:lang w:val="en-US"/>
        </w:rPr>
        <w:t>(Daniels, 2022, p. 259)</w:t>
      </w:r>
    </w:p>
    <w:p xmlns:wp14="http://schemas.microsoft.com/office/word/2010/wordml" w:rsidP="243C45A3" wp14:paraId="1DC24D5F" wp14:textId="50DEF4DB">
      <w:pPr>
        <w:spacing w:after="120"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3F19C57A" wp14:textId="44561D0D">
      <w:pPr>
        <w:spacing w:after="120"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4.1) 213</w:t>
      </w:r>
    </w:p>
    <w:p xmlns:wp14="http://schemas.microsoft.com/office/word/2010/wordml" w:rsidP="243C45A3" wp14:paraId="47962F40" wp14:textId="1B760DC5">
      <w:pPr>
        <w:spacing w:after="120"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06799F2E" wp14:textId="7BBD1883">
      <w:pPr>
        <w:spacing w:after="120"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Peachy Deserts should follow the legal requirements set out by the National Minimum Wage Act 1998, employers must ensure a minimum average payment for the hours worked by their employees. This standard is known as the National Living Wage for individuals aged 21 or older, and the National Minimum Wage for those under 21 or apprentices. (ACAS,no date)</w:t>
      </w:r>
    </w:p>
    <w:p xmlns:wp14="http://schemas.microsoft.com/office/word/2010/wordml" w:rsidP="243C45A3" wp14:paraId="06B7C323" wp14:textId="4CE78A0E">
      <w:pPr>
        <w:spacing w:after="120"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The National Minimum Wage (NMW) Act guarantees workers the right to a minimum hourly wage. A worker is defined under the Act as someone who works under an employment contract or any other arrangement under which the individual agrees to personally execute any work or services for another party. It is crucial for employers like Charlotte and Madeleine to grasp these distinctions and ensure that all employees receive compensation in alignment with the appropriate minimum wage rates, considering their age and employment status. (Daniels, 2022)</w:t>
      </w:r>
    </w:p>
    <w:p xmlns:wp14="http://schemas.microsoft.com/office/word/2010/wordml" w:rsidP="243C45A3" wp14:paraId="231A420C" wp14:textId="5A7D8197">
      <w:pPr>
        <w:spacing w:before="0" w:beforeAutospacing="off" w:after="120" w:afterAutospacing="off" w:line="264"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I would also recommend that Peachy Deserts provide their employees with a written itemised pay statement by law (Employment Rights Act 1996) either in physical or digital format, on or before each pay day. This statement should include gross salary, deductions, net pay, and precise information regarding any variable compensation components. Providing accurate and timely information helps employers achieve their obligations and encourages transparency in pay practices. (ACAS, no date)</w:t>
      </w:r>
    </w:p>
    <w:p xmlns:wp14="http://schemas.microsoft.com/office/word/2010/wordml" w:rsidP="243C45A3" wp14:paraId="743BCB26" wp14:textId="72EFCF9C">
      <w:pPr>
        <w:spacing w:before="0" w:beforeAutospacing="off" w:after="120" w:afterAutospacing="off" w:line="264"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76285E0E" wp14:textId="07734C7D">
      <w:pPr>
        <w:spacing w:after="120" w:line="26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4.2</w:t>
      </w:r>
      <w:r w:rsidRPr="243C45A3" w:rsidR="5313D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465</w:t>
      </w:r>
    </w:p>
    <w:p xmlns:wp14="http://schemas.microsoft.com/office/word/2010/wordml" w:rsidP="243C45A3" wp14:paraId="7A2E9BD8" wp14:textId="7822DAC7">
      <w:pPr>
        <w:spacing w:after="120" w:line="264"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The Working Time Regulations 1998, a key part of employment law, set standards for several rights and protections for workers, such as a maximum average limit of 48 hours for the working week, adequate rest periods during shifts, and enough days off (ACAS, 2024).</w:t>
      </w:r>
    </w:p>
    <w:p xmlns:wp14="http://schemas.microsoft.com/office/word/2010/wordml" w:rsidP="243C45A3" wp14:paraId="50951A50" wp14:textId="15D7B000">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total number of hours worked, including overtime, should not exceed an average of 48 hours per week over a 17-week reference period. Kit's normal working hours of 12 hours per day, five days a week, along with the extra work needed to cover for his supervisor's absence, suggest that he is continually working 60 hours per week. Therefore, his rights may have been breached under the Working Time Regulations if he worked continuously over the 17 weeks. (Daniels, 2022) </w:t>
      </w:r>
    </w:p>
    <w:p xmlns:wp14="http://schemas.microsoft.com/office/word/2010/wordml" w:rsidP="243C45A3" wp14:paraId="52C63460" wp14:textId="546C50B5">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CIPD (2024) defines working time as any period during which a worker is available to the employer and performs their duties. Working time does not include time spent relaxing at the end of the day, taking lunch breaks, or being on call away from the workplace while not doing tasks.</w:t>
      </w:r>
    </w:p>
    <w:p xmlns:wp14="http://schemas.microsoft.com/office/word/2010/wordml" w:rsidP="243C45A3" wp14:paraId="3882B38B" wp14:textId="2273BB7E">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3C45A3" w:rsidR="5313D1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To address Kit's issues and ensure compliance with employment law, my advice would be to promptly review his work schedule, sharing duties or hiring more staff, to reduce the risk of violating the Working Time Directive and protect the health of your workers. If a worker is denied their entitlements under the regulations, they can make a claim with the tribunal. Compensation for loss is potentially unlimited, according to the Employment Rights Act 1996 (Daniels, 2022)</w:t>
      </w:r>
    </w:p>
    <w:p xmlns:wp14="http://schemas.microsoft.com/office/word/2010/wordml" w:rsidP="243C45A3" wp14:paraId="489AAD74" wp14:textId="472E7FFA">
      <w:pPr>
        <w:spacing w:after="120" w:line="26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43C45A3" w:rsidR="5313D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43C45A3" wp14:paraId="12B1A85B" wp14:textId="15B09549">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4.3) 487</w:t>
      </w:r>
    </w:p>
    <w:p xmlns:wp14="http://schemas.microsoft.com/office/word/2010/wordml" w:rsidP="243C45A3" wp14:paraId="5313F775" wp14:textId="37380A44">
      <w:pPr>
        <w:spacing w:before="240" w:after="24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Mothers, fathers, and partners, including same-sex partners and adoptive parents, have legal rights to maternity, paternity, adoption, and shared parental leave as a statutory right. It is crucial for Peachy Deserts to be aware of their obligations under employment law and to follow appropriate procedures when granting maternity leave and ensuring a fair and equal working environment for all employees. (CIPD, 2024)</w:t>
      </w:r>
    </w:p>
    <w:p xmlns:wp14="http://schemas.microsoft.com/office/word/2010/wordml" w:rsidP="243C45A3" wp14:paraId="6B1E7DF3" wp14:textId="4827A942">
      <w:pPr>
        <w:spacing w:before="240" w:after="24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Peachy Deserts are not allowed to discriminate against individuals based on their pregnancy-related illnesses, time off, or maternity leave taken or planned. GOV.UK (no date) provides guidance on maternity leave rights. According to the information provided, Coco is eligible for up to 52 weeks of maternity leave. This includes 26 weeks of ordinary maternity leave and 26 weeks of additional maternity leave (AML). These rights apply regardless of the size of the business or length of service. In addition to ordinary maternity leave, Coco is also eligible for up to 39 weeks of Statutory Maternity Pay (SMP). Coco's SMP is calculated at a flat rate or 90% of average weekly earnings (whichever is lower) for the first six weeks. For the remaining 33 weeks, her SMP is valued at the statutory rate or 90% of average weekly earnings (whichever is lower).</w:t>
      </w:r>
    </w:p>
    <w:p xmlns:wp14="http://schemas.microsoft.com/office/word/2010/wordml" w:rsidP="243C45A3" wp14:paraId="3446E9F8" wp14:textId="35782187">
      <w:pPr>
        <w:spacing w:before="240" w:after="24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Coco has the right to be protected from unfair treatment, dismissal, or discrimination at work because of her pregnancy or maternity leave. Employers are required by law to provide a secure and equal working environment for all employees, including those who are pregnant or on maternity leave. Employees who feel they have been discriminated against may also seek legal advice or seek assistance from the relevant employment tribunals. (ACAS, 2024)</w:t>
      </w:r>
    </w:p>
    <w:p xmlns:wp14="http://schemas.microsoft.com/office/word/2010/wordml" w:rsidP="243C45A3" wp14:paraId="4798DB4A" wp14:textId="1D0D78CE">
      <w:pPr>
        <w:spacing w:before="240" w:after="24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It is also essential for Peachy Deserts to be aware of paternity and adoption rights to avoid potential mistakes in these areas. Paternity rights entail one or two weeks of paid leave for eligible employees to support their partner or the mother of their child. This leave can be taken immediately after the birth or later, providing flexibility for the employee and their family. By adhering to paternity rights, employers can demonstrate their commitment to equal opportunities and work-life balance. (GOV.UK, no date)</w:t>
      </w:r>
    </w:p>
    <w:p xmlns:wp14="http://schemas.microsoft.com/office/word/2010/wordml" w:rsidP="243C45A3" wp14:paraId="7700B895" wp14:textId="38F3CDE6">
      <w:pPr>
        <w:spacing w:before="240" w:after="24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Segoe UI" w:hAnsi="Segoe UI" w:eastAsia="Segoe UI" w:cs="Segoe UI"/>
          <w:b w:val="0"/>
          <w:bCs w:val="0"/>
          <w:i w:val="0"/>
          <w:iCs w:val="0"/>
          <w:caps w:val="0"/>
          <w:smallCaps w:val="0"/>
          <w:noProof w:val="0"/>
          <w:color w:val="000000" w:themeColor="text1" w:themeTint="FF" w:themeShade="FF"/>
          <w:sz w:val="24"/>
          <w:szCs w:val="24"/>
          <w:lang w:val="en-US"/>
        </w:rPr>
        <w:t>Adoption</w:t>
      </w: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rights help employees who have adopted a child. In the UK, eligible employees can take up to 52 weeks of adoption leave, which can commence before or after the adoption process is completed. During this period, employees continue to receive their normal pay. In addition to adoption leave, employees may receive statutory adoption pay, which is equivalent to the lower of 90% of their average weekly earnings or the statutory adoption pay rate. (GOV.UK, no date)</w:t>
      </w:r>
    </w:p>
    <w:p xmlns:wp14="http://schemas.microsoft.com/office/word/2010/wordml" w:rsidP="243C45A3" wp14:paraId="33B4BA88" wp14:textId="08AA6211">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According to the CIPD (2024) the most relevant UK legislation maternity, paternity, and adoption rights is in the Employment Rights Act 1996, the Employment Relations Act 1999, the Employment Act 2002, the Work and Families Act 2006, the Children and Families Act 2014 and the Protection from Redundancy (Pregnancy and Family Leave) Act 2023. </w:t>
      </w:r>
    </w:p>
    <w:p xmlns:wp14="http://schemas.microsoft.com/office/word/2010/wordml" w:rsidP="243C45A3" wp14:paraId="3D313F46" wp14:textId="46F0C3BD">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1B748F3C" wp14:textId="1503E7E0">
      <w:pPr>
        <w:spacing w:line="264"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 4.4) 249</w:t>
      </w:r>
    </w:p>
    <w:p xmlns:wp14="http://schemas.microsoft.com/office/word/2010/wordml" w:rsidP="243C45A3" wp14:paraId="00B28F6E" wp14:textId="1A88C40D">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Charlotte and Madeleine should be aware that under UK law, all employees have a legislative right to request flexible working arrangements after completing 26 weeks of continuous employment. (Daniels, 2022) </w:t>
      </w:r>
    </w:p>
    <w:p xmlns:wp14="http://schemas.microsoft.com/office/word/2010/wordml" w:rsidP="243C45A3" wp14:paraId="3D182947" wp14:textId="5F55DD2D">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243C45A3" wp14:paraId="4A0A3219" wp14:textId="58F36079">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The Flexible Working Regulations 2014 outline this right, allowing employees to request changes to their working hours, start and end times, days worked, and even location. Refusing such a request without adequate consideration or rationale could result in legal action against Peachy Deserts for unfair treatment or constructive dismissal. (GOV.UK, no date)</w:t>
      </w:r>
    </w:p>
    <w:p xmlns:wp14="http://schemas.microsoft.com/office/word/2010/wordml" w:rsidP="243C45A3" wp14:paraId="5DB16264" wp14:textId="4476D45C">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43C45A3" wp14:paraId="417B2F44" wp14:textId="2C7A447A">
      <w:pPr>
        <w:spacing w:after="0"/>
        <w:rPr>
          <w:rFonts w:ascii="Calibri" w:hAnsi="Calibri" w:eastAsia="Calibri" w:cs="Calibri"/>
          <w:b w:val="0"/>
          <w:bCs w:val="0"/>
          <w:i w:val="0"/>
          <w:iCs w:val="0"/>
          <w:caps w:val="0"/>
          <w:smallCaps w:val="0"/>
          <w:noProof w:val="0"/>
          <w:color w:val="000000" w:themeColor="text1" w:themeTint="FF" w:themeShade="FF"/>
          <w:sz w:val="24"/>
          <w:szCs w:val="24"/>
          <w:lang w:val="en-US"/>
        </w:rPr>
      </w:pPr>
      <w:r w:rsidRPr="243C45A3" w:rsidR="5313D17E">
        <w:rPr>
          <w:rFonts w:ascii="Calibri" w:hAnsi="Calibri" w:eastAsia="Calibri" w:cs="Calibri"/>
          <w:b w:val="0"/>
          <w:bCs w:val="0"/>
          <w:i w:val="0"/>
          <w:iCs w:val="0"/>
          <w:caps w:val="0"/>
          <w:smallCaps w:val="0"/>
          <w:noProof w:val="0"/>
          <w:color w:val="000000" w:themeColor="text1" w:themeTint="FF" w:themeShade="FF"/>
          <w:sz w:val="24"/>
          <w:szCs w:val="24"/>
          <w:lang w:val="en-US"/>
        </w:rPr>
        <w:t>ACAS (No date) suggests it is good practice for employers to have a flexible working policy in place. A policy can help managers and employees debate and agree on flexible working in a consistent manner. In this scenario without a policy Charlotte and Madeleine should refer to the ACAS Flexible Working Policy when dealing with Chelsea's request for flexible working hours, which emphasises the significance of addressing employees demands while balancing operational responsibilities. They should start a productive conversation with Chelsea to fully understand her reasons for wanting flexible working hours and to explore viable solutions that meet both her needs and the business's operational responsibilities. If meeting Chelsea's request becomes difficult, they should disclose transparent and valid reasons for any constraints and consider other alternatives, such as offering decreased hours or changing her work schedule. By following the ACAS policy and communicating openly with Chelsea, Charlotte and Madeleine may demonstrate their commitment to supporting their employee’s well-being and promoting a healthy work environment. (ACAS, No date)</w:t>
      </w:r>
    </w:p>
    <w:p xmlns:wp14="http://schemas.microsoft.com/office/word/2010/wordml" w:rsidP="243C45A3" wp14:paraId="2C078E63" wp14:textId="65B45276">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6504B1"/>
    <w:rsid w:val="0AC66191"/>
    <w:rsid w:val="243C45A3"/>
    <w:rsid w:val="256504B1"/>
    <w:rsid w:val="4187CBE2"/>
    <w:rsid w:val="5313D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504B1"/>
  <w15:chartTrackingRefBased/>
  <w15:docId w15:val="{81F67BB9-7FE7-4226-9302-C10DB1F150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2024-05-07T17:50:50.9294987Z</dcterms:created>
  <dcterms:modified xsi:type="dcterms:W3CDTF">2024-05-07T17:52:05.1225904Z</dcterms:modified>
  <dc:creator>Sian White</dc:creator>
  <lastModifiedBy>Sian White</lastModifiedBy>
</coreProperties>
</file>