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8422132"/>
        <w:docPartObj>
          <w:docPartGallery w:val="Cover Pages"/>
          <w:docPartUnique/>
        </w:docPartObj>
      </w:sdtPr>
      <w:sdtEndPr>
        <w:rPr>
          <w:b/>
          <w:bCs/>
        </w:rPr>
      </w:sdtEndPr>
      <w:sdtContent>
        <w:p w14:paraId="2CC81D89" w14:textId="2E89946C" w:rsidR="00B8041A" w:rsidRDefault="00B8041A">
          <w:r>
            <w:rPr>
              <w:noProof/>
            </w:rPr>
            <mc:AlternateContent>
              <mc:Choice Requires="wpg">
                <w:drawing>
                  <wp:anchor distT="0" distB="0" distL="114300" distR="114300" simplePos="0" relativeHeight="251658240" behindDoc="0" locked="0" layoutInCell="1" allowOverlap="1" wp14:anchorId="1421ED75" wp14:editId="749F6F6D">
                    <wp:simplePos x="0" y="0"/>
                    <wp:positionH relativeFrom="page">
                      <wp:align>center</wp:align>
                    </wp:positionH>
                    <wp:positionV relativeFrom="page">
                      <wp:align>center</wp:align>
                    </wp:positionV>
                    <wp:extent cx="7333488" cy="9601200"/>
                    <wp:effectExtent l="0" t="0" r="127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0F3ED3" w14:textId="03FCB210" w:rsidR="00B8041A" w:rsidRDefault="00B804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Group report</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CE9F041" w14:textId="7A58C0C6" w:rsidR="00B8041A" w:rsidRDefault="00920711">
                                      <w:pPr>
                                        <w:pStyle w:val="NoSpacing"/>
                                        <w:spacing w:line="264" w:lineRule="auto"/>
                                        <w:rPr>
                                          <w:color w:val="E8E8E8" w:themeColor="background2"/>
                                          <w:spacing w:val="20"/>
                                          <w:sz w:val="40"/>
                                          <w:szCs w:val="40"/>
                                        </w:rPr>
                                      </w:pPr>
                                      <w:r>
                                        <w:rPr>
                                          <w:color w:val="E8E8E8" w:themeColor="background2"/>
                                          <w:spacing w:val="20"/>
                                          <w:sz w:val="40"/>
                                          <w:szCs w:val="40"/>
                                        </w:rPr>
                                        <w:t>Diageo plc's marketing strategy to boost sales in the UK market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5F8C04CF" w14:textId="006979F3" w:rsidR="00B8041A" w:rsidRPr="00B8041A" w:rsidRDefault="00B8041A" w:rsidP="00B8041A">
                                  <w:pPr>
                                    <w:rPr>
                                      <w:color w:val="FFFFFF" w:themeColor="background1"/>
                                    </w:rPr>
                                  </w:pPr>
                                  <w:r w:rsidRPr="00B8041A">
                                    <w:rPr>
                                      <w:color w:val="FFFFFF" w:themeColor="background1"/>
                                    </w:rPr>
                                    <w:t xml:space="preserve">Name: Cotofan Simona (2313525), Elisa Iuliana Burlacu (2412263), </w:t>
                                  </w:r>
                                  <w:r w:rsidR="00391A9D">
                                    <w:rPr>
                                      <w:color w:val="FFFFFF" w:themeColor="background1"/>
                                    </w:rPr>
                                    <w:t>Jesica Manole</w:t>
                                  </w:r>
                                  <w:r w:rsidR="00E438F1">
                                    <w:rPr>
                                      <w:color w:val="FFFFFF" w:themeColor="background1"/>
                                    </w:rPr>
                                    <w:t xml:space="preserve"> (2241691)</w:t>
                                  </w:r>
                                </w:p>
                                <w:p w14:paraId="19A1658C" w14:textId="77777777" w:rsidR="00B8041A" w:rsidRPr="00B8041A" w:rsidRDefault="00B8041A" w:rsidP="00B8041A">
                                  <w:pPr>
                                    <w:rPr>
                                      <w:color w:val="FFFFFF" w:themeColor="background1"/>
                                    </w:rPr>
                                  </w:pPr>
                                  <w:r w:rsidRPr="00B8041A">
                                    <w:rPr>
                                      <w:color w:val="FFFFFF" w:themeColor="background1"/>
                                    </w:rPr>
                                    <w:t xml:space="preserve">Module name: </w:t>
                                  </w:r>
                                  <w:r w:rsidRPr="00B8041A">
                                    <w:rPr>
                                      <w:rFonts w:cs="Arial"/>
                                      <w:bCs/>
                                      <w:color w:val="FFFFFF" w:themeColor="background1"/>
                                    </w:rPr>
                                    <w:t>Principles of Marketing</w:t>
                                  </w:r>
                                  <w:r w:rsidRPr="00B8041A">
                                    <w:rPr>
                                      <w:rFonts w:cs="Arial"/>
                                      <w:b/>
                                      <w:color w:val="FFFFFF" w:themeColor="background1"/>
                                    </w:rPr>
                                    <w:t xml:space="preserve">  </w:t>
                                  </w:r>
                                </w:p>
                                <w:p w14:paraId="082FCC95" w14:textId="5FC1785C" w:rsidR="00B8041A" w:rsidRPr="00B8041A" w:rsidRDefault="00B8041A" w:rsidP="00B8041A">
                                  <w:pPr>
                                    <w:pStyle w:val="NoSpacing"/>
                                    <w:rPr>
                                      <w:color w:val="FFFFFF" w:themeColor="background1"/>
                                      <w:spacing w:val="20"/>
                                      <w:sz w:val="36"/>
                                      <w:szCs w:val="36"/>
                                    </w:rPr>
                                  </w:pPr>
                                  <w:r w:rsidRPr="00B8041A">
                                    <w:rPr>
                                      <w:color w:val="FFFFFF" w:themeColor="background1"/>
                                    </w:rPr>
                                    <w:t>Module code: LCBB5015</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421ED75" id="Group 133"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0F3ED3" w14:textId="03FCB210" w:rsidR="00B8041A" w:rsidRDefault="00B804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Group report</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CE9F041" w14:textId="7A58C0C6" w:rsidR="00B8041A" w:rsidRDefault="00920711">
                                <w:pPr>
                                  <w:pStyle w:val="NoSpacing"/>
                                  <w:spacing w:line="264" w:lineRule="auto"/>
                                  <w:rPr>
                                    <w:color w:val="E8E8E8" w:themeColor="background2"/>
                                    <w:spacing w:val="20"/>
                                    <w:sz w:val="40"/>
                                    <w:szCs w:val="40"/>
                                  </w:rPr>
                                </w:pPr>
                                <w:r>
                                  <w:rPr>
                                    <w:color w:val="E8E8E8" w:themeColor="background2"/>
                                    <w:spacing w:val="20"/>
                                    <w:sz w:val="40"/>
                                    <w:szCs w:val="40"/>
                                  </w:rPr>
                                  <w:t>Diageo plc's marketing strategy to boost sales in the UK market</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5F8C04CF" w14:textId="006979F3" w:rsidR="00B8041A" w:rsidRPr="00B8041A" w:rsidRDefault="00B8041A" w:rsidP="00B8041A">
                            <w:pPr>
                              <w:rPr>
                                <w:color w:val="FFFFFF" w:themeColor="background1"/>
                              </w:rPr>
                            </w:pPr>
                            <w:r w:rsidRPr="00B8041A">
                              <w:rPr>
                                <w:color w:val="FFFFFF" w:themeColor="background1"/>
                              </w:rPr>
                              <w:t xml:space="preserve">Name: Cotofan Simona (2313525), Elisa Iuliana Burlacu (2412263), </w:t>
                            </w:r>
                            <w:r w:rsidR="00391A9D">
                              <w:rPr>
                                <w:color w:val="FFFFFF" w:themeColor="background1"/>
                              </w:rPr>
                              <w:t>Jesica Manole</w:t>
                            </w:r>
                            <w:r w:rsidR="00E438F1">
                              <w:rPr>
                                <w:color w:val="FFFFFF" w:themeColor="background1"/>
                              </w:rPr>
                              <w:t xml:space="preserve"> (2241691)</w:t>
                            </w:r>
                          </w:p>
                          <w:p w14:paraId="19A1658C" w14:textId="77777777" w:rsidR="00B8041A" w:rsidRPr="00B8041A" w:rsidRDefault="00B8041A" w:rsidP="00B8041A">
                            <w:pPr>
                              <w:rPr>
                                <w:color w:val="FFFFFF" w:themeColor="background1"/>
                              </w:rPr>
                            </w:pPr>
                            <w:r w:rsidRPr="00B8041A">
                              <w:rPr>
                                <w:color w:val="FFFFFF" w:themeColor="background1"/>
                              </w:rPr>
                              <w:t xml:space="preserve">Module name: </w:t>
                            </w:r>
                            <w:r w:rsidRPr="00B8041A">
                              <w:rPr>
                                <w:rFonts w:cs="Arial"/>
                                <w:bCs/>
                                <w:color w:val="FFFFFF" w:themeColor="background1"/>
                              </w:rPr>
                              <w:t>Principles of Marketing</w:t>
                            </w:r>
                            <w:r w:rsidRPr="00B8041A">
                              <w:rPr>
                                <w:rFonts w:cs="Arial"/>
                                <w:b/>
                                <w:color w:val="FFFFFF" w:themeColor="background1"/>
                              </w:rPr>
                              <w:t xml:space="preserve">  </w:t>
                            </w:r>
                          </w:p>
                          <w:p w14:paraId="082FCC95" w14:textId="5FC1785C" w:rsidR="00B8041A" w:rsidRPr="00B8041A" w:rsidRDefault="00B8041A" w:rsidP="00B8041A">
                            <w:pPr>
                              <w:pStyle w:val="NoSpacing"/>
                              <w:rPr>
                                <w:color w:val="FFFFFF" w:themeColor="background1"/>
                                <w:spacing w:val="20"/>
                                <w:sz w:val="36"/>
                                <w:szCs w:val="36"/>
                              </w:rPr>
                            </w:pPr>
                            <w:r w:rsidRPr="00B8041A">
                              <w:rPr>
                                <w:color w:val="FFFFFF" w:themeColor="background1"/>
                              </w:rPr>
                              <w:t>Module code: LCBB5015</w:t>
                            </w:r>
                          </w:p>
                        </w:txbxContent>
                      </v:textbox>
                    </v:shape>
                    <w10:wrap anchorx="page" anchory="page"/>
                  </v:group>
                </w:pict>
              </mc:Fallback>
            </mc:AlternateContent>
          </w:r>
        </w:p>
        <w:p w14:paraId="42AEF58F" w14:textId="4431334B" w:rsidR="00B8041A" w:rsidRDefault="00B8041A">
          <w:r>
            <w:rPr>
              <w:b/>
              <w:bCs/>
            </w:rPr>
            <w:br w:type="page"/>
          </w:r>
        </w:p>
      </w:sdtContent>
    </w:sdt>
    <w:sdt>
      <w:sdtPr>
        <w:rPr>
          <w:rFonts w:asciiTheme="minorHAnsi" w:eastAsiaTheme="minorHAnsi" w:hAnsiTheme="minorHAnsi" w:cstheme="minorBidi"/>
          <w:b w:val="0"/>
          <w:bCs w:val="0"/>
          <w:color w:val="auto"/>
          <w:sz w:val="24"/>
          <w:szCs w:val="24"/>
          <w:lang w:val="en-GB"/>
        </w:rPr>
        <w:id w:val="-881321084"/>
        <w:docPartObj>
          <w:docPartGallery w:val="Table of Contents"/>
          <w:docPartUnique/>
        </w:docPartObj>
      </w:sdtPr>
      <w:sdtEndPr>
        <w:rPr>
          <w:noProof/>
        </w:rPr>
      </w:sdtEndPr>
      <w:sdtContent>
        <w:p w14:paraId="7CD9FF68" w14:textId="18DBC8B1" w:rsidR="00352843" w:rsidRDefault="00352843">
          <w:pPr>
            <w:pStyle w:val="TOCHeading"/>
          </w:pPr>
          <w:r>
            <w:t>Table of Contents</w:t>
          </w:r>
        </w:p>
        <w:p w14:paraId="7775101C" w14:textId="1427912F" w:rsidR="009026D6" w:rsidRDefault="00352843">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3426457" w:history="1">
            <w:r w:rsidR="009026D6" w:rsidRPr="008569AB">
              <w:rPr>
                <w:rStyle w:val="Hyperlink"/>
                <w:noProof/>
              </w:rPr>
              <w:t>Diageo plc's marketing strategy to boost sales in the UK market</w:t>
            </w:r>
            <w:r w:rsidR="009026D6">
              <w:rPr>
                <w:noProof/>
                <w:webHidden/>
              </w:rPr>
              <w:tab/>
            </w:r>
            <w:r w:rsidR="009026D6">
              <w:rPr>
                <w:noProof/>
                <w:webHidden/>
              </w:rPr>
              <w:fldChar w:fldCharType="begin"/>
            </w:r>
            <w:r w:rsidR="009026D6">
              <w:rPr>
                <w:noProof/>
                <w:webHidden/>
              </w:rPr>
              <w:instrText xml:space="preserve"> PAGEREF _Toc213426457 \h </w:instrText>
            </w:r>
            <w:r w:rsidR="009026D6">
              <w:rPr>
                <w:noProof/>
                <w:webHidden/>
              </w:rPr>
            </w:r>
            <w:r w:rsidR="009026D6">
              <w:rPr>
                <w:noProof/>
                <w:webHidden/>
              </w:rPr>
              <w:fldChar w:fldCharType="separate"/>
            </w:r>
            <w:r w:rsidR="009026D6">
              <w:rPr>
                <w:noProof/>
                <w:webHidden/>
              </w:rPr>
              <w:t>2</w:t>
            </w:r>
            <w:r w:rsidR="009026D6">
              <w:rPr>
                <w:noProof/>
                <w:webHidden/>
              </w:rPr>
              <w:fldChar w:fldCharType="end"/>
            </w:r>
          </w:hyperlink>
        </w:p>
        <w:p w14:paraId="60F80991" w14:textId="1A8E1025"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58" w:history="1">
            <w:r w:rsidRPr="008569AB">
              <w:rPr>
                <w:rStyle w:val="Hyperlink"/>
                <w:noProof/>
              </w:rPr>
              <w:t>1. Introduction and Mission</w:t>
            </w:r>
            <w:r>
              <w:rPr>
                <w:noProof/>
                <w:webHidden/>
              </w:rPr>
              <w:tab/>
            </w:r>
            <w:r>
              <w:rPr>
                <w:noProof/>
                <w:webHidden/>
              </w:rPr>
              <w:fldChar w:fldCharType="begin"/>
            </w:r>
            <w:r>
              <w:rPr>
                <w:noProof/>
                <w:webHidden/>
              </w:rPr>
              <w:instrText xml:space="preserve"> PAGEREF _Toc213426458 \h </w:instrText>
            </w:r>
            <w:r>
              <w:rPr>
                <w:noProof/>
                <w:webHidden/>
              </w:rPr>
            </w:r>
            <w:r>
              <w:rPr>
                <w:noProof/>
                <w:webHidden/>
              </w:rPr>
              <w:fldChar w:fldCharType="separate"/>
            </w:r>
            <w:r>
              <w:rPr>
                <w:noProof/>
                <w:webHidden/>
              </w:rPr>
              <w:t>2</w:t>
            </w:r>
            <w:r>
              <w:rPr>
                <w:noProof/>
                <w:webHidden/>
              </w:rPr>
              <w:fldChar w:fldCharType="end"/>
            </w:r>
          </w:hyperlink>
        </w:p>
        <w:p w14:paraId="2693E235" w14:textId="51174246"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59" w:history="1">
            <w:r w:rsidRPr="008569AB">
              <w:rPr>
                <w:rStyle w:val="Hyperlink"/>
                <w:noProof/>
              </w:rPr>
              <w:t>2. PESTEL Analysis</w:t>
            </w:r>
            <w:r>
              <w:rPr>
                <w:noProof/>
                <w:webHidden/>
              </w:rPr>
              <w:tab/>
            </w:r>
            <w:r>
              <w:rPr>
                <w:noProof/>
                <w:webHidden/>
              </w:rPr>
              <w:fldChar w:fldCharType="begin"/>
            </w:r>
            <w:r>
              <w:rPr>
                <w:noProof/>
                <w:webHidden/>
              </w:rPr>
              <w:instrText xml:space="preserve"> PAGEREF _Toc213426459 \h </w:instrText>
            </w:r>
            <w:r>
              <w:rPr>
                <w:noProof/>
                <w:webHidden/>
              </w:rPr>
            </w:r>
            <w:r>
              <w:rPr>
                <w:noProof/>
                <w:webHidden/>
              </w:rPr>
              <w:fldChar w:fldCharType="separate"/>
            </w:r>
            <w:r>
              <w:rPr>
                <w:noProof/>
                <w:webHidden/>
              </w:rPr>
              <w:t>3</w:t>
            </w:r>
            <w:r>
              <w:rPr>
                <w:noProof/>
                <w:webHidden/>
              </w:rPr>
              <w:fldChar w:fldCharType="end"/>
            </w:r>
          </w:hyperlink>
        </w:p>
        <w:p w14:paraId="1259DFA0" w14:textId="02584920"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0" w:history="1">
            <w:r w:rsidRPr="008569AB">
              <w:rPr>
                <w:rStyle w:val="Hyperlink"/>
                <w:noProof/>
              </w:rPr>
              <w:t>2.1) Political Factors</w:t>
            </w:r>
            <w:r>
              <w:rPr>
                <w:noProof/>
                <w:webHidden/>
              </w:rPr>
              <w:tab/>
            </w:r>
            <w:r>
              <w:rPr>
                <w:noProof/>
                <w:webHidden/>
              </w:rPr>
              <w:fldChar w:fldCharType="begin"/>
            </w:r>
            <w:r>
              <w:rPr>
                <w:noProof/>
                <w:webHidden/>
              </w:rPr>
              <w:instrText xml:space="preserve"> PAGEREF _Toc213426460 \h </w:instrText>
            </w:r>
            <w:r>
              <w:rPr>
                <w:noProof/>
                <w:webHidden/>
              </w:rPr>
            </w:r>
            <w:r>
              <w:rPr>
                <w:noProof/>
                <w:webHidden/>
              </w:rPr>
              <w:fldChar w:fldCharType="separate"/>
            </w:r>
            <w:r>
              <w:rPr>
                <w:noProof/>
                <w:webHidden/>
              </w:rPr>
              <w:t>3</w:t>
            </w:r>
            <w:r>
              <w:rPr>
                <w:noProof/>
                <w:webHidden/>
              </w:rPr>
              <w:fldChar w:fldCharType="end"/>
            </w:r>
          </w:hyperlink>
        </w:p>
        <w:p w14:paraId="1CE4C4D5" w14:textId="0511CFE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1" w:history="1">
            <w:r w:rsidRPr="008569AB">
              <w:rPr>
                <w:rStyle w:val="Hyperlink"/>
                <w:noProof/>
              </w:rPr>
              <w:t>2.2) Economic Factors</w:t>
            </w:r>
            <w:r>
              <w:rPr>
                <w:noProof/>
                <w:webHidden/>
              </w:rPr>
              <w:tab/>
            </w:r>
            <w:r>
              <w:rPr>
                <w:noProof/>
                <w:webHidden/>
              </w:rPr>
              <w:fldChar w:fldCharType="begin"/>
            </w:r>
            <w:r>
              <w:rPr>
                <w:noProof/>
                <w:webHidden/>
              </w:rPr>
              <w:instrText xml:space="preserve"> PAGEREF _Toc213426461 \h </w:instrText>
            </w:r>
            <w:r>
              <w:rPr>
                <w:noProof/>
                <w:webHidden/>
              </w:rPr>
            </w:r>
            <w:r>
              <w:rPr>
                <w:noProof/>
                <w:webHidden/>
              </w:rPr>
              <w:fldChar w:fldCharType="separate"/>
            </w:r>
            <w:r>
              <w:rPr>
                <w:noProof/>
                <w:webHidden/>
              </w:rPr>
              <w:t>3</w:t>
            </w:r>
            <w:r>
              <w:rPr>
                <w:noProof/>
                <w:webHidden/>
              </w:rPr>
              <w:fldChar w:fldCharType="end"/>
            </w:r>
          </w:hyperlink>
        </w:p>
        <w:p w14:paraId="0F5FF2B4" w14:textId="1C1C80E8"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2" w:history="1">
            <w:r w:rsidRPr="008569AB">
              <w:rPr>
                <w:rStyle w:val="Hyperlink"/>
                <w:noProof/>
              </w:rPr>
              <w:t>2.3) Social Factors</w:t>
            </w:r>
            <w:r>
              <w:rPr>
                <w:noProof/>
                <w:webHidden/>
              </w:rPr>
              <w:tab/>
            </w:r>
            <w:r>
              <w:rPr>
                <w:noProof/>
                <w:webHidden/>
              </w:rPr>
              <w:fldChar w:fldCharType="begin"/>
            </w:r>
            <w:r>
              <w:rPr>
                <w:noProof/>
                <w:webHidden/>
              </w:rPr>
              <w:instrText xml:space="preserve"> PAGEREF _Toc213426462 \h </w:instrText>
            </w:r>
            <w:r>
              <w:rPr>
                <w:noProof/>
                <w:webHidden/>
              </w:rPr>
            </w:r>
            <w:r>
              <w:rPr>
                <w:noProof/>
                <w:webHidden/>
              </w:rPr>
              <w:fldChar w:fldCharType="separate"/>
            </w:r>
            <w:r>
              <w:rPr>
                <w:noProof/>
                <w:webHidden/>
              </w:rPr>
              <w:t>4</w:t>
            </w:r>
            <w:r>
              <w:rPr>
                <w:noProof/>
                <w:webHidden/>
              </w:rPr>
              <w:fldChar w:fldCharType="end"/>
            </w:r>
          </w:hyperlink>
        </w:p>
        <w:p w14:paraId="6EEE9644" w14:textId="243D5BCA"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3" w:history="1">
            <w:r w:rsidRPr="008569AB">
              <w:rPr>
                <w:rStyle w:val="Hyperlink"/>
                <w:noProof/>
              </w:rPr>
              <w:t>2.4) Technological Factors</w:t>
            </w:r>
            <w:r>
              <w:rPr>
                <w:noProof/>
                <w:webHidden/>
              </w:rPr>
              <w:tab/>
            </w:r>
            <w:r>
              <w:rPr>
                <w:noProof/>
                <w:webHidden/>
              </w:rPr>
              <w:fldChar w:fldCharType="begin"/>
            </w:r>
            <w:r>
              <w:rPr>
                <w:noProof/>
                <w:webHidden/>
              </w:rPr>
              <w:instrText xml:space="preserve"> PAGEREF _Toc213426463 \h </w:instrText>
            </w:r>
            <w:r>
              <w:rPr>
                <w:noProof/>
                <w:webHidden/>
              </w:rPr>
            </w:r>
            <w:r>
              <w:rPr>
                <w:noProof/>
                <w:webHidden/>
              </w:rPr>
              <w:fldChar w:fldCharType="separate"/>
            </w:r>
            <w:r>
              <w:rPr>
                <w:noProof/>
                <w:webHidden/>
              </w:rPr>
              <w:t>4</w:t>
            </w:r>
            <w:r>
              <w:rPr>
                <w:noProof/>
                <w:webHidden/>
              </w:rPr>
              <w:fldChar w:fldCharType="end"/>
            </w:r>
          </w:hyperlink>
        </w:p>
        <w:p w14:paraId="5207955B" w14:textId="0114C7AA"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4" w:history="1">
            <w:r w:rsidRPr="008569AB">
              <w:rPr>
                <w:rStyle w:val="Hyperlink"/>
                <w:noProof/>
              </w:rPr>
              <w:t>2.5) Environmental Factors</w:t>
            </w:r>
            <w:r>
              <w:rPr>
                <w:noProof/>
                <w:webHidden/>
              </w:rPr>
              <w:tab/>
            </w:r>
            <w:r>
              <w:rPr>
                <w:noProof/>
                <w:webHidden/>
              </w:rPr>
              <w:fldChar w:fldCharType="begin"/>
            </w:r>
            <w:r>
              <w:rPr>
                <w:noProof/>
                <w:webHidden/>
              </w:rPr>
              <w:instrText xml:space="preserve"> PAGEREF _Toc213426464 \h </w:instrText>
            </w:r>
            <w:r>
              <w:rPr>
                <w:noProof/>
                <w:webHidden/>
              </w:rPr>
            </w:r>
            <w:r>
              <w:rPr>
                <w:noProof/>
                <w:webHidden/>
              </w:rPr>
              <w:fldChar w:fldCharType="separate"/>
            </w:r>
            <w:r>
              <w:rPr>
                <w:noProof/>
                <w:webHidden/>
              </w:rPr>
              <w:t>4</w:t>
            </w:r>
            <w:r>
              <w:rPr>
                <w:noProof/>
                <w:webHidden/>
              </w:rPr>
              <w:fldChar w:fldCharType="end"/>
            </w:r>
          </w:hyperlink>
        </w:p>
        <w:p w14:paraId="07F9980F" w14:textId="4D47972D"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5" w:history="1">
            <w:r w:rsidRPr="008569AB">
              <w:rPr>
                <w:rStyle w:val="Hyperlink"/>
                <w:noProof/>
              </w:rPr>
              <w:t>2.6) Legal Factors</w:t>
            </w:r>
            <w:r>
              <w:rPr>
                <w:noProof/>
                <w:webHidden/>
              </w:rPr>
              <w:tab/>
            </w:r>
            <w:r>
              <w:rPr>
                <w:noProof/>
                <w:webHidden/>
              </w:rPr>
              <w:fldChar w:fldCharType="begin"/>
            </w:r>
            <w:r>
              <w:rPr>
                <w:noProof/>
                <w:webHidden/>
              </w:rPr>
              <w:instrText xml:space="preserve"> PAGEREF _Toc213426465 \h </w:instrText>
            </w:r>
            <w:r>
              <w:rPr>
                <w:noProof/>
                <w:webHidden/>
              </w:rPr>
            </w:r>
            <w:r>
              <w:rPr>
                <w:noProof/>
                <w:webHidden/>
              </w:rPr>
              <w:fldChar w:fldCharType="separate"/>
            </w:r>
            <w:r>
              <w:rPr>
                <w:noProof/>
                <w:webHidden/>
              </w:rPr>
              <w:t>5</w:t>
            </w:r>
            <w:r>
              <w:rPr>
                <w:noProof/>
                <w:webHidden/>
              </w:rPr>
              <w:fldChar w:fldCharType="end"/>
            </w:r>
          </w:hyperlink>
        </w:p>
        <w:p w14:paraId="0D4B1C51" w14:textId="09072A83"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66" w:history="1">
            <w:r w:rsidRPr="008569AB">
              <w:rPr>
                <w:rStyle w:val="Hyperlink"/>
                <w:noProof/>
              </w:rPr>
              <w:t>3. Marketing Strategy STP analysis</w:t>
            </w:r>
            <w:r>
              <w:rPr>
                <w:noProof/>
                <w:webHidden/>
              </w:rPr>
              <w:tab/>
            </w:r>
            <w:r>
              <w:rPr>
                <w:noProof/>
                <w:webHidden/>
              </w:rPr>
              <w:fldChar w:fldCharType="begin"/>
            </w:r>
            <w:r>
              <w:rPr>
                <w:noProof/>
                <w:webHidden/>
              </w:rPr>
              <w:instrText xml:space="preserve"> PAGEREF _Toc213426466 \h </w:instrText>
            </w:r>
            <w:r>
              <w:rPr>
                <w:noProof/>
                <w:webHidden/>
              </w:rPr>
            </w:r>
            <w:r>
              <w:rPr>
                <w:noProof/>
                <w:webHidden/>
              </w:rPr>
              <w:fldChar w:fldCharType="separate"/>
            </w:r>
            <w:r>
              <w:rPr>
                <w:noProof/>
                <w:webHidden/>
              </w:rPr>
              <w:t>6</w:t>
            </w:r>
            <w:r>
              <w:rPr>
                <w:noProof/>
                <w:webHidden/>
              </w:rPr>
              <w:fldChar w:fldCharType="end"/>
            </w:r>
          </w:hyperlink>
        </w:p>
        <w:p w14:paraId="158A10FE" w14:textId="77258ED4"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7" w:history="1">
            <w:r w:rsidRPr="008569AB">
              <w:rPr>
                <w:rStyle w:val="Hyperlink"/>
                <w:noProof/>
              </w:rPr>
              <w:t>3.1) Integrated Marketing Communication</w:t>
            </w:r>
            <w:r>
              <w:rPr>
                <w:noProof/>
                <w:webHidden/>
              </w:rPr>
              <w:tab/>
            </w:r>
            <w:r>
              <w:rPr>
                <w:noProof/>
                <w:webHidden/>
              </w:rPr>
              <w:fldChar w:fldCharType="begin"/>
            </w:r>
            <w:r>
              <w:rPr>
                <w:noProof/>
                <w:webHidden/>
              </w:rPr>
              <w:instrText xml:space="preserve"> PAGEREF _Toc213426467 \h </w:instrText>
            </w:r>
            <w:r>
              <w:rPr>
                <w:noProof/>
                <w:webHidden/>
              </w:rPr>
            </w:r>
            <w:r>
              <w:rPr>
                <w:noProof/>
                <w:webHidden/>
              </w:rPr>
              <w:fldChar w:fldCharType="separate"/>
            </w:r>
            <w:r>
              <w:rPr>
                <w:noProof/>
                <w:webHidden/>
              </w:rPr>
              <w:t>6</w:t>
            </w:r>
            <w:r>
              <w:rPr>
                <w:noProof/>
                <w:webHidden/>
              </w:rPr>
              <w:fldChar w:fldCharType="end"/>
            </w:r>
          </w:hyperlink>
        </w:p>
        <w:p w14:paraId="6CBA9146" w14:textId="5959348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8" w:history="1">
            <w:r w:rsidRPr="008569AB">
              <w:rPr>
                <w:rStyle w:val="Hyperlink"/>
                <w:noProof/>
              </w:rPr>
              <w:t>3.2) Ansoff Matrix</w:t>
            </w:r>
            <w:r>
              <w:rPr>
                <w:noProof/>
                <w:webHidden/>
              </w:rPr>
              <w:tab/>
            </w:r>
            <w:r>
              <w:rPr>
                <w:noProof/>
                <w:webHidden/>
              </w:rPr>
              <w:fldChar w:fldCharType="begin"/>
            </w:r>
            <w:r>
              <w:rPr>
                <w:noProof/>
                <w:webHidden/>
              </w:rPr>
              <w:instrText xml:space="preserve"> PAGEREF _Toc213426468 \h </w:instrText>
            </w:r>
            <w:r>
              <w:rPr>
                <w:noProof/>
                <w:webHidden/>
              </w:rPr>
            </w:r>
            <w:r>
              <w:rPr>
                <w:noProof/>
                <w:webHidden/>
              </w:rPr>
              <w:fldChar w:fldCharType="separate"/>
            </w:r>
            <w:r>
              <w:rPr>
                <w:noProof/>
                <w:webHidden/>
              </w:rPr>
              <w:t>7</w:t>
            </w:r>
            <w:r>
              <w:rPr>
                <w:noProof/>
                <w:webHidden/>
              </w:rPr>
              <w:fldChar w:fldCharType="end"/>
            </w:r>
          </w:hyperlink>
        </w:p>
        <w:p w14:paraId="4C6422B0" w14:textId="3B852769"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69" w:history="1">
            <w:r w:rsidRPr="008569AB">
              <w:rPr>
                <w:rStyle w:val="Hyperlink"/>
                <w:noProof/>
              </w:rPr>
              <w:t>4. Marketing Mix Strategies</w:t>
            </w:r>
            <w:r>
              <w:rPr>
                <w:noProof/>
                <w:webHidden/>
              </w:rPr>
              <w:tab/>
            </w:r>
            <w:r>
              <w:rPr>
                <w:noProof/>
                <w:webHidden/>
              </w:rPr>
              <w:fldChar w:fldCharType="begin"/>
            </w:r>
            <w:r>
              <w:rPr>
                <w:noProof/>
                <w:webHidden/>
              </w:rPr>
              <w:instrText xml:space="preserve"> PAGEREF _Toc213426469 \h </w:instrText>
            </w:r>
            <w:r>
              <w:rPr>
                <w:noProof/>
                <w:webHidden/>
              </w:rPr>
            </w:r>
            <w:r>
              <w:rPr>
                <w:noProof/>
                <w:webHidden/>
              </w:rPr>
              <w:fldChar w:fldCharType="separate"/>
            </w:r>
            <w:r>
              <w:rPr>
                <w:noProof/>
                <w:webHidden/>
              </w:rPr>
              <w:t>8</w:t>
            </w:r>
            <w:r>
              <w:rPr>
                <w:noProof/>
                <w:webHidden/>
              </w:rPr>
              <w:fldChar w:fldCharType="end"/>
            </w:r>
          </w:hyperlink>
        </w:p>
        <w:p w14:paraId="3893A84F" w14:textId="53CD2372"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0" w:history="1">
            <w:r w:rsidRPr="008569AB">
              <w:rPr>
                <w:rStyle w:val="Hyperlink"/>
                <w:noProof/>
              </w:rPr>
              <w:t>4.1) The 7Ps</w:t>
            </w:r>
            <w:r>
              <w:rPr>
                <w:noProof/>
                <w:webHidden/>
              </w:rPr>
              <w:tab/>
            </w:r>
            <w:r>
              <w:rPr>
                <w:noProof/>
                <w:webHidden/>
              </w:rPr>
              <w:fldChar w:fldCharType="begin"/>
            </w:r>
            <w:r>
              <w:rPr>
                <w:noProof/>
                <w:webHidden/>
              </w:rPr>
              <w:instrText xml:space="preserve"> PAGEREF _Toc213426470 \h </w:instrText>
            </w:r>
            <w:r>
              <w:rPr>
                <w:noProof/>
                <w:webHidden/>
              </w:rPr>
            </w:r>
            <w:r>
              <w:rPr>
                <w:noProof/>
                <w:webHidden/>
              </w:rPr>
              <w:fldChar w:fldCharType="separate"/>
            </w:r>
            <w:r>
              <w:rPr>
                <w:noProof/>
                <w:webHidden/>
              </w:rPr>
              <w:t>8</w:t>
            </w:r>
            <w:r>
              <w:rPr>
                <w:noProof/>
                <w:webHidden/>
              </w:rPr>
              <w:fldChar w:fldCharType="end"/>
            </w:r>
          </w:hyperlink>
        </w:p>
        <w:p w14:paraId="13ACA788" w14:textId="41386A38"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1" w:history="1">
            <w:r w:rsidRPr="008569AB">
              <w:rPr>
                <w:rStyle w:val="Hyperlink"/>
                <w:noProof/>
              </w:rPr>
              <w:t>5. Implementation and Control</w:t>
            </w:r>
            <w:r>
              <w:rPr>
                <w:noProof/>
                <w:webHidden/>
              </w:rPr>
              <w:tab/>
            </w:r>
            <w:r>
              <w:rPr>
                <w:noProof/>
                <w:webHidden/>
              </w:rPr>
              <w:fldChar w:fldCharType="begin"/>
            </w:r>
            <w:r>
              <w:rPr>
                <w:noProof/>
                <w:webHidden/>
              </w:rPr>
              <w:instrText xml:space="preserve"> PAGEREF _Toc213426471 \h </w:instrText>
            </w:r>
            <w:r>
              <w:rPr>
                <w:noProof/>
                <w:webHidden/>
              </w:rPr>
            </w:r>
            <w:r>
              <w:rPr>
                <w:noProof/>
                <w:webHidden/>
              </w:rPr>
              <w:fldChar w:fldCharType="separate"/>
            </w:r>
            <w:r>
              <w:rPr>
                <w:noProof/>
                <w:webHidden/>
              </w:rPr>
              <w:t>11</w:t>
            </w:r>
            <w:r>
              <w:rPr>
                <w:noProof/>
                <w:webHidden/>
              </w:rPr>
              <w:fldChar w:fldCharType="end"/>
            </w:r>
          </w:hyperlink>
        </w:p>
        <w:p w14:paraId="61A3D529" w14:textId="08FFEE9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2" w:history="1">
            <w:r w:rsidRPr="008569AB">
              <w:rPr>
                <w:rStyle w:val="Hyperlink"/>
                <w:noProof/>
              </w:rPr>
              <w:t>5.1) Plan of Implementation</w:t>
            </w:r>
            <w:r>
              <w:rPr>
                <w:noProof/>
                <w:webHidden/>
              </w:rPr>
              <w:tab/>
            </w:r>
            <w:r>
              <w:rPr>
                <w:noProof/>
                <w:webHidden/>
              </w:rPr>
              <w:fldChar w:fldCharType="begin"/>
            </w:r>
            <w:r>
              <w:rPr>
                <w:noProof/>
                <w:webHidden/>
              </w:rPr>
              <w:instrText xml:space="preserve"> PAGEREF _Toc213426472 \h </w:instrText>
            </w:r>
            <w:r>
              <w:rPr>
                <w:noProof/>
                <w:webHidden/>
              </w:rPr>
            </w:r>
            <w:r>
              <w:rPr>
                <w:noProof/>
                <w:webHidden/>
              </w:rPr>
              <w:fldChar w:fldCharType="separate"/>
            </w:r>
            <w:r>
              <w:rPr>
                <w:noProof/>
                <w:webHidden/>
              </w:rPr>
              <w:t>11</w:t>
            </w:r>
            <w:r>
              <w:rPr>
                <w:noProof/>
                <w:webHidden/>
              </w:rPr>
              <w:fldChar w:fldCharType="end"/>
            </w:r>
          </w:hyperlink>
        </w:p>
        <w:p w14:paraId="65356E0B" w14:textId="557A788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3" w:history="1">
            <w:r w:rsidRPr="008569AB">
              <w:rPr>
                <w:rStyle w:val="Hyperlink"/>
                <w:noProof/>
              </w:rPr>
              <w:t>5.2) Key Performance Indicators (KPIs) and Balanced Scorecard</w:t>
            </w:r>
            <w:r>
              <w:rPr>
                <w:noProof/>
                <w:webHidden/>
              </w:rPr>
              <w:tab/>
            </w:r>
            <w:r>
              <w:rPr>
                <w:noProof/>
                <w:webHidden/>
              </w:rPr>
              <w:fldChar w:fldCharType="begin"/>
            </w:r>
            <w:r>
              <w:rPr>
                <w:noProof/>
                <w:webHidden/>
              </w:rPr>
              <w:instrText xml:space="preserve"> PAGEREF _Toc213426473 \h </w:instrText>
            </w:r>
            <w:r>
              <w:rPr>
                <w:noProof/>
                <w:webHidden/>
              </w:rPr>
            </w:r>
            <w:r>
              <w:rPr>
                <w:noProof/>
                <w:webHidden/>
              </w:rPr>
              <w:fldChar w:fldCharType="separate"/>
            </w:r>
            <w:r>
              <w:rPr>
                <w:noProof/>
                <w:webHidden/>
              </w:rPr>
              <w:t>12</w:t>
            </w:r>
            <w:r>
              <w:rPr>
                <w:noProof/>
                <w:webHidden/>
              </w:rPr>
              <w:fldChar w:fldCharType="end"/>
            </w:r>
          </w:hyperlink>
        </w:p>
        <w:p w14:paraId="4DCB8844" w14:textId="7C25536D"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4" w:history="1">
            <w:r w:rsidRPr="008569AB">
              <w:rPr>
                <w:rStyle w:val="Hyperlink"/>
                <w:noProof/>
              </w:rPr>
              <w:t>6. Conclusion</w:t>
            </w:r>
            <w:r>
              <w:rPr>
                <w:noProof/>
                <w:webHidden/>
              </w:rPr>
              <w:tab/>
            </w:r>
            <w:r>
              <w:rPr>
                <w:noProof/>
                <w:webHidden/>
              </w:rPr>
              <w:fldChar w:fldCharType="begin"/>
            </w:r>
            <w:r>
              <w:rPr>
                <w:noProof/>
                <w:webHidden/>
              </w:rPr>
              <w:instrText xml:space="preserve"> PAGEREF _Toc213426474 \h </w:instrText>
            </w:r>
            <w:r>
              <w:rPr>
                <w:noProof/>
                <w:webHidden/>
              </w:rPr>
            </w:r>
            <w:r>
              <w:rPr>
                <w:noProof/>
                <w:webHidden/>
              </w:rPr>
              <w:fldChar w:fldCharType="separate"/>
            </w:r>
            <w:r>
              <w:rPr>
                <w:noProof/>
                <w:webHidden/>
              </w:rPr>
              <w:t>14</w:t>
            </w:r>
            <w:r>
              <w:rPr>
                <w:noProof/>
                <w:webHidden/>
              </w:rPr>
              <w:fldChar w:fldCharType="end"/>
            </w:r>
          </w:hyperlink>
        </w:p>
        <w:p w14:paraId="1437849A" w14:textId="40D63AF3"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5" w:history="1">
            <w:r w:rsidRPr="008569AB">
              <w:rPr>
                <w:rStyle w:val="Hyperlink"/>
                <w:noProof/>
              </w:rPr>
              <w:t>Bibliography</w:t>
            </w:r>
            <w:r>
              <w:rPr>
                <w:noProof/>
                <w:webHidden/>
              </w:rPr>
              <w:tab/>
            </w:r>
            <w:r>
              <w:rPr>
                <w:noProof/>
                <w:webHidden/>
              </w:rPr>
              <w:fldChar w:fldCharType="begin"/>
            </w:r>
            <w:r>
              <w:rPr>
                <w:noProof/>
                <w:webHidden/>
              </w:rPr>
              <w:instrText xml:space="preserve"> PAGEREF _Toc213426475 \h </w:instrText>
            </w:r>
            <w:r>
              <w:rPr>
                <w:noProof/>
                <w:webHidden/>
              </w:rPr>
            </w:r>
            <w:r>
              <w:rPr>
                <w:noProof/>
                <w:webHidden/>
              </w:rPr>
              <w:fldChar w:fldCharType="separate"/>
            </w:r>
            <w:r>
              <w:rPr>
                <w:noProof/>
                <w:webHidden/>
              </w:rPr>
              <w:t>15</w:t>
            </w:r>
            <w:r>
              <w:rPr>
                <w:noProof/>
                <w:webHidden/>
              </w:rPr>
              <w:fldChar w:fldCharType="end"/>
            </w:r>
          </w:hyperlink>
        </w:p>
        <w:p w14:paraId="522841F9" w14:textId="30E6D100" w:rsidR="00352843" w:rsidRDefault="00352843">
          <w:r>
            <w:rPr>
              <w:b/>
              <w:bCs/>
              <w:noProof/>
            </w:rPr>
            <w:fldChar w:fldCharType="end"/>
          </w:r>
        </w:p>
      </w:sdtContent>
    </w:sdt>
    <w:p w14:paraId="43DDE2B0" w14:textId="77777777" w:rsidR="007F58D3" w:rsidRDefault="007F58D3"/>
    <w:p w14:paraId="677CB2B7" w14:textId="77777777" w:rsidR="007F58D3" w:rsidRDefault="007F58D3"/>
    <w:p w14:paraId="13D1B00C" w14:textId="77777777" w:rsidR="007F58D3" w:rsidRDefault="007F58D3"/>
    <w:p w14:paraId="461A6830" w14:textId="77777777" w:rsidR="007F58D3" w:rsidRDefault="007F58D3"/>
    <w:p w14:paraId="0D821116" w14:textId="77777777" w:rsidR="007F58D3" w:rsidRDefault="007F58D3"/>
    <w:p w14:paraId="238865D5" w14:textId="77777777" w:rsidR="007F58D3" w:rsidRDefault="007F58D3"/>
    <w:p w14:paraId="10AFB181" w14:textId="0E1C74CF" w:rsidR="007F58D3" w:rsidRDefault="007F58D3"/>
    <w:p w14:paraId="184EDC77" w14:textId="77777777" w:rsidR="007F58D3" w:rsidRDefault="007F58D3"/>
    <w:p w14:paraId="7301F02D" w14:textId="77777777" w:rsidR="007F58D3" w:rsidRDefault="007F58D3"/>
    <w:p w14:paraId="2A82259C" w14:textId="77777777" w:rsidR="007F58D3" w:rsidRDefault="007F58D3"/>
    <w:p w14:paraId="64D09B84" w14:textId="77777777" w:rsidR="007F58D3" w:rsidRDefault="007F58D3"/>
    <w:p w14:paraId="1B712ABA" w14:textId="77777777" w:rsidR="007F58D3" w:rsidRDefault="007F58D3"/>
    <w:p w14:paraId="6FA77A6E" w14:textId="77777777" w:rsidR="007F58D3" w:rsidRDefault="007F58D3"/>
    <w:p w14:paraId="28636E38" w14:textId="77777777" w:rsidR="007F58D3" w:rsidRDefault="007F58D3"/>
    <w:p w14:paraId="4749F7A3" w14:textId="77777777" w:rsidR="007F58D3" w:rsidRDefault="007F58D3"/>
    <w:p w14:paraId="5D9484A1" w14:textId="77777777" w:rsidR="007F58D3" w:rsidRDefault="007F58D3"/>
    <w:p w14:paraId="0F0765F3" w14:textId="77777777" w:rsidR="007F58D3" w:rsidRDefault="007F58D3"/>
    <w:p w14:paraId="662CB713" w14:textId="77777777" w:rsidR="007F58D3" w:rsidRDefault="007F58D3"/>
    <w:p w14:paraId="0A4E9A63" w14:textId="77777777" w:rsidR="007F58D3" w:rsidRDefault="007F58D3"/>
    <w:p w14:paraId="11531EEA" w14:textId="77777777" w:rsidR="007F58D3" w:rsidRDefault="007F58D3"/>
    <w:p w14:paraId="6C1CA72A" w14:textId="77777777" w:rsidR="007F58D3" w:rsidRDefault="007F58D3"/>
    <w:p w14:paraId="6F523287" w14:textId="77777777" w:rsidR="007F58D3" w:rsidRDefault="007F58D3"/>
    <w:p w14:paraId="47B76692" w14:textId="77777777" w:rsidR="007F58D3" w:rsidRDefault="007F58D3"/>
    <w:p w14:paraId="6C706006" w14:textId="77777777" w:rsidR="007F58D3" w:rsidRDefault="007F58D3"/>
    <w:p w14:paraId="35628915" w14:textId="77777777" w:rsidR="007F58D3" w:rsidRDefault="007F58D3"/>
    <w:p w14:paraId="3053A0E1" w14:textId="77777777" w:rsidR="007F58D3" w:rsidRDefault="007F58D3"/>
    <w:p w14:paraId="2ED55A05" w14:textId="3364D313" w:rsidR="007F58D3" w:rsidRDefault="007F58D3" w:rsidP="007F58D3">
      <w:pPr>
        <w:pStyle w:val="Heading1"/>
        <w:jc w:val="center"/>
      </w:pPr>
      <w:bookmarkStart w:id="0" w:name="_Toc213426457"/>
      <w:r w:rsidRPr="007F58D3">
        <w:t>Diageo plc's marketing strategy to boost sales in the UK market</w:t>
      </w:r>
      <w:bookmarkEnd w:id="0"/>
    </w:p>
    <w:p w14:paraId="1AC9F2F0" w14:textId="77777777" w:rsidR="007F58D3" w:rsidRDefault="007F58D3" w:rsidP="007F58D3"/>
    <w:p w14:paraId="17CD3407" w14:textId="77777777" w:rsidR="007F58D3" w:rsidRDefault="007F58D3" w:rsidP="007F58D3"/>
    <w:p w14:paraId="5C6EA022" w14:textId="77777777" w:rsidR="00D605E6" w:rsidRDefault="00D605E6" w:rsidP="007F58D3"/>
    <w:p w14:paraId="3C1015FD" w14:textId="77777777" w:rsidR="00D605E6" w:rsidRDefault="00D605E6" w:rsidP="007F58D3"/>
    <w:p w14:paraId="35C84CCA" w14:textId="77777777" w:rsidR="00D605E6" w:rsidRDefault="00D605E6" w:rsidP="007F58D3"/>
    <w:p w14:paraId="2D045F0A" w14:textId="77777777" w:rsidR="00D605E6" w:rsidRDefault="00D605E6" w:rsidP="007F58D3"/>
    <w:p w14:paraId="002ECCE6" w14:textId="77777777" w:rsidR="00D605E6" w:rsidRDefault="00D605E6" w:rsidP="007F58D3"/>
    <w:p w14:paraId="77F3C41E" w14:textId="1BBEC240" w:rsidR="007F58D3" w:rsidRDefault="00D605E6" w:rsidP="007F58D3">
      <w:r>
        <w:t xml:space="preserve">Elisa </w:t>
      </w:r>
    </w:p>
    <w:p w14:paraId="6CF12C16" w14:textId="1676438C" w:rsidR="007F58D3" w:rsidRDefault="007F58D3" w:rsidP="007F58D3">
      <w:pPr>
        <w:pStyle w:val="Heading1"/>
        <w:jc w:val="both"/>
      </w:pPr>
      <w:bookmarkStart w:id="1" w:name="_Toc213426458"/>
      <w:r w:rsidRPr="007F58D3">
        <w:t>1. Introduction and Mission</w:t>
      </w:r>
      <w:bookmarkEnd w:id="1"/>
    </w:p>
    <w:p w14:paraId="5EF56520" w14:textId="77777777" w:rsidR="007F58D3" w:rsidRDefault="007F58D3" w:rsidP="007F58D3"/>
    <w:p w14:paraId="2A3ED309" w14:textId="0E578E44" w:rsidR="007F58D3" w:rsidRDefault="007F58D3" w:rsidP="007F58D3">
      <w:pPr>
        <w:spacing w:line="360" w:lineRule="auto"/>
        <w:jc w:val="both"/>
        <w:rPr>
          <w:rFonts w:ascii="Times New Roman" w:hAnsi="Times New Roman" w:cs="Times New Roman"/>
        </w:rPr>
      </w:pPr>
      <w:r w:rsidRPr="007F58D3">
        <w:rPr>
          <w:rFonts w:ascii="Times New Roman" w:hAnsi="Times New Roman" w:cs="Times New Roman"/>
        </w:rPr>
        <w:t>One of the most prosperous global beverage-alcohol corporations in the UK is Diageo plc. The corporation, which was founded in 1997 because of the merging of Guinness plc and Grand Metropolitan plc, has its headquarters in London and currently controls over 200 international brands, including Tanqueray, Johnnie Walker, Guinness, Baileys, and Smirnoff. Over 27,000 people are employed by Diageo, which has operations in more than 180 countries. The corporation maintains strong on-trade and off-trade ties with pubs, supermarkets, and e-commerce platforms to dominate the premium spirits and beer industries in the United Kingdom.</w:t>
      </w:r>
    </w:p>
    <w:p w14:paraId="703CDA51" w14:textId="3C8225FF" w:rsidR="003E531B" w:rsidRDefault="003E531B" w:rsidP="007F58D3">
      <w:pPr>
        <w:spacing w:line="360" w:lineRule="auto"/>
        <w:jc w:val="both"/>
        <w:rPr>
          <w:rFonts w:ascii="Times New Roman" w:hAnsi="Times New Roman" w:cs="Times New Roman"/>
        </w:rPr>
      </w:pPr>
      <w:r w:rsidRPr="003E531B">
        <w:rPr>
          <w:rFonts w:ascii="Times New Roman" w:hAnsi="Times New Roman" w:cs="Times New Roman"/>
        </w:rPr>
        <w:t>The goal of Diageo is "to celebrate life, every day, everywhere," which reflects a dedication to inclusive value creation, sustainable growth, and responsible consumption. Its goal is to be the beverage industry's top-performing, most reputable, and trusted consumer goods firm</w:t>
      </w:r>
      <w:sdt>
        <w:sdtPr>
          <w:rPr>
            <w:rFonts w:ascii="Times New Roman" w:hAnsi="Times New Roman" w:cs="Times New Roman"/>
          </w:rPr>
          <w:id w:val="236824953"/>
          <w:citation/>
        </w:sdtPr>
        <w:sdtEndPr/>
        <w:sdtContent>
          <w:r>
            <w:rPr>
              <w:rFonts w:ascii="Times New Roman" w:hAnsi="Times New Roman" w:cs="Times New Roman"/>
            </w:rPr>
            <w:fldChar w:fldCharType="begin"/>
          </w:r>
          <w:r>
            <w:rPr>
              <w:rFonts w:ascii="Times New Roman" w:hAnsi="Times New Roman" w:cs="Times New Roman"/>
            </w:rPr>
            <w:instrText xml:space="preserve"> CITATION Com25 \l 2057 </w:instrText>
          </w:r>
          <w:r>
            <w:rPr>
              <w:rFonts w:ascii="Times New Roman" w:hAnsi="Times New Roman" w:cs="Times New Roman"/>
            </w:rPr>
            <w:fldChar w:fldCharType="separate"/>
          </w:r>
          <w:r>
            <w:rPr>
              <w:rFonts w:ascii="Times New Roman" w:hAnsi="Times New Roman" w:cs="Times New Roman"/>
              <w:noProof/>
            </w:rPr>
            <w:t xml:space="preserve"> </w:t>
          </w:r>
          <w:r w:rsidRPr="003E531B">
            <w:rPr>
              <w:rFonts w:ascii="Times New Roman" w:hAnsi="Times New Roman" w:cs="Times New Roman"/>
              <w:noProof/>
            </w:rPr>
            <w:t>(Comstock, 2025)</w:t>
          </w:r>
          <w:r>
            <w:rPr>
              <w:rFonts w:ascii="Times New Roman" w:hAnsi="Times New Roman" w:cs="Times New Roman"/>
            </w:rPr>
            <w:fldChar w:fldCharType="end"/>
          </w:r>
        </w:sdtContent>
      </w:sdt>
      <w:r w:rsidRPr="003E531B">
        <w:rPr>
          <w:rFonts w:ascii="Times New Roman" w:hAnsi="Times New Roman" w:cs="Times New Roman"/>
        </w:rPr>
        <w:t>.</w:t>
      </w:r>
    </w:p>
    <w:p w14:paraId="082DAFB7" w14:textId="43883274" w:rsidR="0069603C" w:rsidRPr="0069603C" w:rsidRDefault="003E531B" w:rsidP="0069603C">
      <w:pPr>
        <w:spacing w:line="360" w:lineRule="auto"/>
        <w:jc w:val="both"/>
        <w:rPr>
          <w:rFonts w:ascii="Times New Roman" w:hAnsi="Times New Roman" w:cs="Times New Roman"/>
        </w:rPr>
      </w:pPr>
      <w:r w:rsidRPr="003E531B">
        <w:rPr>
          <w:rFonts w:ascii="Times New Roman" w:hAnsi="Times New Roman" w:cs="Times New Roman"/>
        </w:rPr>
        <w:t>This marketing plan's objective is to suggest tactical measures to boost Diageo's sales in the UK market over the course of the upcoming year. It incorporates sustainability and digital transformation while fusing traditional and modern marketing frameworks, such as PESTEL analysis, segmentation-targeting-positioning (STP), Ansoff's Matrix, and the 7Ps marketing mix. Key performance indicators (KPIs) and a balanced scorecard are used in the implementation and management system that completes the plan</w:t>
      </w:r>
      <w:r w:rsidR="0069603C">
        <w:rPr>
          <w:rFonts w:ascii="Times New Roman" w:hAnsi="Times New Roman" w:cs="Times New Roman"/>
        </w:rPr>
        <w:t>.</w:t>
      </w:r>
    </w:p>
    <w:p w14:paraId="62E9CC2E" w14:textId="77777777" w:rsidR="00D605E6" w:rsidRDefault="00D605E6" w:rsidP="003E531B">
      <w:pPr>
        <w:pStyle w:val="Heading1"/>
      </w:pPr>
    </w:p>
    <w:p w14:paraId="243B1F46" w14:textId="0029E95A" w:rsidR="003E531B" w:rsidRDefault="0069603C" w:rsidP="003E531B">
      <w:pPr>
        <w:pStyle w:val="Heading1"/>
      </w:pPr>
      <w:bookmarkStart w:id="2" w:name="_Toc213426459"/>
      <w:r>
        <w:t xml:space="preserve">2. </w:t>
      </w:r>
      <w:r w:rsidR="003E531B">
        <w:t xml:space="preserve">PESTEL </w:t>
      </w:r>
      <w:r w:rsidR="003E531B" w:rsidRPr="003E531B">
        <w:t>Analysis</w:t>
      </w:r>
      <w:bookmarkEnd w:id="2"/>
    </w:p>
    <w:p w14:paraId="20C827AE" w14:textId="77777777" w:rsidR="003E531B" w:rsidRDefault="003E531B" w:rsidP="003E531B"/>
    <w:p w14:paraId="74BDCEBB" w14:textId="77777777" w:rsidR="0069603C" w:rsidRDefault="0069603C" w:rsidP="0069603C">
      <w:pPr>
        <w:spacing w:line="360" w:lineRule="auto"/>
        <w:jc w:val="both"/>
        <w:rPr>
          <w:rFonts w:ascii="Times New Roman" w:hAnsi="Times New Roman" w:cs="Times New Roman"/>
        </w:rPr>
      </w:pPr>
      <w:r w:rsidRPr="0069603C">
        <w:rPr>
          <w:rFonts w:ascii="Times New Roman" w:hAnsi="Times New Roman" w:cs="Times New Roman"/>
        </w:rPr>
        <w:t>External macroenvironmental variables impacting Diageo's performance in the UK beverage industry are identified using a PESTEL analysis.</w:t>
      </w:r>
    </w:p>
    <w:p w14:paraId="0BDD3DC2" w14:textId="77777777" w:rsidR="0069603C" w:rsidRDefault="0069603C" w:rsidP="0069603C">
      <w:pPr>
        <w:spacing w:line="360" w:lineRule="auto"/>
        <w:jc w:val="both"/>
        <w:rPr>
          <w:rFonts w:ascii="Times New Roman" w:hAnsi="Times New Roman" w:cs="Times New Roman"/>
        </w:rPr>
      </w:pPr>
    </w:p>
    <w:p w14:paraId="44109356" w14:textId="30B0DB63" w:rsidR="0069603C" w:rsidRDefault="0069603C" w:rsidP="0069603C">
      <w:pPr>
        <w:pStyle w:val="Heading2"/>
      </w:pPr>
      <w:bookmarkStart w:id="3" w:name="_Toc213426460"/>
      <w:r>
        <w:t>2.1) Political Factors</w:t>
      </w:r>
      <w:bookmarkEnd w:id="3"/>
      <w:r>
        <w:t xml:space="preserve"> </w:t>
      </w:r>
    </w:p>
    <w:p w14:paraId="19607437" w14:textId="31666B78" w:rsidR="0069603C" w:rsidRDefault="0069603C" w:rsidP="0069603C">
      <w:pPr>
        <w:spacing w:line="360" w:lineRule="auto"/>
        <w:jc w:val="both"/>
        <w:rPr>
          <w:rFonts w:ascii="Times New Roman" w:hAnsi="Times New Roman" w:cs="Times New Roman"/>
        </w:rPr>
      </w:pPr>
      <w:r w:rsidRPr="0069603C">
        <w:rPr>
          <w:rFonts w:ascii="Times New Roman" w:hAnsi="Times New Roman" w:cs="Times New Roman"/>
        </w:rPr>
        <w:t xml:space="preserve">The UK alcohol business works under stringent regulatory monitoring, spanning advertising, taxes and licensing. The 2023 alcohol excise duty revision increased excise tax on spirits by </w:t>
      </w:r>
      <w:r w:rsidR="00CD6C91" w:rsidRPr="00CD6C91">
        <w:rPr>
          <w:rFonts w:ascii="Times New Roman" w:hAnsi="Times New Roman" w:cs="Times New Roman"/>
        </w:rPr>
        <w:t>11.5-14.5%</w:t>
      </w:r>
      <w:r w:rsidRPr="0069603C">
        <w:rPr>
          <w:rFonts w:ascii="Times New Roman" w:hAnsi="Times New Roman" w:cs="Times New Roman"/>
        </w:rPr>
        <w:t>, raising cost and pricing pressures for manufacturers. Government-led campaigns such as ‘Drink Responsibly’ match nicely with Diageo’s responsible drinking activities, promoting good brand connotations and compliance with public health policies</w:t>
      </w:r>
      <w:sdt>
        <w:sdtPr>
          <w:rPr>
            <w:rFonts w:ascii="Times New Roman" w:hAnsi="Times New Roman" w:cs="Times New Roman"/>
          </w:rPr>
          <w:id w:val="352782606"/>
          <w:citation/>
        </w:sdtPr>
        <w:sdtEndPr/>
        <w:sdtContent>
          <w:r w:rsidR="00480A60">
            <w:rPr>
              <w:rFonts w:ascii="Times New Roman" w:hAnsi="Times New Roman" w:cs="Times New Roman"/>
            </w:rPr>
            <w:fldChar w:fldCharType="begin"/>
          </w:r>
          <w:r w:rsidR="00480A60">
            <w:rPr>
              <w:rFonts w:ascii="Times New Roman" w:hAnsi="Times New Roman" w:cs="Times New Roman"/>
            </w:rPr>
            <w:instrText xml:space="preserve"> CITATION GOV233 \l 2057 </w:instrText>
          </w:r>
          <w:r w:rsidR="00480A60">
            <w:rPr>
              <w:rFonts w:ascii="Times New Roman" w:hAnsi="Times New Roman" w:cs="Times New Roman"/>
            </w:rPr>
            <w:fldChar w:fldCharType="separate"/>
          </w:r>
          <w:r w:rsidR="00480A60">
            <w:rPr>
              <w:rFonts w:ascii="Times New Roman" w:hAnsi="Times New Roman" w:cs="Times New Roman"/>
              <w:noProof/>
            </w:rPr>
            <w:t xml:space="preserve"> </w:t>
          </w:r>
          <w:r w:rsidR="00480A60" w:rsidRPr="00480A60">
            <w:rPr>
              <w:rFonts w:ascii="Times New Roman" w:hAnsi="Times New Roman" w:cs="Times New Roman"/>
              <w:noProof/>
            </w:rPr>
            <w:t>(GOV.UK, 2023)</w:t>
          </w:r>
          <w:r w:rsidR="00480A60">
            <w:rPr>
              <w:rFonts w:ascii="Times New Roman" w:hAnsi="Times New Roman" w:cs="Times New Roman"/>
            </w:rPr>
            <w:fldChar w:fldCharType="end"/>
          </w:r>
        </w:sdtContent>
      </w:sdt>
      <w:r w:rsidRPr="0069603C">
        <w:rPr>
          <w:rFonts w:ascii="Times New Roman" w:hAnsi="Times New Roman" w:cs="Times New Roman"/>
        </w:rPr>
        <w:t>. However, post-Brexit trade obstacles continue to disrupt the import of crucial materials and the export of final products to EU markets, posing logistical and cost issues. However, the UK’s wide network of free trade agreements provides potential long-term benefits, including greater global market access and increased supply chain resilience for manufacturers</w:t>
      </w:r>
      <w:sdt>
        <w:sdtPr>
          <w:rPr>
            <w:rFonts w:ascii="Times New Roman" w:hAnsi="Times New Roman" w:cs="Times New Roman"/>
          </w:rPr>
          <w:id w:val="2017649617"/>
          <w:citation/>
        </w:sdtPr>
        <w:sdtEndPr/>
        <w:sdtContent>
          <w:r w:rsidR="00480A60">
            <w:rPr>
              <w:rFonts w:ascii="Times New Roman" w:hAnsi="Times New Roman" w:cs="Times New Roman"/>
            </w:rPr>
            <w:fldChar w:fldCharType="begin"/>
          </w:r>
          <w:r w:rsidR="00480A60">
            <w:rPr>
              <w:rFonts w:ascii="Times New Roman" w:hAnsi="Times New Roman" w:cs="Times New Roman"/>
            </w:rPr>
            <w:instrText xml:space="preserve"> CITATION Par25 \l 2057 </w:instrText>
          </w:r>
          <w:r w:rsidR="00480A60">
            <w:rPr>
              <w:rFonts w:ascii="Times New Roman" w:hAnsi="Times New Roman" w:cs="Times New Roman"/>
            </w:rPr>
            <w:fldChar w:fldCharType="separate"/>
          </w:r>
          <w:r w:rsidR="00480A60">
            <w:rPr>
              <w:rFonts w:ascii="Times New Roman" w:hAnsi="Times New Roman" w:cs="Times New Roman"/>
              <w:noProof/>
            </w:rPr>
            <w:t xml:space="preserve"> </w:t>
          </w:r>
          <w:r w:rsidR="00480A60" w:rsidRPr="00480A60">
            <w:rPr>
              <w:rFonts w:ascii="Times New Roman" w:hAnsi="Times New Roman" w:cs="Times New Roman"/>
              <w:noProof/>
            </w:rPr>
            <w:t>(Parr, 2025)</w:t>
          </w:r>
          <w:r w:rsidR="00480A60">
            <w:rPr>
              <w:rFonts w:ascii="Times New Roman" w:hAnsi="Times New Roman" w:cs="Times New Roman"/>
            </w:rPr>
            <w:fldChar w:fldCharType="end"/>
          </w:r>
        </w:sdtContent>
      </w:sdt>
      <w:r w:rsidRPr="0069603C">
        <w:rPr>
          <w:rFonts w:ascii="Times New Roman" w:hAnsi="Times New Roman" w:cs="Times New Roman"/>
        </w:rPr>
        <w:t>.</w:t>
      </w:r>
    </w:p>
    <w:p w14:paraId="184C54B2" w14:textId="77777777" w:rsidR="00480A60" w:rsidRDefault="00480A60" w:rsidP="0069603C">
      <w:pPr>
        <w:spacing w:line="360" w:lineRule="auto"/>
        <w:jc w:val="both"/>
        <w:rPr>
          <w:rFonts w:ascii="Times New Roman" w:hAnsi="Times New Roman" w:cs="Times New Roman"/>
        </w:rPr>
      </w:pPr>
    </w:p>
    <w:p w14:paraId="474B19D5" w14:textId="77777777" w:rsidR="00AC6FD0" w:rsidRDefault="00AC6FD0" w:rsidP="00480A60">
      <w:pPr>
        <w:pStyle w:val="Heading2"/>
      </w:pPr>
    </w:p>
    <w:p w14:paraId="6A9D8A3B" w14:textId="234C75AC" w:rsidR="00480A60" w:rsidRDefault="00480A60" w:rsidP="00480A60">
      <w:pPr>
        <w:pStyle w:val="Heading2"/>
      </w:pPr>
      <w:bookmarkStart w:id="4" w:name="_Toc213426461"/>
      <w:r>
        <w:t>2.2) Economic Factors</w:t>
      </w:r>
      <w:bookmarkEnd w:id="4"/>
      <w:r>
        <w:t xml:space="preserve"> </w:t>
      </w:r>
    </w:p>
    <w:p w14:paraId="402A881B" w14:textId="721493F5" w:rsidR="00CD6C91" w:rsidRDefault="00A71819" w:rsidP="00A71819">
      <w:pPr>
        <w:spacing w:line="360" w:lineRule="auto"/>
        <w:jc w:val="both"/>
        <w:rPr>
          <w:rFonts w:ascii="Times New Roman" w:hAnsi="Times New Roman" w:cs="Times New Roman"/>
        </w:rPr>
      </w:pPr>
      <w:r w:rsidRPr="00A71819">
        <w:rPr>
          <w:rFonts w:ascii="Times New Roman" w:hAnsi="Times New Roman" w:cs="Times New Roman"/>
        </w:rPr>
        <w:t>Mid-range alcohol sales have somewhat decreased in the UK due to ongoing inflation and lower consumer disposable income. Nonetheless, Diageo's robust portfolio of premium and luxury brands has been bolstered by the rising trend towards premiumization, where customers place a higher value on quality than quantity. Concurrently, the growth of direct-to-consumer subscription models and customer desire for convenience are driving the expansion of the online alcohol business. In the face of continuous economic instability, Diageo's size, wide range of brands, and strong financial results offer durability. Despite difficult macroeconomic conditions, the firm is well-positioned to generate value because to its concentration on premium services and digital platforms</w:t>
      </w:r>
      <w:sdt>
        <w:sdtPr>
          <w:rPr>
            <w:rFonts w:ascii="Times New Roman" w:hAnsi="Times New Roman" w:cs="Times New Roman"/>
          </w:rPr>
          <w:id w:val="1320536636"/>
          <w:citation/>
        </w:sdtPr>
        <w:sdtEndPr/>
        <w:sdtContent>
          <w:r>
            <w:rPr>
              <w:rFonts w:ascii="Times New Roman" w:hAnsi="Times New Roman" w:cs="Times New Roman"/>
            </w:rPr>
            <w:fldChar w:fldCharType="begin"/>
          </w:r>
          <w:r>
            <w:rPr>
              <w:rFonts w:ascii="Times New Roman" w:hAnsi="Times New Roman" w:cs="Times New Roman"/>
            </w:rPr>
            <w:instrText xml:space="preserve"> CITATION UKP25 \l 2057 </w:instrText>
          </w:r>
          <w:r>
            <w:rPr>
              <w:rFonts w:ascii="Times New Roman" w:hAnsi="Times New Roman" w:cs="Times New Roman"/>
            </w:rPr>
            <w:fldChar w:fldCharType="separate"/>
          </w:r>
          <w:r>
            <w:rPr>
              <w:rFonts w:ascii="Times New Roman" w:hAnsi="Times New Roman" w:cs="Times New Roman"/>
              <w:noProof/>
            </w:rPr>
            <w:t xml:space="preserve"> </w:t>
          </w:r>
          <w:r w:rsidRPr="00A71819">
            <w:rPr>
              <w:rFonts w:ascii="Times New Roman" w:hAnsi="Times New Roman" w:cs="Times New Roman"/>
              <w:noProof/>
            </w:rPr>
            <w:t>(UK Parliament , 2025)</w:t>
          </w:r>
          <w:r>
            <w:rPr>
              <w:rFonts w:ascii="Times New Roman" w:hAnsi="Times New Roman" w:cs="Times New Roman"/>
            </w:rPr>
            <w:fldChar w:fldCharType="end"/>
          </w:r>
        </w:sdtContent>
      </w:sdt>
      <w:sdt>
        <w:sdtPr>
          <w:rPr>
            <w:rFonts w:ascii="Times New Roman" w:hAnsi="Times New Roman" w:cs="Times New Roman"/>
          </w:rPr>
          <w:id w:val="1396246395"/>
          <w:citation/>
        </w:sdtPr>
        <w:sdtEndPr/>
        <w:sdtContent>
          <w:r>
            <w:rPr>
              <w:rFonts w:ascii="Times New Roman" w:hAnsi="Times New Roman" w:cs="Times New Roman"/>
            </w:rPr>
            <w:fldChar w:fldCharType="begin"/>
          </w:r>
          <w:r>
            <w:rPr>
              <w:rFonts w:ascii="Times New Roman" w:hAnsi="Times New Roman" w:cs="Times New Roman"/>
            </w:rPr>
            <w:instrText xml:space="preserve"> CITATION Sis23 \l 2057 </w:instrText>
          </w:r>
          <w:r>
            <w:rPr>
              <w:rFonts w:ascii="Times New Roman" w:hAnsi="Times New Roman" w:cs="Times New Roman"/>
            </w:rPr>
            <w:fldChar w:fldCharType="separate"/>
          </w:r>
          <w:r>
            <w:rPr>
              <w:rFonts w:ascii="Times New Roman" w:hAnsi="Times New Roman" w:cs="Times New Roman"/>
              <w:noProof/>
            </w:rPr>
            <w:t xml:space="preserve"> </w:t>
          </w:r>
          <w:r w:rsidRPr="00A71819">
            <w:rPr>
              <w:rFonts w:ascii="Times New Roman" w:hAnsi="Times New Roman" w:cs="Times New Roman"/>
              <w:noProof/>
            </w:rPr>
            <w:t>(Sismanis, 2023)</w:t>
          </w:r>
          <w:r>
            <w:rPr>
              <w:rFonts w:ascii="Times New Roman" w:hAnsi="Times New Roman" w:cs="Times New Roman"/>
            </w:rPr>
            <w:fldChar w:fldCharType="end"/>
          </w:r>
        </w:sdtContent>
      </w:sdt>
      <w:r w:rsidRPr="00A71819">
        <w:rPr>
          <w:rFonts w:ascii="Times New Roman" w:hAnsi="Times New Roman" w:cs="Times New Roman"/>
        </w:rPr>
        <w:t>.</w:t>
      </w:r>
    </w:p>
    <w:p w14:paraId="0A47A188" w14:textId="77777777" w:rsidR="00563AE3" w:rsidRDefault="00563AE3" w:rsidP="00A71819">
      <w:pPr>
        <w:spacing w:line="360" w:lineRule="auto"/>
        <w:jc w:val="both"/>
        <w:rPr>
          <w:rFonts w:ascii="Times New Roman" w:hAnsi="Times New Roman" w:cs="Times New Roman"/>
        </w:rPr>
      </w:pPr>
    </w:p>
    <w:p w14:paraId="10157C41" w14:textId="77777777" w:rsidR="00AC6FD0" w:rsidRDefault="00AC6FD0" w:rsidP="00563AE3">
      <w:pPr>
        <w:pStyle w:val="Heading2"/>
      </w:pPr>
    </w:p>
    <w:p w14:paraId="730E93B8" w14:textId="1E647CD3" w:rsidR="00563AE3" w:rsidRDefault="00563AE3" w:rsidP="00563AE3">
      <w:pPr>
        <w:pStyle w:val="Heading2"/>
      </w:pPr>
      <w:bookmarkStart w:id="5" w:name="_Toc213426462"/>
      <w:r>
        <w:t>2.3) Social Factors</w:t>
      </w:r>
      <w:bookmarkEnd w:id="5"/>
    </w:p>
    <w:p w14:paraId="34D3F636" w14:textId="24EF1D6C" w:rsidR="00563AE3" w:rsidRDefault="00563AE3" w:rsidP="00563AE3">
      <w:pPr>
        <w:spacing w:line="360" w:lineRule="auto"/>
        <w:jc w:val="both"/>
        <w:rPr>
          <w:rFonts w:ascii="Times New Roman" w:hAnsi="Times New Roman" w:cs="Times New Roman"/>
        </w:rPr>
      </w:pPr>
      <w:r w:rsidRPr="00563AE3">
        <w:rPr>
          <w:rFonts w:ascii="Times New Roman" w:hAnsi="Times New Roman" w:cs="Times New Roman"/>
        </w:rPr>
        <w:t xml:space="preserve">The way society views alcohol is changing, with younger customers placing a higher value on fitness and health. This change has increased demand for alcohol-free and low-alcohol substitutes. In response, Diageo has made calculated investments, such acquiring </w:t>
      </w:r>
      <w:proofErr w:type="spellStart"/>
      <w:r w:rsidRPr="00563AE3">
        <w:rPr>
          <w:rFonts w:ascii="Times New Roman" w:hAnsi="Times New Roman" w:cs="Times New Roman"/>
        </w:rPr>
        <w:t>Seedlip</w:t>
      </w:r>
      <w:proofErr w:type="spellEnd"/>
      <w:r w:rsidRPr="00563AE3">
        <w:rPr>
          <w:rFonts w:ascii="Times New Roman" w:hAnsi="Times New Roman" w:cs="Times New Roman"/>
        </w:rPr>
        <w:t>, the first non-alcoholic spirit brand in history. Consumers today want firms to exhibit strong ethical ideals, such as gender equality, community involvement, and responsible sourcing, in addition to product innovation. These expectations are closely aligned with Diageo's sustainability strategy, "Society 2030: Spirit of Progress," which encourages responsible drinking and beneficial social effect. Diageo increases brand relevance among socially and health-conscious customers by fusing performance and purpose</w:t>
      </w:r>
      <w:sdt>
        <w:sdtPr>
          <w:rPr>
            <w:rFonts w:ascii="Times New Roman" w:hAnsi="Times New Roman" w:cs="Times New Roman"/>
          </w:rPr>
          <w:id w:val="775060058"/>
          <w:citation/>
        </w:sdtPr>
        <w:sdtEndPr/>
        <w:sdtContent>
          <w:r>
            <w:rPr>
              <w:rFonts w:ascii="Times New Roman" w:hAnsi="Times New Roman" w:cs="Times New Roman"/>
            </w:rPr>
            <w:fldChar w:fldCharType="begin"/>
          </w:r>
          <w:r>
            <w:rPr>
              <w:rFonts w:ascii="Times New Roman" w:hAnsi="Times New Roman" w:cs="Times New Roman"/>
            </w:rPr>
            <w:instrText xml:space="preserve"> CITATION Dia19 \l 2057 </w:instrText>
          </w:r>
          <w:r>
            <w:rPr>
              <w:rFonts w:ascii="Times New Roman" w:hAnsi="Times New Roman" w:cs="Times New Roman"/>
            </w:rPr>
            <w:fldChar w:fldCharType="separate"/>
          </w:r>
          <w:r>
            <w:rPr>
              <w:rFonts w:ascii="Times New Roman" w:hAnsi="Times New Roman" w:cs="Times New Roman"/>
              <w:noProof/>
            </w:rPr>
            <w:t xml:space="preserve"> </w:t>
          </w:r>
          <w:r w:rsidRPr="00563AE3">
            <w:rPr>
              <w:rFonts w:ascii="Times New Roman" w:hAnsi="Times New Roman" w:cs="Times New Roman"/>
              <w:noProof/>
            </w:rPr>
            <w:t>(Diageo , 2019)</w:t>
          </w:r>
          <w:r>
            <w:rPr>
              <w:rFonts w:ascii="Times New Roman" w:hAnsi="Times New Roman" w:cs="Times New Roman"/>
            </w:rPr>
            <w:fldChar w:fldCharType="end"/>
          </w:r>
        </w:sdtContent>
      </w:sdt>
      <w:sdt>
        <w:sdtPr>
          <w:rPr>
            <w:rFonts w:ascii="Times New Roman" w:hAnsi="Times New Roman" w:cs="Times New Roman"/>
          </w:rPr>
          <w:id w:val="-175654186"/>
          <w:citation/>
        </w:sdtPr>
        <w:sdtEndPr/>
        <w:sdtContent>
          <w:r>
            <w:rPr>
              <w:rFonts w:ascii="Times New Roman" w:hAnsi="Times New Roman" w:cs="Times New Roman"/>
            </w:rPr>
            <w:fldChar w:fldCharType="begin"/>
          </w:r>
          <w:r>
            <w:rPr>
              <w:rFonts w:ascii="Times New Roman" w:hAnsi="Times New Roman" w:cs="Times New Roman"/>
            </w:rPr>
            <w:instrText xml:space="preserve"> CITATION DIA25 \l 2057 </w:instrText>
          </w:r>
          <w:r>
            <w:rPr>
              <w:rFonts w:ascii="Times New Roman" w:hAnsi="Times New Roman" w:cs="Times New Roman"/>
            </w:rPr>
            <w:fldChar w:fldCharType="separate"/>
          </w:r>
          <w:r>
            <w:rPr>
              <w:rFonts w:ascii="Times New Roman" w:hAnsi="Times New Roman" w:cs="Times New Roman"/>
              <w:noProof/>
            </w:rPr>
            <w:t xml:space="preserve"> </w:t>
          </w:r>
          <w:r w:rsidRPr="00563AE3">
            <w:rPr>
              <w:rFonts w:ascii="Times New Roman" w:hAnsi="Times New Roman" w:cs="Times New Roman"/>
              <w:noProof/>
            </w:rPr>
            <w:t>(DIAGEO, 2025)</w:t>
          </w:r>
          <w:r>
            <w:rPr>
              <w:rFonts w:ascii="Times New Roman" w:hAnsi="Times New Roman" w:cs="Times New Roman"/>
            </w:rPr>
            <w:fldChar w:fldCharType="end"/>
          </w:r>
        </w:sdtContent>
      </w:sdt>
      <w:r w:rsidRPr="00563AE3">
        <w:rPr>
          <w:rFonts w:ascii="Times New Roman" w:hAnsi="Times New Roman" w:cs="Times New Roman"/>
        </w:rPr>
        <w:t>.</w:t>
      </w:r>
    </w:p>
    <w:p w14:paraId="3D228765" w14:textId="77777777" w:rsidR="0075307A" w:rsidRDefault="0075307A" w:rsidP="00563AE3">
      <w:pPr>
        <w:spacing w:line="360" w:lineRule="auto"/>
        <w:jc w:val="both"/>
        <w:rPr>
          <w:rFonts w:ascii="Times New Roman" w:hAnsi="Times New Roman" w:cs="Times New Roman"/>
        </w:rPr>
      </w:pPr>
    </w:p>
    <w:p w14:paraId="5194C86C" w14:textId="77777777" w:rsidR="0075307A" w:rsidRDefault="0075307A" w:rsidP="00563AE3">
      <w:pPr>
        <w:spacing w:line="360" w:lineRule="auto"/>
        <w:jc w:val="both"/>
        <w:rPr>
          <w:rFonts w:ascii="Times New Roman" w:hAnsi="Times New Roman" w:cs="Times New Roman"/>
        </w:rPr>
      </w:pPr>
    </w:p>
    <w:p w14:paraId="64C39108" w14:textId="684BBBAA" w:rsidR="0075307A" w:rsidRDefault="0075307A" w:rsidP="0075307A">
      <w:pPr>
        <w:pStyle w:val="Heading2"/>
      </w:pPr>
      <w:bookmarkStart w:id="6" w:name="_Toc213426463"/>
      <w:r>
        <w:t xml:space="preserve">2.4) </w:t>
      </w:r>
      <w:r w:rsidRPr="0075307A">
        <w:t>Technological Factors</w:t>
      </w:r>
      <w:bookmarkEnd w:id="6"/>
    </w:p>
    <w:p w14:paraId="32585F2D" w14:textId="1F41A07F" w:rsidR="0075307A" w:rsidRDefault="0075307A" w:rsidP="0075307A">
      <w:pPr>
        <w:spacing w:line="360" w:lineRule="auto"/>
        <w:jc w:val="both"/>
        <w:rPr>
          <w:rFonts w:ascii="Times New Roman" w:hAnsi="Times New Roman" w:cs="Times New Roman"/>
        </w:rPr>
      </w:pPr>
      <w:r w:rsidRPr="0075307A">
        <w:rPr>
          <w:rFonts w:ascii="Times New Roman" w:hAnsi="Times New Roman" w:cs="Times New Roman"/>
        </w:rPr>
        <w:t>Innovations in technology are changing the way Diageo interacts with customers and reaches new markets. To predict customer preferences, optimise advertising, and improve targeting accuracy, the corporation makes significant investments in artificial intelligence and sophisticated analytics. Using digital storytelling on sites like YouTube, Instagram, and TikTok, Diageo creates immersive, customised brand experiences that increase customer loyalty. Strategic e-commerce alliances like Drizzly and Amazon UK increase accessibility and diversify sources of income. In the meanwhile, cutting-edge packaging solutions, such as smart QR code labels that offer comprehensive brand details and sustainability credentials, improve customer interaction, transparency, and traceability—showing how technology promotes both expansion and consumer trust</w:t>
      </w:r>
      <w:sdt>
        <w:sdtPr>
          <w:rPr>
            <w:rFonts w:ascii="Times New Roman" w:hAnsi="Times New Roman" w:cs="Times New Roman"/>
          </w:rPr>
          <w:id w:val="-1290269373"/>
          <w:citation/>
        </w:sdtPr>
        <w:sdtEndPr/>
        <w:sdtContent>
          <w:r w:rsidR="00AC6FD0">
            <w:rPr>
              <w:rFonts w:ascii="Times New Roman" w:hAnsi="Times New Roman" w:cs="Times New Roman"/>
            </w:rPr>
            <w:fldChar w:fldCharType="begin"/>
          </w:r>
          <w:r w:rsidR="00AC6FD0">
            <w:rPr>
              <w:rFonts w:ascii="Times New Roman" w:hAnsi="Times New Roman" w:cs="Times New Roman"/>
            </w:rPr>
            <w:instrText xml:space="preserve"> CITATION DIA24 \l 2057 </w:instrText>
          </w:r>
          <w:r w:rsidR="00AC6FD0">
            <w:rPr>
              <w:rFonts w:ascii="Times New Roman" w:hAnsi="Times New Roman" w:cs="Times New Roman"/>
            </w:rPr>
            <w:fldChar w:fldCharType="separate"/>
          </w:r>
          <w:r w:rsidR="00AC6FD0">
            <w:rPr>
              <w:rFonts w:ascii="Times New Roman" w:hAnsi="Times New Roman" w:cs="Times New Roman"/>
              <w:noProof/>
            </w:rPr>
            <w:t xml:space="preserve"> </w:t>
          </w:r>
          <w:r w:rsidR="00AC6FD0" w:rsidRPr="00AC6FD0">
            <w:rPr>
              <w:rFonts w:ascii="Times New Roman" w:hAnsi="Times New Roman" w:cs="Times New Roman"/>
              <w:noProof/>
            </w:rPr>
            <w:t>(DIAGEO, 2024)</w:t>
          </w:r>
          <w:r w:rsidR="00AC6FD0">
            <w:rPr>
              <w:rFonts w:ascii="Times New Roman" w:hAnsi="Times New Roman" w:cs="Times New Roman"/>
            </w:rPr>
            <w:fldChar w:fldCharType="end"/>
          </w:r>
        </w:sdtContent>
      </w:sdt>
      <w:sdt>
        <w:sdtPr>
          <w:rPr>
            <w:rFonts w:ascii="Times New Roman" w:hAnsi="Times New Roman" w:cs="Times New Roman"/>
          </w:rPr>
          <w:id w:val="94451380"/>
          <w:citation/>
        </w:sdtPr>
        <w:sdtEndPr/>
        <w:sdtContent>
          <w:r w:rsidR="00AC6FD0">
            <w:rPr>
              <w:rFonts w:ascii="Times New Roman" w:hAnsi="Times New Roman" w:cs="Times New Roman"/>
            </w:rPr>
            <w:fldChar w:fldCharType="begin"/>
          </w:r>
          <w:r w:rsidR="00AC6FD0">
            <w:rPr>
              <w:rFonts w:ascii="Times New Roman" w:hAnsi="Times New Roman" w:cs="Times New Roman"/>
            </w:rPr>
            <w:instrText xml:space="preserve"> CITATION DIA251 \l 2057 </w:instrText>
          </w:r>
          <w:r w:rsidR="00AC6FD0">
            <w:rPr>
              <w:rFonts w:ascii="Times New Roman" w:hAnsi="Times New Roman" w:cs="Times New Roman"/>
            </w:rPr>
            <w:fldChar w:fldCharType="separate"/>
          </w:r>
          <w:r w:rsidR="00AC6FD0">
            <w:rPr>
              <w:rFonts w:ascii="Times New Roman" w:hAnsi="Times New Roman" w:cs="Times New Roman"/>
              <w:noProof/>
            </w:rPr>
            <w:t xml:space="preserve"> </w:t>
          </w:r>
          <w:r w:rsidR="00AC6FD0" w:rsidRPr="00AC6FD0">
            <w:rPr>
              <w:rFonts w:ascii="Times New Roman" w:hAnsi="Times New Roman" w:cs="Times New Roman"/>
              <w:noProof/>
            </w:rPr>
            <w:t>(DIAGEO, 2025)</w:t>
          </w:r>
          <w:r w:rsidR="00AC6FD0">
            <w:rPr>
              <w:rFonts w:ascii="Times New Roman" w:hAnsi="Times New Roman" w:cs="Times New Roman"/>
            </w:rPr>
            <w:fldChar w:fldCharType="end"/>
          </w:r>
        </w:sdtContent>
      </w:sdt>
      <w:r w:rsidRPr="0075307A">
        <w:rPr>
          <w:rFonts w:ascii="Times New Roman" w:hAnsi="Times New Roman" w:cs="Times New Roman"/>
        </w:rPr>
        <w:t>.</w:t>
      </w:r>
    </w:p>
    <w:p w14:paraId="2FD7A0FA" w14:textId="77777777" w:rsidR="00AC6FD0" w:rsidRDefault="00AC6FD0" w:rsidP="0075307A">
      <w:pPr>
        <w:spacing w:line="360" w:lineRule="auto"/>
        <w:jc w:val="both"/>
        <w:rPr>
          <w:rFonts w:ascii="Times New Roman" w:hAnsi="Times New Roman" w:cs="Times New Roman"/>
        </w:rPr>
      </w:pPr>
    </w:p>
    <w:p w14:paraId="141EC790" w14:textId="77777777" w:rsidR="00AC6FD0" w:rsidRDefault="00AC6FD0" w:rsidP="0075307A">
      <w:pPr>
        <w:spacing w:line="360" w:lineRule="auto"/>
        <w:jc w:val="both"/>
        <w:rPr>
          <w:rFonts w:ascii="Times New Roman" w:hAnsi="Times New Roman" w:cs="Times New Roman"/>
        </w:rPr>
      </w:pPr>
    </w:p>
    <w:p w14:paraId="0D4389C8" w14:textId="3265A4F1" w:rsidR="00AC6FD0" w:rsidRDefault="00AC6FD0" w:rsidP="00AC6FD0">
      <w:pPr>
        <w:pStyle w:val="Heading2"/>
      </w:pPr>
      <w:bookmarkStart w:id="7" w:name="_Toc213426464"/>
      <w:r>
        <w:t xml:space="preserve">2.5) </w:t>
      </w:r>
      <w:r w:rsidRPr="00AC6FD0">
        <w:t>Environmental Factors</w:t>
      </w:r>
      <w:bookmarkEnd w:id="7"/>
    </w:p>
    <w:p w14:paraId="767DD1C6" w14:textId="31CBFCD2" w:rsidR="00AC6FD0" w:rsidRDefault="00AC6FD0" w:rsidP="00AC6FD0">
      <w:pPr>
        <w:spacing w:line="360" w:lineRule="auto"/>
        <w:jc w:val="both"/>
        <w:rPr>
          <w:rFonts w:ascii="Times New Roman" w:hAnsi="Times New Roman" w:cs="Times New Roman"/>
        </w:rPr>
      </w:pPr>
      <w:r w:rsidRPr="00AC6FD0">
        <w:rPr>
          <w:rFonts w:ascii="Times New Roman" w:hAnsi="Times New Roman" w:cs="Times New Roman"/>
        </w:rPr>
        <w:t>Diageo's long-term competitiveness and business strategy revolve around sustainability. The firm already obtains all its power from renewable sources at its UK sites and is dedicated to reaching net-zero carbon emissions throughout its direct activities by 2030. Diageo invests in regenerative agriculture programs to promote soil health, biodiversity, and farmer resilience because it recognises that climate change poses serious concerns to raw material supply, especially barley, wheat, and agave. To lower consumption and enhance community access, its focus goes beyond sourcing and includes eco-friendly packaging innovations, circular economy programs, and water stewardship activities. Diageo enhances stakeholder confidence, operational effectiveness, and brand equity by integrating sustainability across the value chain</w:t>
      </w:r>
      <w:sdt>
        <w:sdtPr>
          <w:rPr>
            <w:rFonts w:ascii="Times New Roman" w:hAnsi="Times New Roman" w:cs="Times New Roman"/>
          </w:rPr>
          <w:id w:val="-720282325"/>
          <w:citation/>
        </w:sdtPr>
        <w:sdtEndPr/>
        <w:sdtContent>
          <w:r>
            <w:rPr>
              <w:rFonts w:ascii="Times New Roman" w:hAnsi="Times New Roman" w:cs="Times New Roman"/>
            </w:rPr>
            <w:fldChar w:fldCharType="begin"/>
          </w:r>
          <w:r>
            <w:rPr>
              <w:rFonts w:ascii="Times New Roman" w:hAnsi="Times New Roman" w:cs="Times New Roman"/>
            </w:rPr>
            <w:instrText xml:space="preserve"> CITATION DIA252 \l 2057 </w:instrText>
          </w:r>
          <w:r>
            <w:rPr>
              <w:rFonts w:ascii="Times New Roman" w:hAnsi="Times New Roman" w:cs="Times New Roman"/>
            </w:rPr>
            <w:fldChar w:fldCharType="separate"/>
          </w:r>
          <w:r>
            <w:rPr>
              <w:rFonts w:ascii="Times New Roman" w:hAnsi="Times New Roman" w:cs="Times New Roman"/>
              <w:noProof/>
            </w:rPr>
            <w:t xml:space="preserve"> </w:t>
          </w:r>
          <w:r w:rsidRPr="00AC6FD0">
            <w:rPr>
              <w:rFonts w:ascii="Times New Roman" w:hAnsi="Times New Roman" w:cs="Times New Roman"/>
              <w:noProof/>
            </w:rPr>
            <w:t>(DIAGEO, 2025)</w:t>
          </w:r>
          <w:r>
            <w:rPr>
              <w:rFonts w:ascii="Times New Roman" w:hAnsi="Times New Roman" w:cs="Times New Roman"/>
            </w:rPr>
            <w:fldChar w:fldCharType="end"/>
          </w:r>
        </w:sdtContent>
      </w:sdt>
      <w:r w:rsidRPr="00AC6FD0">
        <w:rPr>
          <w:rFonts w:ascii="Times New Roman" w:hAnsi="Times New Roman" w:cs="Times New Roman"/>
        </w:rPr>
        <w:t>.</w:t>
      </w:r>
    </w:p>
    <w:p w14:paraId="5E5A0D63" w14:textId="77777777" w:rsidR="00F561A3" w:rsidRDefault="00F561A3" w:rsidP="00AC6FD0">
      <w:pPr>
        <w:spacing w:line="360" w:lineRule="auto"/>
        <w:jc w:val="both"/>
        <w:rPr>
          <w:rFonts w:ascii="Times New Roman" w:hAnsi="Times New Roman" w:cs="Times New Roman"/>
        </w:rPr>
      </w:pPr>
    </w:p>
    <w:p w14:paraId="57D9E675" w14:textId="77777777" w:rsidR="00F561A3" w:rsidRDefault="00F561A3" w:rsidP="00AC6FD0">
      <w:pPr>
        <w:spacing w:line="360" w:lineRule="auto"/>
        <w:jc w:val="both"/>
        <w:rPr>
          <w:rFonts w:ascii="Times New Roman" w:hAnsi="Times New Roman" w:cs="Times New Roman"/>
        </w:rPr>
      </w:pPr>
    </w:p>
    <w:p w14:paraId="6CF77617" w14:textId="25228D62" w:rsidR="00F561A3" w:rsidRDefault="00F561A3" w:rsidP="00F561A3">
      <w:pPr>
        <w:pStyle w:val="Heading2"/>
      </w:pPr>
      <w:bookmarkStart w:id="8" w:name="_Toc213426465"/>
      <w:r>
        <w:t>2.6) Legal Factors</w:t>
      </w:r>
      <w:bookmarkEnd w:id="8"/>
    </w:p>
    <w:p w14:paraId="3B228866" w14:textId="173D33CA" w:rsidR="00F561A3" w:rsidRDefault="00F561A3" w:rsidP="00F561A3">
      <w:pPr>
        <w:spacing w:line="360" w:lineRule="auto"/>
        <w:jc w:val="both"/>
        <w:rPr>
          <w:rFonts w:ascii="Times New Roman" w:hAnsi="Times New Roman" w:cs="Times New Roman"/>
        </w:rPr>
      </w:pPr>
      <w:r w:rsidRPr="00F561A3">
        <w:rPr>
          <w:rFonts w:ascii="Times New Roman" w:hAnsi="Times New Roman" w:cs="Times New Roman"/>
        </w:rPr>
        <w:t>Diageo's activities are greatly influenced by the regulatory climate in the UK. To preserve consumer confidence and brand integrity, Scotland's Minimum Unit Pricing (MUP) laws and the Advertising Standards Authority's (ASA) stringent advertising regulations necessitate continuous compliance. New import documentation and labelling requirements brought about by Brexit have raised manufacturing and administrative expenses. However, these difficulties also encourage supply chains to become more localised, promoting resilient manufacturing and domestic sourcing. Additionally, to guarantee complete compliance and safeguard Diageo's image, changing public health regulations—particularly those pertaining to alcohol labelling, marketing, and consumption warnings—require ongoing monitoring. Diageo demonstrates responsibility and responsible company leadership while reducing regulatory risks by upholding strict governance standards</w:t>
      </w:r>
      <w:sdt>
        <w:sdtPr>
          <w:rPr>
            <w:rFonts w:ascii="Times New Roman" w:hAnsi="Times New Roman" w:cs="Times New Roman"/>
          </w:rPr>
          <w:id w:val="-1069502344"/>
          <w:citation/>
        </w:sdtPr>
        <w:sdtEndPr/>
        <w:sdtContent>
          <w:r w:rsidR="00D605E6">
            <w:rPr>
              <w:rFonts w:ascii="Times New Roman" w:hAnsi="Times New Roman" w:cs="Times New Roman"/>
            </w:rPr>
            <w:fldChar w:fldCharType="begin"/>
          </w:r>
          <w:r w:rsidR="00D605E6">
            <w:rPr>
              <w:rFonts w:ascii="Times New Roman" w:hAnsi="Times New Roman" w:cs="Times New Roman"/>
            </w:rPr>
            <w:instrText xml:space="preserve"> CITATION DIA253 \l 2057 </w:instrText>
          </w:r>
          <w:r w:rsidR="00D605E6">
            <w:rPr>
              <w:rFonts w:ascii="Times New Roman" w:hAnsi="Times New Roman" w:cs="Times New Roman"/>
            </w:rPr>
            <w:fldChar w:fldCharType="separate"/>
          </w:r>
          <w:r w:rsidR="00D605E6">
            <w:rPr>
              <w:rFonts w:ascii="Times New Roman" w:hAnsi="Times New Roman" w:cs="Times New Roman"/>
              <w:noProof/>
            </w:rPr>
            <w:t xml:space="preserve"> </w:t>
          </w:r>
          <w:r w:rsidR="00D605E6" w:rsidRPr="00D605E6">
            <w:rPr>
              <w:rFonts w:ascii="Times New Roman" w:hAnsi="Times New Roman" w:cs="Times New Roman"/>
              <w:noProof/>
            </w:rPr>
            <w:t>(DIAGEO, 2025)</w:t>
          </w:r>
          <w:r w:rsidR="00D605E6">
            <w:rPr>
              <w:rFonts w:ascii="Times New Roman" w:hAnsi="Times New Roman" w:cs="Times New Roman"/>
            </w:rPr>
            <w:fldChar w:fldCharType="end"/>
          </w:r>
        </w:sdtContent>
      </w:sdt>
      <w:r w:rsidRPr="00F561A3">
        <w:rPr>
          <w:rFonts w:ascii="Times New Roman" w:hAnsi="Times New Roman" w:cs="Times New Roman"/>
        </w:rPr>
        <w:t>.</w:t>
      </w:r>
    </w:p>
    <w:p w14:paraId="3890C913" w14:textId="77777777" w:rsidR="00D605E6" w:rsidRDefault="00D605E6" w:rsidP="00F561A3">
      <w:pPr>
        <w:spacing w:line="360" w:lineRule="auto"/>
        <w:jc w:val="both"/>
        <w:rPr>
          <w:rFonts w:ascii="Times New Roman" w:hAnsi="Times New Roman" w:cs="Times New Roman"/>
        </w:rPr>
      </w:pPr>
    </w:p>
    <w:p w14:paraId="446CCB15" w14:textId="1E773726" w:rsidR="00AC6FD0" w:rsidRDefault="00D605E6" w:rsidP="00AC6FD0">
      <w:pPr>
        <w:spacing w:line="360" w:lineRule="auto"/>
        <w:jc w:val="both"/>
        <w:rPr>
          <w:rFonts w:ascii="Times New Roman" w:hAnsi="Times New Roman" w:cs="Times New Roman"/>
        </w:rPr>
      </w:pPr>
      <w:r w:rsidRPr="00D605E6">
        <w:rPr>
          <w:rFonts w:ascii="Times New Roman" w:hAnsi="Times New Roman" w:cs="Times New Roman"/>
        </w:rPr>
        <w:t>Diageo operates in a highly regulated yet opportunity-rich environment, as the PESTEL study makes clear. Strong consumer trends favouring premiumization, health-conscious choices, and sustainable practices boost the corporation despite economic difficulties and changing laws. Technological innovation keeps opening new opportunities for expansion and consumer interaction, especially in the areas of artificial intelligence, digital marketing, and e-commerce. In the meanwhile, Diageo's proactive commitment to social responsibility, environmental stewardship, and compliance enhances its resilience and reputation worldwide. Diageo is in a strong position to ensure long-term growth, increase stakeholder value, and preserve competitive advantage by coordinating strategic goals with evolving political, economic, social, technical, environmental, and legal dynamics.</w:t>
      </w:r>
    </w:p>
    <w:p w14:paraId="58A0D3ED" w14:textId="77777777" w:rsidR="00D605E6" w:rsidRDefault="00D605E6" w:rsidP="00AC6FD0">
      <w:pPr>
        <w:spacing w:line="360" w:lineRule="auto"/>
        <w:jc w:val="both"/>
        <w:rPr>
          <w:rFonts w:ascii="Times New Roman" w:hAnsi="Times New Roman" w:cs="Times New Roman"/>
        </w:rPr>
      </w:pPr>
    </w:p>
    <w:p w14:paraId="6AEA8258" w14:textId="77777777" w:rsidR="00D605E6" w:rsidRDefault="00D605E6" w:rsidP="00AC6FD0">
      <w:pPr>
        <w:spacing w:line="360" w:lineRule="auto"/>
        <w:jc w:val="both"/>
        <w:rPr>
          <w:rFonts w:ascii="Times New Roman" w:hAnsi="Times New Roman" w:cs="Times New Roman"/>
        </w:rPr>
      </w:pPr>
    </w:p>
    <w:p w14:paraId="68A00DDA" w14:textId="77777777" w:rsidR="00D605E6" w:rsidRDefault="00D605E6" w:rsidP="00AC6FD0">
      <w:pPr>
        <w:spacing w:line="360" w:lineRule="auto"/>
        <w:jc w:val="both"/>
        <w:rPr>
          <w:rFonts w:ascii="Times New Roman" w:hAnsi="Times New Roman" w:cs="Times New Roman"/>
        </w:rPr>
      </w:pPr>
    </w:p>
    <w:p w14:paraId="4BAFA0D5" w14:textId="77777777" w:rsidR="00955CDC" w:rsidRDefault="00E91733" w:rsidP="00955CDC">
      <w:pPr>
        <w:spacing w:line="360" w:lineRule="auto"/>
        <w:jc w:val="both"/>
        <w:rPr>
          <w:rFonts w:ascii="Times New Roman" w:hAnsi="Times New Roman" w:cs="Times New Roman"/>
        </w:rPr>
      </w:pPr>
      <w:r>
        <w:rPr>
          <w:rFonts w:ascii="Times New Roman" w:hAnsi="Times New Roman" w:cs="Times New Roman"/>
        </w:rPr>
        <w:t>Jesica</w:t>
      </w:r>
      <w:r w:rsidR="00920711">
        <w:rPr>
          <w:rFonts w:ascii="Times New Roman" w:hAnsi="Times New Roman" w:cs="Times New Roman"/>
        </w:rPr>
        <w:t xml:space="preserve"> </w:t>
      </w:r>
    </w:p>
    <w:p w14:paraId="7D54C8A1" w14:textId="70CEE18C" w:rsidR="00920711" w:rsidRPr="00955CDC" w:rsidRDefault="00B86D7C" w:rsidP="00444E4D">
      <w:pPr>
        <w:pStyle w:val="Heading1"/>
        <w:spacing w:line="360" w:lineRule="auto"/>
        <w:jc w:val="both"/>
        <w:rPr>
          <w:rFonts w:ascii="Times New Roman" w:hAnsi="Times New Roman" w:cs="Times New Roman"/>
        </w:rPr>
      </w:pPr>
      <w:bookmarkStart w:id="9" w:name="_Toc213426466"/>
      <w:r>
        <w:t xml:space="preserve">3. </w:t>
      </w:r>
      <w:r w:rsidR="00920711" w:rsidRPr="00722FD3">
        <w:t>Marketing Strategy STP analysis</w:t>
      </w:r>
      <w:bookmarkEnd w:id="9"/>
    </w:p>
    <w:p w14:paraId="147A248B" w14:textId="4771C1BD" w:rsidR="00920711" w:rsidRDefault="00920711" w:rsidP="00444E4D">
      <w:pPr>
        <w:spacing w:line="360" w:lineRule="auto"/>
        <w:jc w:val="both"/>
        <w:rPr>
          <w:rFonts w:ascii="Times New Roman" w:hAnsi="Times New Roman" w:cs="Times New Roman"/>
        </w:rPr>
      </w:pPr>
      <w:r>
        <w:rPr>
          <w:rFonts w:ascii="Times New Roman" w:hAnsi="Times New Roman" w:cs="Times New Roman"/>
        </w:rPr>
        <w:t xml:space="preserve">Diageo uses both demographic and psychographic segmentation to divide its global audience. Demographically, its portfolio appeals to different age groups, income levels and cultural backgrounds. An example would be Smirnoff and Captain Morgan often target younger adults seeking fun and accessible experiences while Premium labels like Johnnie Walker Blue Labels and Don Julio attract affluent status-conscious consumers. </w:t>
      </w:r>
      <w:r w:rsidR="00B86D7C">
        <w:rPr>
          <w:rFonts w:ascii="Times New Roman" w:hAnsi="Times New Roman" w:cs="Times New Roman"/>
        </w:rPr>
        <w:t>Psychographic ally</w:t>
      </w:r>
      <w:r w:rsidR="00194C45">
        <w:rPr>
          <w:rFonts w:ascii="Times New Roman" w:hAnsi="Times New Roman" w:cs="Times New Roman"/>
        </w:rPr>
        <w:t>, Diageo focuses on lifestyle and occasion-based, casual gathering, segmentation celebrations and moments of personal indulgence. This ensures that each brand has a distinctive purpose and emotional connection Consumers. Diageo employs a different targeting strategy tailoring products and campaigns to suit distinct markets and audience. In mature markets such as the UK and North America, Diageo targets consumers with premiumisation campaigns, encouraging people to trade up to higher-value spirits. In emerging markets like Africa and Latin America, the focus is on accessibility</w:t>
      </w:r>
      <w:r w:rsidR="00260571">
        <w:rPr>
          <w:rFonts w:ascii="Times New Roman" w:hAnsi="Times New Roman" w:cs="Times New Roman"/>
        </w:rPr>
        <w:t xml:space="preserve"> and brand penetration through affordable packaging and localised flavours. By adapting its messaging to the local culture and economic context, Diageo maximises both reach relevance. Each Diageo brand is carefully positioned around a unique value proposition. Johnnie Walker is positioned as a symbol of progress and ambition, encapsulated in its timeless “Keep Walking” slogan. Guinness promotes authenticity, craftsmanship</w:t>
      </w:r>
      <w:r w:rsidR="005E6B32">
        <w:rPr>
          <w:rFonts w:ascii="Times New Roman" w:hAnsi="Times New Roman" w:cs="Times New Roman"/>
        </w:rPr>
        <w:t>, heritage, while Baileys is positioned as a modern indulgent treat primarily targeting female consumers. Across the portfolio Diageo positions itself as a company that celebrates life’s moments responsibly, combining quality, enjoyment and heritage.</w:t>
      </w:r>
    </w:p>
    <w:p w14:paraId="36D64183" w14:textId="0473195A" w:rsidR="005E6B32" w:rsidRDefault="005E6B32" w:rsidP="00444E4D">
      <w:pPr>
        <w:spacing w:line="360" w:lineRule="auto"/>
        <w:jc w:val="both"/>
        <w:rPr>
          <w:rFonts w:ascii="Times New Roman" w:hAnsi="Times New Roman" w:cs="Times New Roman"/>
        </w:rPr>
      </w:pPr>
    </w:p>
    <w:p w14:paraId="744B6902" w14:textId="58C110B9" w:rsidR="005E6B32" w:rsidRPr="00722FD3" w:rsidRDefault="00DB0571" w:rsidP="00444E4D">
      <w:pPr>
        <w:pStyle w:val="Heading2"/>
        <w:spacing w:line="360" w:lineRule="auto"/>
        <w:jc w:val="both"/>
      </w:pPr>
      <w:bookmarkStart w:id="10" w:name="_Toc213426467"/>
      <w:r>
        <w:t xml:space="preserve">3.1) </w:t>
      </w:r>
      <w:r w:rsidR="005E6B32" w:rsidRPr="00722FD3">
        <w:t>Integrated Marketing Communication</w:t>
      </w:r>
      <w:bookmarkEnd w:id="10"/>
    </w:p>
    <w:p w14:paraId="1ECE5BAE" w14:textId="70B51D14" w:rsidR="005E6B32" w:rsidRDefault="005E6B32" w:rsidP="00444E4D">
      <w:pPr>
        <w:spacing w:line="360" w:lineRule="auto"/>
        <w:jc w:val="both"/>
        <w:rPr>
          <w:rFonts w:ascii="Times New Roman" w:hAnsi="Times New Roman" w:cs="Times New Roman"/>
        </w:rPr>
      </w:pPr>
      <w:r>
        <w:rPr>
          <w:rFonts w:ascii="Times New Roman" w:hAnsi="Times New Roman" w:cs="Times New Roman"/>
        </w:rPr>
        <w:t xml:space="preserve">Diageo’s marketing strength lies in its integration of traditional and digital channels to create </w:t>
      </w:r>
      <w:r w:rsidR="00D076F0">
        <w:rPr>
          <w:rFonts w:ascii="Times New Roman" w:hAnsi="Times New Roman" w:cs="Times New Roman"/>
        </w:rPr>
        <w:t>consistent, memorable brand experiences. Storytelling is central to its campaigns, using emotional narratives that transcend language and culture. For instance, Johnnie Walker’s campaigns frequently feature motivational stories of personal progress reinforcing the brand’s global positioning. Diageo also leverages data-driven marketing to deliver personalised digital experiences. Social media plays a key role with brands like Guiness using immersive storytelling on platforms such as Instagram and YouTube to engage younger audiences. Influencer collaborations and partnership with cultural figures help Diageo remain authentic and relatable. At the same time the company maintains strong visibility through event sponsorships including sports, fashion and music festivals</w:t>
      </w:r>
      <w:r w:rsidR="00C667E8">
        <w:rPr>
          <w:rFonts w:ascii="Times New Roman" w:hAnsi="Times New Roman" w:cs="Times New Roman"/>
        </w:rPr>
        <w:t xml:space="preserve">. Its partnerships with events like Formula 1 and the six Nations Rugby Championship enhance brand prestige and global recognition. Importantly, all of Diageo’s communications are anchored in the principle of “Celebrate Life Responsibly” promoting moderation and social responsibility as part of its brand DNA. </w:t>
      </w:r>
    </w:p>
    <w:p w14:paraId="23128735" w14:textId="77777777" w:rsidR="00C667E8" w:rsidRDefault="00C667E8" w:rsidP="00444E4D">
      <w:pPr>
        <w:spacing w:line="360" w:lineRule="auto"/>
        <w:jc w:val="both"/>
        <w:rPr>
          <w:rFonts w:ascii="Times New Roman" w:hAnsi="Times New Roman" w:cs="Times New Roman"/>
        </w:rPr>
      </w:pPr>
    </w:p>
    <w:p w14:paraId="2016E7AD" w14:textId="374C663E" w:rsidR="003B0C95" w:rsidRPr="00722FD3" w:rsidRDefault="0057693B" w:rsidP="00444E4D">
      <w:pPr>
        <w:pStyle w:val="Heading2"/>
        <w:spacing w:line="360" w:lineRule="auto"/>
        <w:jc w:val="both"/>
      </w:pPr>
      <w:bookmarkStart w:id="11" w:name="_Toc213426468"/>
      <w:r>
        <w:t xml:space="preserve">3.2) </w:t>
      </w:r>
      <w:r w:rsidR="003B0C95" w:rsidRPr="00722FD3">
        <w:t>Ansoff Matrix</w:t>
      </w:r>
      <w:bookmarkEnd w:id="11"/>
    </w:p>
    <w:p w14:paraId="152DCAE2" w14:textId="4F50831C" w:rsidR="00C667E8" w:rsidRPr="00C667E8" w:rsidRDefault="00C667E8" w:rsidP="00444E4D">
      <w:pPr>
        <w:spacing w:line="360" w:lineRule="auto"/>
        <w:jc w:val="both"/>
        <w:rPr>
          <w:rFonts w:ascii="Times New Roman" w:hAnsi="Times New Roman" w:cs="Times New Roman"/>
        </w:rPr>
      </w:pPr>
      <w:proofErr w:type="spellStart"/>
      <w:r>
        <w:rPr>
          <w:rFonts w:ascii="Times New Roman" w:hAnsi="Times New Roman" w:cs="Times New Roman"/>
        </w:rPr>
        <w:t>Ansoff</w:t>
      </w:r>
      <w:proofErr w:type="spellEnd"/>
      <w:r>
        <w:rPr>
          <w:rFonts w:ascii="Times New Roman" w:hAnsi="Times New Roman" w:cs="Times New Roman"/>
        </w:rPr>
        <w:t xml:space="preserve"> </w:t>
      </w:r>
      <w:r w:rsidR="00D41048">
        <w:rPr>
          <w:rFonts w:ascii="Times New Roman" w:hAnsi="Times New Roman" w:cs="Times New Roman"/>
        </w:rPr>
        <w:t>Matrix</w:t>
      </w:r>
      <w:r w:rsidR="00D41048" w:rsidRPr="00C667E8">
        <w:rPr>
          <w:rFonts w:ascii="Times New Roman" w:hAnsi="Times New Roman" w:cs="Times New Roman"/>
        </w:rPr>
        <w:t xml:space="preserve"> Diageo’s</w:t>
      </w:r>
      <w:r w:rsidRPr="00C667E8">
        <w:rPr>
          <w:rFonts w:ascii="Times New Roman" w:hAnsi="Times New Roman" w:cs="Times New Roman"/>
        </w:rPr>
        <w:t xml:space="preserve"> growth strategy can be explained through the Ansoff Matrix, which highlights its focus on both market expansion and innovation.</w:t>
      </w:r>
    </w:p>
    <w:p w14:paraId="18CCF7DA" w14:textId="624DF8DD"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•Market Penetration</w:t>
      </w:r>
    </w:p>
    <w:p w14:paraId="0A4D1F12"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Diageo continuously strengthens brand loyalty in existing markets through promotional campaigns and limited-edition releases. For example, Guinness regularly introduces seasonal variants to sustain consumer interest.</w:t>
      </w:r>
    </w:p>
    <w:p w14:paraId="4BADA3D8" w14:textId="64512793"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•Product Development</w:t>
      </w:r>
    </w:p>
    <w:p w14:paraId="5F73790C"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Innovation drives Diageo’s product strategy. The company frequently experiments with new flavours, low-alcohol and alcohol-free variants (like Guinness 0.0), and premium line extensions to meet changing consumer preferences.</w:t>
      </w:r>
    </w:p>
    <w:p w14:paraId="6BF7AA8E" w14:textId="278305D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•Market Development:</w:t>
      </w:r>
    </w:p>
    <w:p w14:paraId="17570AB1"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Emerging markets such as India, Africa, and parts of Latin America present strong growth potential. Diageo invests in local manufacturing, partnerships, and culturally relevant branding to tap into these expanding consumer bases.</w:t>
      </w:r>
    </w:p>
    <w:p w14:paraId="0141DA95" w14:textId="186824D2"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•Diversification</w:t>
      </w:r>
    </w:p>
    <w:p w14:paraId="764DBB87" w14:textId="566B3508" w:rsid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Beyond traditional spirits, Diageo has explored new categories such as ready-to-drink cocktails and hard seltzers, appealing to health-conscious and convenience-driven consumers. This diversification allows the company to stay ahead in an evolving beverage landscape.</w:t>
      </w:r>
    </w:p>
    <w:p w14:paraId="44AD58B1" w14:textId="77777777" w:rsidR="006D7F8F" w:rsidRPr="00722FD3" w:rsidRDefault="006D7F8F" w:rsidP="00444E4D">
      <w:pPr>
        <w:spacing w:line="360" w:lineRule="auto"/>
        <w:jc w:val="both"/>
        <w:rPr>
          <w:rFonts w:ascii="Times New Roman" w:hAnsi="Times New Roman" w:cs="Times New Roman"/>
          <w:sz w:val="28"/>
          <w:szCs w:val="28"/>
        </w:rPr>
      </w:pPr>
    </w:p>
    <w:p w14:paraId="49113F6E" w14:textId="70FDF8CD" w:rsidR="00C667E8" w:rsidRPr="00722FD3" w:rsidRDefault="00045F48" w:rsidP="00444E4D">
      <w:pPr>
        <w:pStyle w:val="Heading1"/>
        <w:spacing w:line="360" w:lineRule="auto"/>
        <w:jc w:val="both"/>
      </w:pPr>
      <w:bookmarkStart w:id="12" w:name="_Toc213426469"/>
      <w:r>
        <w:t xml:space="preserve">4. </w:t>
      </w:r>
      <w:r w:rsidR="003B0C95" w:rsidRPr="00722FD3">
        <w:t>Mark</w:t>
      </w:r>
      <w:r w:rsidR="006D7F8F" w:rsidRPr="00722FD3">
        <w:t>eting Mix Strategies</w:t>
      </w:r>
      <w:bookmarkEnd w:id="12"/>
    </w:p>
    <w:p w14:paraId="1BC560C0" w14:textId="2F863BD8" w:rsidR="00C667E8" w:rsidRPr="00722FD3" w:rsidRDefault="00045F48" w:rsidP="00444E4D">
      <w:pPr>
        <w:pStyle w:val="Heading2"/>
        <w:spacing w:line="360" w:lineRule="auto"/>
        <w:jc w:val="both"/>
      </w:pPr>
      <w:bookmarkStart w:id="13" w:name="_Toc213426470"/>
      <w:r>
        <w:t xml:space="preserve">4.1) </w:t>
      </w:r>
      <w:r w:rsidR="006D7F8F" w:rsidRPr="00722FD3">
        <w:t>The 7Ps</w:t>
      </w:r>
      <w:bookmarkEnd w:id="13"/>
    </w:p>
    <w:p w14:paraId="39743B1E" w14:textId="35AA8295"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success as one of the world’s leading alcoholic beverage companies is built on a well-balanced marketing mix. The company applies the 7Ps framework</w:t>
      </w:r>
      <w:r>
        <w:rPr>
          <w:rFonts w:ascii="Times New Roman" w:hAnsi="Times New Roman" w:cs="Times New Roman"/>
        </w:rPr>
        <w:t>-</w:t>
      </w:r>
      <w:r w:rsidRPr="006D7F8F">
        <w:rPr>
          <w:rFonts w:ascii="Times New Roman" w:hAnsi="Times New Roman" w:cs="Times New Roman"/>
        </w:rPr>
        <w:t>Product, Price, Place, Promotion, People, Process, and Physical Evidence</w:t>
      </w:r>
      <w:r>
        <w:rPr>
          <w:rFonts w:ascii="Times New Roman" w:hAnsi="Times New Roman" w:cs="Times New Roman"/>
        </w:rPr>
        <w:t>-</w:t>
      </w:r>
      <w:r w:rsidRPr="006D7F8F">
        <w:rPr>
          <w:rFonts w:ascii="Times New Roman" w:hAnsi="Times New Roman" w:cs="Times New Roman"/>
        </w:rPr>
        <w:t>to deliver consistent brand excellence while adapting to the preferences of local markets.</w:t>
      </w:r>
    </w:p>
    <w:p w14:paraId="3B0CB5E8" w14:textId="77777777" w:rsidR="006D7F8F" w:rsidRPr="006D7F8F" w:rsidRDefault="006D7F8F" w:rsidP="00444E4D">
      <w:pPr>
        <w:spacing w:line="360" w:lineRule="auto"/>
        <w:jc w:val="both"/>
        <w:rPr>
          <w:rFonts w:ascii="Times New Roman" w:hAnsi="Times New Roman" w:cs="Times New Roman"/>
        </w:rPr>
      </w:pPr>
    </w:p>
    <w:p w14:paraId="654D3A1B" w14:textId="4DBCAFD1"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1. Product</w:t>
      </w:r>
    </w:p>
    <w:p w14:paraId="5EBB110C" w14:textId="56C2EDB1"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product strategy revolves around offering a diverse and premium portfolio of over 200 global and local brands. These include world-renowned names such as Johnnie Walker, Smirnoff, Guinness, Baileys, Don Julio, and Tanqueray. Each brand is positioned distinctly to target different market segments</w:t>
      </w:r>
      <w:r w:rsidR="00722FD3">
        <w:rPr>
          <w:rFonts w:ascii="Times New Roman" w:hAnsi="Times New Roman" w:cs="Times New Roman"/>
        </w:rPr>
        <w:t xml:space="preserve"> </w:t>
      </w:r>
      <w:r w:rsidRPr="006D7F8F">
        <w:rPr>
          <w:rFonts w:ascii="Times New Roman" w:hAnsi="Times New Roman" w:cs="Times New Roman"/>
        </w:rPr>
        <w:t>from affordable mainstream options to luxury spirits.</w:t>
      </w:r>
    </w:p>
    <w:p w14:paraId="368FBAF8" w14:textId="64FC2C58" w:rsid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The company continuously innovates to keep up with evolving consumer trends. For instance, it has launched alcohol-free products like Guinness 0.0, low-calorie cocktails, and ready-to-drink cans to appeal to health-conscious and convenience-driven consumers. Diageo also focuses heavily on packaging design, using elegant bottles and sustainable materials to enhance product appeal and reduce environmental impact.</w:t>
      </w:r>
    </w:p>
    <w:p w14:paraId="1C631D03" w14:textId="77777777" w:rsidR="006D7F8F" w:rsidRPr="006D7F8F" w:rsidRDefault="006D7F8F" w:rsidP="00444E4D">
      <w:pPr>
        <w:spacing w:line="360" w:lineRule="auto"/>
        <w:jc w:val="both"/>
        <w:rPr>
          <w:rFonts w:ascii="Times New Roman" w:hAnsi="Times New Roman" w:cs="Times New Roman"/>
        </w:rPr>
      </w:pPr>
    </w:p>
    <w:p w14:paraId="43048BD1" w14:textId="77777777"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2. Price</w:t>
      </w:r>
    </w:p>
    <w:p w14:paraId="2074B4F5"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 uses a differentiated pricing strategy, aligning price points with brand image and consumer perceptions of value.</w:t>
      </w:r>
    </w:p>
    <w:p w14:paraId="384EE14A" w14:textId="3024CA68"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•Premium pricing is used for high-end products like Johnnie Walker Blue Label or Don Julio 1942, reinforcing exclusivity and luxury.</w:t>
      </w:r>
    </w:p>
    <w:p w14:paraId="452595E5" w14:textId="3A597309"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•Competitive pricing applies to mainstream brands such as Smirnoff and Captain Morgan, which cater to mass-market consumers.</w:t>
      </w:r>
    </w:p>
    <w:p w14:paraId="4DF44D01" w14:textId="649A5F8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emerging markets, Diageo employs penetration pricing, offering smaller, more affordable packaging to increase accessibility.</w:t>
      </w:r>
    </w:p>
    <w:p w14:paraId="303AFEE6" w14:textId="77777777" w:rsidR="006D7F8F" w:rsidRPr="006D7F8F" w:rsidRDefault="006D7F8F" w:rsidP="00444E4D">
      <w:pPr>
        <w:spacing w:line="360" w:lineRule="auto"/>
        <w:jc w:val="both"/>
        <w:rPr>
          <w:rFonts w:ascii="Times New Roman" w:hAnsi="Times New Roman" w:cs="Times New Roman"/>
        </w:rPr>
      </w:pPr>
    </w:p>
    <w:p w14:paraId="625187BB"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This flexible pricing strategy allows Diageo to maintain profitability while appealing to diverse economic segments across regions.</w:t>
      </w:r>
    </w:p>
    <w:p w14:paraId="6CD10A64" w14:textId="77777777" w:rsidR="006D7F8F" w:rsidRPr="006D7F8F" w:rsidRDefault="006D7F8F" w:rsidP="00444E4D">
      <w:pPr>
        <w:spacing w:line="360" w:lineRule="auto"/>
        <w:jc w:val="both"/>
        <w:rPr>
          <w:rFonts w:ascii="Times New Roman" w:hAnsi="Times New Roman" w:cs="Times New Roman"/>
        </w:rPr>
      </w:pPr>
    </w:p>
    <w:p w14:paraId="6BCD2F54" w14:textId="77777777" w:rsidR="00444E4D" w:rsidRDefault="00444E4D" w:rsidP="00444E4D">
      <w:pPr>
        <w:spacing w:line="360" w:lineRule="auto"/>
        <w:jc w:val="both"/>
        <w:rPr>
          <w:rFonts w:ascii="Times New Roman" w:hAnsi="Times New Roman" w:cs="Times New Roman"/>
          <w:b/>
          <w:bCs/>
        </w:rPr>
      </w:pPr>
    </w:p>
    <w:p w14:paraId="66AAB708" w14:textId="33C6C701"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3. Place</w:t>
      </w:r>
    </w:p>
    <w:p w14:paraId="3E3CAA10"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 operates a global distribution network that ensures its brands are available in more than 180 countries. It uses a multi-channel distribution strategy that includes retailers, bars, restaurants, supermarkets, and e-commerce platforms.</w:t>
      </w:r>
    </w:p>
    <w:p w14:paraId="300D96C4" w14:textId="32B24491"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The company has embraced digital transformation, with strong partnerships in online retail and direct-to-consumer sales. In addition, Diageo tailors its distribution to local contexts</w:t>
      </w:r>
      <w:r>
        <w:rPr>
          <w:rFonts w:ascii="Times New Roman" w:hAnsi="Times New Roman" w:cs="Times New Roman"/>
        </w:rPr>
        <w:t>-</w:t>
      </w:r>
      <w:r w:rsidRPr="006D7F8F">
        <w:rPr>
          <w:rFonts w:ascii="Times New Roman" w:hAnsi="Times New Roman" w:cs="Times New Roman"/>
        </w:rPr>
        <w:t>for example, using small-scale distributors in developing markets to reach rural customers efficiently. Its vast logistics infrastructure ensures consistent supply and product quality across all regions.</w:t>
      </w:r>
    </w:p>
    <w:p w14:paraId="0E6C5E77" w14:textId="77777777" w:rsidR="006D7F8F" w:rsidRDefault="006D7F8F" w:rsidP="00444E4D">
      <w:pPr>
        <w:spacing w:line="360" w:lineRule="auto"/>
        <w:jc w:val="both"/>
        <w:rPr>
          <w:rFonts w:ascii="Times New Roman" w:hAnsi="Times New Roman" w:cs="Times New Roman"/>
        </w:rPr>
      </w:pPr>
    </w:p>
    <w:p w14:paraId="5B6240A3" w14:textId="6327F199"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4. Promotion</w:t>
      </w:r>
    </w:p>
    <w:p w14:paraId="63569FDA"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Promotion is one of Diageo’s greatest strengths. The company uses Integrated Marketing Communications (IMC) to build emotional connections with consumers across traditional and digital channels.</w:t>
      </w:r>
    </w:p>
    <w:p w14:paraId="54F6D6AD" w14:textId="2D0A9B9C"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Flagship campaigns like Johnnie Walker’s “Keep Walking” and Guinness’s “Made of More</w:t>
      </w:r>
      <w:r>
        <w:rPr>
          <w:rFonts w:ascii="Times New Roman" w:hAnsi="Times New Roman" w:cs="Times New Roman"/>
        </w:rPr>
        <w:t xml:space="preserve">” </w:t>
      </w:r>
      <w:r w:rsidRPr="006D7F8F">
        <w:rPr>
          <w:rFonts w:ascii="Times New Roman" w:hAnsi="Times New Roman" w:cs="Times New Roman"/>
        </w:rPr>
        <w:t>focus on storytelling that embodies resilience, progress, and authenticity. Diageo also heavily invests in digital marketing, influencer collaborations, and social media engagement to reach younger, tech-savvy audiences.</w:t>
      </w:r>
    </w:p>
    <w:p w14:paraId="5505AA44" w14:textId="014B41B0"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Sponsorships and partnerships play a key promotional role too</w:t>
      </w:r>
      <w:r>
        <w:rPr>
          <w:rFonts w:ascii="Times New Roman" w:hAnsi="Times New Roman" w:cs="Times New Roman"/>
        </w:rPr>
        <w:t>-</w:t>
      </w:r>
      <w:r w:rsidRPr="006D7F8F">
        <w:rPr>
          <w:rFonts w:ascii="Times New Roman" w:hAnsi="Times New Roman" w:cs="Times New Roman"/>
        </w:rPr>
        <w:t>Diageo has been involved in global events such as Formula 1, the Six Nations Rugby Championship, and the Premier League. All campaigns are anchored by its commitment to responsible drinking, reinforcing the brand’s ethical image.</w:t>
      </w:r>
    </w:p>
    <w:p w14:paraId="753929CC" w14:textId="77777777" w:rsidR="006D7F8F" w:rsidRDefault="006D7F8F" w:rsidP="00444E4D">
      <w:pPr>
        <w:spacing w:line="360" w:lineRule="auto"/>
        <w:jc w:val="both"/>
        <w:rPr>
          <w:rFonts w:ascii="Times New Roman" w:hAnsi="Times New Roman" w:cs="Times New Roman"/>
        </w:rPr>
      </w:pPr>
    </w:p>
    <w:p w14:paraId="0F64A350" w14:textId="3F81E4F4"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5. People</w:t>
      </w:r>
    </w:p>
    <w:p w14:paraId="22D9F7E0" w14:textId="2A66C94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People are at the heart of Diageo’s success</w:t>
      </w:r>
      <w:r>
        <w:rPr>
          <w:rFonts w:ascii="Times New Roman" w:hAnsi="Times New Roman" w:cs="Times New Roman"/>
        </w:rPr>
        <w:t>-</w:t>
      </w:r>
      <w:r w:rsidRPr="006D7F8F">
        <w:rPr>
          <w:rFonts w:ascii="Times New Roman" w:hAnsi="Times New Roman" w:cs="Times New Roman"/>
        </w:rPr>
        <w:t>from employees and brand ambassadors to customer service teams. The company invests in training and diversity initiatives to ensure its staff reflect the global communities it serves. Its culture promotes inclusion, creativity, and accountability.</w:t>
      </w:r>
    </w:p>
    <w:p w14:paraId="3807611C" w14:textId="119C8650"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Externally, Diageo collaborates with bartenders, distributors, and local influencers who play a key role in delivering brand experiences. These individuals are trained to embody Diageo’s values of quality, hospitality, and responsibility, strengthening customer trust and loyalty.</w:t>
      </w:r>
    </w:p>
    <w:p w14:paraId="787CC7C6" w14:textId="77777777" w:rsidR="006D7F8F" w:rsidRDefault="006D7F8F" w:rsidP="00444E4D">
      <w:pPr>
        <w:spacing w:line="360" w:lineRule="auto"/>
        <w:jc w:val="both"/>
        <w:rPr>
          <w:rFonts w:ascii="Times New Roman" w:hAnsi="Times New Roman" w:cs="Times New Roman"/>
        </w:rPr>
      </w:pPr>
    </w:p>
    <w:p w14:paraId="6C041D5F" w14:textId="77777777" w:rsidR="00444E4D" w:rsidRDefault="00444E4D" w:rsidP="00444E4D">
      <w:pPr>
        <w:spacing w:line="360" w:lineRule="auto"/>
        <w:jc w:val="both"/>
        <w:rPr>
          <w:rFonts w:ascii="Times New Roman" w:hAnsi="Times New Roman" w:cs="Times New Roman"/>
          <w:b/>
          <w:bCs/>
        </w:rPr>
      </w:pPr>
    </w:p>
    <w:p w14:paraId="7AF7AAE2" w14:textId="77777777" w:rsidR="00444E4D" w:rsidRDefault="00444E4D" w:rsidP="00444E4D">
      <w:pPr>
        <w:spacing w:line="360" w:lineRule="auto"/>
        <w:jc w:val="both"/>
        <w:rPr>
          <w:rFonts w:ascii="Times New Roman" w:hAnsi="Times New Roman" w:cs="Times New Roman"/>
          <w:b/>
          <w:bCs/>
        </w:rPr>
      </w:pPr>
    </w:p>
    <w:p w14:paraId="27D946D0" w14:textId="77777777" w:rsidR="00444E4D" w:rsidRDefault="00444E4D" w:rsidP="00444E4D">
      <w:pPr>
        <w:spacing w:line="360" w:lineRule="auto"/>
        <w:jc w:val="both"/>
        <w:rPr>
          <w:rFonts w:ascii="Times New Roman" w:hAnsi="Times New Roman" w:cs="Times New Roman"/>
          <w:b/>
          <w:bCs/>
        </w:rPr>
      </w:pPr>
    </w:p>
    <w:p w14:paraId="0E253A2E" w14:textId="0A638B07"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6. Process</w:t>
      </w:r>
    </w:p>
    <w:p w14:paraId="4535A35E"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processes are designed to ensure efficiency, consistency, and sustainability across the entire value chain. From sourcing raw materials to delivering the final product, the company integrates technology and innovation at every step.</w:t>
      </w:r>
    </w:p>
    <w:p w14:paraId="0264F884"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Sustainability is a cornerstone of its process strategy. Through its “Society 2030: Spirit of Progress” plan, Diageo aims for net-zero carbon emissions, responsible water usage, and fully recyclable packaging. Its global supply chain management ensures that production meets international quality standards while supporting local economies.</w:t>
      </w:r>
    </w:p>
    <w:p w14:paraId="769E8C15" w14:textId="77777777" w:rsidR="006D7F8F" w:rsidRPr="006D7F8F" w:rsidRDefault="006D7F8F" w:rsidP="00444E4D">
      <w:pPr>
        <w:spacing w:line="360" w:lineRule="auto"/>
        <w:jc w:val="both"/>
        <w:rPr>
          <w:rFonts w:ascii="Times New Roman" w:hAnsi="Times New Roman" w:cs="Times New Roman"/>
        </w:rPr>
      </w:pPr>
    </w:p>
    <w:p w14:paraId="765CB10B" w14:textId="5D553A45"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7. Physical Evidence</w:t>
      </w:r>
    </w:p>
    <w:p w14:paraId="5D00E1D0" w14:textId="7C7C69BD"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the beverage industry, tangible and sensory experiences strongly influence brand perception. Diageo carefully curates the physical aspects of its products</w:t>
      </w:r>
      <w:r>
        <w:rPr>
          <w:rFonts w:ascii="Times New Roman" w:hAnsi="Times New Roman" w:cs="Times New Roman"/>
        </w:rPr>
        <w:t>-</w:t>
      </w:r>
      <w:r w:rsidRPr="006D7F8F">
        <w:rPr>
          <w:rFonts w:ascii="Times New Roman" w:hAnsi="Times New Roman" w:cs="Times New Roman"/>
        </w:rPr>
        <w:t>from distinctive bottle designs to elegant labelling that communicates authenticity and heritage.</w:t>
      </w:r>
    </w:p>
    <w:p w14:paraId="697D3E44" w14:textId="5B0D5D3D" w:rsidR="00C667E8"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bars, retail stores, and promotional events, Diageo creates premium brand environments that reinforce product quality. For instance, the Johnnie Walker Princes Street Experience in Edinburgh offers an immersive journey through the brand’s history, blending digital interactivity with luxury hospitality. Such experiences serve as physical proof of Diageo’s brand promise</w:t>
      </w:r>
      <w:r>
        <w:rPr>
          <w:rFonts w:ascii="Times New Roman" w:hAnsi="Times New Roman" w:cs="Times New Roman"/>
        </w:rPr>
        <w:t>-</w:t>
      </w:r>
      <w:r w:rsidRPr="006D7F8F">
        <w:rPr>
          <w:rFonts w:ascii="Times New Roman" w:hAnsi="Times New Roman" w:cs="Times New Roman"/>
        </w:rPr>
        <w:t>premium quality, craftsmanship, and celebration.</w:t>
      </w:r>
    </w:p>
    <w:p w14:paraId="1335C412" w14:textId="77777777" w:rsidR="00BE32D4" w:rsidRDefault="00BE32D4" w:rsidP="00AC6FD0">
      <w:pPr>
        <w:spacing w:line="360" w:lineRule="auto"/>
        <w:jc w:val="both"/>
        <w:rPr>
          <w:rFonts w:ascii="Times New Roman" w:hAnsi="Times New Roman" w:cs="Times New Roman"/>
        </w:rPr>
      </w:pPr>
    </w:p>
    <w:p w14:paraId="1FE73C95" w14:textId="77777777" w:rsidR="00075731" w:rsidRDefault="00075731" w:rsidP="00AC6FD0">
      <w:pPr>
        <w:spacing w:line="360" w:lineRule="auto"/>
        <w:jc w:val="both"/>
        <w:rPr>
          <w:rFonts w:ascii="Times New Roman" w:hAnsi="Times New Roman" w:cs="Times New Roman"/>
        </w:rPr>
      </w:pPr>
    </w:p>
    <w:p w14:paraId="54FB1F62" w14:textId="77777777" w:rsidR="005147DE" w:rsidRDefault="005147DE" w:rsidP="00AC6FD0">
      <w:pPr>
        <w:spacing w:line="360" w:lineRule="auto"/>
        <w:jc w:val="both"/>
        <w:rPr>
          <w:rFonts w:ascii="Times New Roman" w:hAnsi="Times New Roman" w:cs="Times New Roman"/>
        </w:rPr>
      </w:pPr>
    </w:p>
    <w:p w14:paraId="4D545C43" w14:textId="77777777" w:rsidR="005147DE" w:rsidRDefault="005147DE" w:rsidP="00AC6FD0">
      <w:pPr>
        <w:spacing w:line="360" w:lineRule="auto"/>
        <w:jc w:val="both"/>
        <w:rPr>
          <w:rFonts w:ascii="Times New Roman" w:hAnsi="Times New Roman" w:cs="Times New Roman"/>
        </w:rPr>
      </w:pPr>
    </w:p>
    <w:p w14:paraId="7B8A24B3" w14:textId="77777777" w:rsidR="005147DE" w:rsidRDefault="005147DE" w:rsidP="00AC6FD0">
      <w:pPr>
        <w:spacing w:line="360" w:lineRule="auto"/>
        <w:jc w:val="both"/>
        <w:rPr>
          <w:rFonts w:ascii="Times New Roman" w:hAnsi="Times New Roman" w:cs="Times New Roman"/>
        </w:rPr>
      </w:pPr>
    </w:p>
    <w:p w14:paraId="3790CF23" w14:textId="77777777" w:rsidR="005147DE" w:rsidRDefault="005147DE" w:rsidP="00AC6FD0">
      <w:pPr>
        <w:spacing w:line="360" w:lineRule="auto"/>
        <w:jc w:val="both"/>
        <w:rPr>
          <w:rFonts w:ascii="Times New Roman" w:hAnsi="Times New Roman" w:cs="Times New Roman"/>
        </w:rPr>
      </w:pPr>
    </w:p>
    <w:p w14:paraId="17943D3F" w14:textId="77777777" w:rsidR="005147DE" w:rsidRDefault="005147DE" w:rsidP="00AC6FD0">
      <w:pPr>
        <w:spacing w:line="360" w:lineRule="auto"/>
        <w:jc w:val="both"/>
        <w:rPr>
          <w:rFonts w:ascii="Times New Roman" w:hAnsi="Times New Roman" w:cs="Times New Roman"/>
        </w:rPr>
      </w:pPr>
    </w:p>
    <w:p w14:paraId="37010B62" w14:textId="77777777" w:rsidR="005147DE" w:rsidRDefault="005147DE" w:rsidP="00AC6FD0">
      <w:pPr>
        <w:spacing w:line="360" w:lineRule="auto"/>
        <w:jc w:val="both"/>
        <w:rPr>
          <w:rFonts w:ascii="Times New Roman" w:hAnsi="Times New Roman" w:cs="Times New Roman"/>
        </w:rPr>
      </w:pPr>
    </w:p>
    <w:p w14:paraId="33BE7039" w14:textId="77777777" w:rsidR="005147DE" w:rsidRDefault="005147DE" w:rsidP="00AC6FD0">
      <w:pPr>
        <w:spacing w:line="360" w:lineRule="auto"/>
        <w:jc w:val="both"/>
        <w:rPr>
          <w:rFonts w:ascii="Times New Roman" w:hAnsi="Times New Roman" w:cs="Times New Roman"/>
        </w:rPr>
      </w:pPr>
    </w:p>
    <w:p w14:paraId="6937020B" w14:textId="77777777" w:rsidR="005147DE" w:rsidRDefault="005147DE" w:rsidP="00AC6FD0">
      <w:pPr>
        <w:spacing w:line="360" w:lineRule="auto"/>
        <w:jc w:val="both"/>
        <w:rPr>
          <w:rFonts w:ascii="Times New Roman" w:hAnsi="Times New Roman" w:cs="Times New Roman"/>
        </w:rPr>
      </w:pPr>
    </w:p>
    <w:p w14:paraId="5276190B" w14:textId="77777777" w:rsidR="005147DE" w:rsidRDefault="005147DE" w:rsidP="00AC6FD0">
      <w:pPr>
        <w:spacing w:line="360" w:lineRule="auto"/>
        <w:jc w:val="both"/>
        <w:rPr>
          <w:rFonts w:ascii="Times New Roman" w:hAnsi="Times New Roman" w:cs="Times New Roman"/>
        </w:rPr>
      </w:pPr>
    </w:p>
    <w:p w14:paraId="2E7F1023" w14:textId="77777777" w:rsidR="005147DE" w:rsidRDefault="005147DE" w:rsidP="00AC6FD0">
      <w:pPr>
        <w:spacing w:line="360" w:lineRule="auto"/>
        <w:jc w:val="both"/>
        <w:rPr>
          <w:rFonts w:ascii="Times New Roman" w:hAnsi="Times New Roman" w:cs="Times New Roman"/>
        </w:rPr>
      </w:pPr>
    </w:p>
    <w:p w14:paraId="5ED8B847" w14:textId="77777777" w:rsidR="005147DE" w:rsidRDefault="005147DE" w:rsidP="00AC6FD0">
      <w:pPr>
        <w:spacing w:line="360" w:lineRule="auto"/>
        <w:jc w:val="both"/>
        <w:rPr>
          <w:rFonts w:ascii="Times New Roman" w:hAnsi="Times New Roman" w:cs="Times New Roman"/>
        </w:rPr>
      </w:pPr>
    </w:p>
    <w:p w14:paraId="2FDCF248" w14:textId="77777777" w:rsidR="005147DE" w:rsidRDefault="005147DE" w:rsidP="00AC6FD0">
      <w:pPr>
        <w:spacing w:line="360" w:lineRule="auto"/>
        <w:jc w:val="both"/>
        <w:rPr>
          <w:rFonts w:ascii="Times New Roman" w:hAnsi="Times New Roman" w:cs="Times New Roman"/>
        </w:rPr>
      </w:pPr>
    </w:p>
    <w:p w14:paraId="35F7031F" w14:textId="77777777" w:rsidR="005147DE" w:rsidRDefault="005147DE" w:rsidP="00AC6FD0">
      <w:pPr>
        <w:spacing w:line="360" w:lineRule="auto"/>
        <w:jc w:val="both"/>
        <w:rPr>
          <w:rFonts w:ascii="Times New Roman" w:hAnsi="Times New Roman" w:cs="Times New Roman"/>
        </w:rPr>
      </w:pPr>
    </w:p>
    <w:p w14:paraId="7F82D6BD" w14:textId="77777777" w:rsidR="005147DE" w:rsidRDefault="005147DE" w:rsidP="00AC6FD0">
      <w:pPr>
        <w:spacing w:line="360" w:lineRule="auto"/>
        <w:jc w:val="both"/>
        <w:rPr>
          <w:rFonts w:ascii="Times New Roman" w:hAnsi="Times New Roman" w:cs="Times New Roman"/>
        </w:rPr>
      </w:pPr>
    </w:p>
    <w:p w14:paraId="259497B9" w14:textId="603F829E" w:rsidR="00D605E6" w:rsidRDefault="00D605E6" w:rsidP="00AC6FD0">
      <w:pPr>
        <w:spacing w:line="360" w:lineRule="auto"/>
        <w:jc w:val="both"/>
        <w:rPr>
          <w:rFonts w:ascii="Times New Roman" w:hAnsi="Times New Roman" w:cs="Times New Roman"/>
        </w:rPr>
      </w:pPr>
      <w:r>
        <w:rPr>
          <w:rFonts w:ascii="Times New Roman" w:hAnsi="Times New Roman" w:cs="Times New Roman"/>
        </w:rPr>
        <w:t>Simona</w:t>
      </w:r>
    </w:p>
    <w:p w14:paraId="30CA9944" w14:textId="645A0AEC" w:rsidR="009B7755" w:rsidRDefault="009B7755" w:rsidP="00AC6FD0">
      <w:pPr>
        <w:spacing w:line="360" w:lineRule="auto"/>
        <w:jc w:val="both"/>
        <w:rPr>
          <w:rFonts w:ascii="Times New Roman" w:hAnsi="Times New Roman" w:cs="Times New Roman"/>
        </w:rPr>
      </w:pPr>
    </w:p>
    <w:p w14:paraId="5F4BFDE8" w14:textId="61216961" w:rsidR="00EE3C94" w:rsidRDefault="00EE3C94" w:rsidP="00EE3C94">
      <w:pPr>
        <w:pStyle w:val="Heading1"/>
      </w:pPr>
      <w:bookmarkStart w:id="14" w:name="_Toc213426471"/>
      <w:r>
        <w:t xml:space="preserve">5. </w:t>
      </w:r>
      <w:r w:rsidRPr="00EE3C94">
        <w:t>Implementation and Control</w:t>
      </w:r>
      <w:bookmarkEnd w:id="14"/>
    </w:p>
    <w:p w14:paraId="6CCF7070" w14:textId="77777777" w:rsidR="00EE3C94" w:rsidRDefault="00EE3C94" w:rsidP="005209D4">
      <w:pPr>
        <w:jc w:val="both"/>
        <w:rPr>
          <w:rFonts w:ascii="Times New Roman" w:hAnsi="Times New Roman" w:cs="Times New Roman"/>
        </w:rPr>
      </w:pPr>
    </w:p>
    <w:p w14:paraId="06BE1F19" w14:textId="1AE64222" w:rsidR="005209D4" w:rsidRDefault="003B7893" w:rsidP="003B7893">
      <w:pPr>
        <w:pStyle w:val="Heading2"/>
      </w:pPr>
      <w:bookmarkStart w:id="15" w:name="_Toc213426472"/>
      <w:r>
        <w:t xml:space="preserve">5.1) </w:t>
      </w:r>
      <w:r w:rsidRPr="003B7893">
        <w:t>Plan of Implementation</w:t>
      </w:r>
      <w:bookmarkEnd w:id="15"/>
    </w:p>
    <w:p w14:paraId="7CC1D039" w14:textId="1CAA44B5" w:rsidR="0079778E" w:rsidRDefault="006572C7" w:rsidP="006572C7">
      <w:pPr>
        <w:jc w:val="both"/>
      </w:pPr>
      <w:r w:rsidRPr="006572C7">
        <w:rPr>
          <w:rFonts w:ascii="Times New Roman" w:hAnsi="Times New Roman" w:cs="Times New Roman"/>
        </w:rPr>
        <w:t>The marketing strategy will be implemented between April 2025 and March 2026</w:t>
      </w:r>
      <w:r w:rsidRPr="006572C7">
        <w:t>.</w:t>
      </w:r>
    </w:p>
    <w:p w14:paraId="435E20E0" w14:textId="77777777" w:rsidR="00D22B83" w:rsidRPr="0079778E" w:rsidRDefault="00D22B83" w:rsidP="006572C7">
      <w:pPr>
        <w:jc w:val="both"/>
      </w:pPr>
    </w:p>
    <w:tbl>
      <w:tblPr>
        <w:tblStyle w:val="TableGrid"/>
        <w:tblW w:w="0" w:type="auto"/>
        <w:tblLook w:val="04A0" w:firstRow="1" w:lastRow="0" w:firstColumn="1" w:lastColumn="0" w:noHBand="0" w:noVBand="1"/>
      </w:tblPr>
      <w:tblGrid>
        <w:gridCol w:w="3005"/>
        <w:gridCol w:w="3005"/>
        <w:gridCol w:w="3006"/>
      </w:tblGrid>
      <w:tr w:rsidR="004904DE" w14:paraId="7137F7D3" w14:textId="77777777" w:rsidTr="004904DE">
        <w:tc>
          <w:tcPr>
            <w:tcW w:w="3005" w:type="dxa"/>
          </w:tcPr>
          <w:p w14:paraId="53281FF4" w14:textId="435A8356" w:rsidR="004904DE" w:rsidRPr="00F2499D" w:rsidRDefault="00F2499D" w:rsidP="004904DE">
            <w:pPr>
              <w:rPr>
                <w:rFonts w:ascii="Times New Roman" w:hAnsi="Times New Roman" w:cs="Times New Roman"/>
                <w:b/>
                <w:bCs/>
              </w:rPr>
            </w:pPr>
            <w:r>
              <w:rPr>
                <w:rFonts w:ascii="Times New Roman" w:hAnsi="Times New Roman" w:cs="Times New Roman"/>
                <w:b/>
                <w:bCs/>
              </w:rPr>
              <w:t>Timeline</w:t>
            </w:r>
          </w:p>
        </w:tc>
        <w:tc>
          <w:tcPr>
            <w:tcW w:w="3005" w:type="dxa"/>
          </w:tcPr>
          <w:p w14:paraId="455EB413" w14:textId="12279168" w:rsidR="004904DE" w:rsidRPr="00F2499D" w:rsidRDefault="00F2499D" w:rsidP="004904DE">
            <w:pPr>
              <w:rPr>
                <w:rFonts w:ascii="Times New Roman" w:hAnsi="Times New Roman" w:cs="Times New Roman"/>
                <w:b/>
                <w:bCs/>
              </w:rPr>
            </w:pPr>
            <w:r>
              <w:rPr>
                <w:rFonts w:ascii="Times New Roman" w:hAnsi="Times New Roman" w:cs="Times New Roman"/>
                <w:b/>
                <w:bCs/>
              </w:rPr>
              <w:t>Activity</w:t>
            </w:r>
          </w:p>
        </w:tc>
        <w:tc>
          <w:tcPr>
            <w:tcW w:w="3006" w:type="dxa"/>
          </w:tcPr>
          <w:p w14:paraId="5D2F0DF9" w14:textId="2A6713C5" w:rsidR="004904DE" w:rsidRPr="00F2499D" w:rsidRDefault="00544C5B" w:rsidP="004904DE">
            <w:pPr>
              <w:rPr>
                <w:rFonts w:ascii="Times New Roman" w:hAnsi="Times New Roman" w:cs="Times New Roman"/>
                <w:b/>
                <w:bCs/>
              </w:rPr>
            </w:pPr>
            <w:r>
              <w:rPr>
                <w:rFonts w:ascii="Times New Roman" w:hAnsi="Times New Roman" w:cs="Times New Roman"/>
                <w:b/>
                <w:bCs/>
              </w:rPr>
              <w:t xml:space="preserve">Responsible Unit </w:t>
            </w:r>
          </w:p>
        </w:tc>
      </w:tr>
      <w:tr w:rsidR="004904DE" w14:paraId="530EF6D9" w14:textId="77777777" w:rsidTr="004904DE">
        <w:tc>
          <w:tcPr>
            <w:tcW w:w="3005" w:type="dxa"/>
          </w:tcPr>
          <w:p w14:paraId="0B2B48D9" w14:textId="2909FA64" w:rsidR="004904DE" w:rsidRDefault="00544C5B" w:rsidP="004904DE">
            <w:r>
              <w:t>Q1 (2025)</w:t>
            </w:r>
          </w:p>
        </w:tc>
        <w:tc>
          <w:tcPr>
            <w:tcW w:w="3005" w:type="dxa"/>
          </w:tcPr>
          <w:p w14:paraId="16967597" w14:textId="20E550A2" w:rsidR="004904DE" w:rsidRPr="0008641B" w:rsidRDefault="0008641B" w:rsidP="007953DF">
            <w:pPr>
              <w:spacing w:line="360" w:lineRule="auto"/>
              <w:jc w:val="both"/>
              <w:rPr>
                <w:rFonts w:ascii="Times New Roman" w:hAnsi="Times New Roman" w:cs="Times New Roman"/>
              </w:rPr>
            </w:pPr>
            <w:r w:rsidRPr="0008641B">
              <w:rPr>
                <w:rFonts w:ascii="Times New Roman" w:hAnsi="Times New Roman" w:cs="Times New Roman"/>
              </w:rPr>
              <w:t>Start a digital "Celebrate Responsibly" campaign and collaborate with Amazon UK to provide premium bundles.</w:t>
            </w:r>
          </w:p>
        </w:tc>
        <w:tc>
          <w:tcPr>
            <w:tcW w:w="3006" w:type="dxa"/>
          </w:tcPr>
          <w:p w14:paraId="2529E3A5" w14:textId="20E6B969" w:rsidR="004904DE" w:rsidRPr="001D12A5" w:rsidRDefault="001D12A5" w:rsidP="004904DE">
            <w:pPr>
              <w:rPr>
                <w:rFonts w:ascii="Times New Roman" w:hAnsi="Times New Roman" w:cs="Times New Roman"/>
              </w:rPr>
            </w:pPr>
            <w:r w:rsidRPr="001D12A5">
              <w:rPr>
                <w:rFonts w:ascii="Times New Roman" w:hAnsi="Times New Roman" w:cs="Times New Roman"/>
                <w:color w:val="000000"/>
              </w:rPr>
              <w:t>Marketing &amp; Digital Team</w:t>
            </w:r>
          </w:p>
        </w:tc>
      </w:tr>
      <w:tr w:rsidR="004904DE" w14:paraId="16D2DA34" w14:textId="77777777" w:rsidTr="004904DE">
        <w:tc>
          <w:tcPr>
            <w:tcW w:w="3005" w:type="dxa"/>
          </w:tcPr>
          <w:p w14:paraId="0020CEBC" w14:textId="1AF9606C" w:rsidR="004904DE" w:rsidRDefault="00544C5B" w:rsidP="004904DE">
            <w:r>
              <w:t>Q2</w:t>
            </w:r>
          </w:p>
        </w:tc>
        <w:tc>
          <w:tcPr>
            <w:tcW w:w="3005" w:type="dxa"/>
          </w:tcPr>
          <w:p w14:paraId="05A7A4FE" w14:textId="5F707FCE" w:rsidR="004904DE" w:rsidRPr="006113C7" w:rsidRDefault="006113C7" w:rsidP="007953DF">
            <w:pPr>
              <w:spacing w:line="360" w:lineRule="auto"/>
              <w:jc w:val="both"/>
              <w:rPr>
                <w:rFonts w:ascii="Times New Roman" w:hAnsi="Times New Roman" w:cs="Times New Roman"/>
              </w:rPr>
            </w:pPr>
            <w:r w:rsidRPr="006113C7">
              <w:rPr>
                <w:rFonts w:ascii="Times New Roman" w:hAnsi="Times New Roman" w:cs="Times New Roman"/>
              </w:rPr>
              <w:t>Launch a new line of low-alcohol RTDs.</w:t>
            </w:r>
          </w:p>
        </w:tc>
        <w:tc>
          <w:tcPr>
            <w:tcW w:w="3006" w:type="dxa"/>
          </w:tcPr>
          <w:p w14:paraId="0B715B93" w14:textId="2570E199" w:rsidR="004904DE" w:rsidRPr="00DD568D" w:rsidRDefault="00DD568D" w:rsidP="004904DE">
            <w:pPr>
              <w:rPr>
                <w:rFonts w:ascii="Times New Roman" w:hAnsi="Times New Roman" w:cs="Times New Roman"/>
              </w:rPr>
            </w:pPr>
            <w:r>
              <w:rPr>
                <w:rFonts w:ascii="Times New Roman" w:hAnsi="Times New Roman" w:cs="Times New Roman"/>
              </w:rPr>
              <w:t xml:space="preserve">Product </w:t>
            </w:r>
            <w:r w:rsidR="00CD5E12">
              <w:rPr>
                <w:rFonts w:ascii="Times New Roman" w:hAnsi="Times New Roman" w:cs="Times New Roman"/>
              </w:rPr>
              <w:t>Development</w:t>
            </w:r>
          </w:p>
        </w:tc>
      </w:tr>
      <w:tr w:rsidR="004904DE" w14:paraId="5FFC2EB3" w14:textId="77777777" w:rsidTr="004904DE">
        <w:tc>
          <w:tcPr>
            <w:tcW w:w="3005" w:type="dxa"/>
          </w:tcPr>
          <w:p w14:paraId="3209A83F" w14:textId="2C7EDC82" w:rsidR="004904DE" w:rsidRDefault="00544C5B" w:rsidP="004904DE">
            <w:r>
              <w:t>Q3</w:t>
            </w:r>
          </w:p>
        </w:tc>
        <w:tc>
          <w:tcPr>
            <w:tcW w:w="3005" w:type="dxa"/>
          </w:tcPr>
          <w:p w14:paraId="378851D9" w14:textId="43F23F7B" w:rsidR="004904DE" w:rsidRPr="006113C7" w:rsidRDefault="00434816" w:rsidP="007953DF">
            <w:pPr>
              <w:spacing w:line="360" w:lineRule="auto"/>
              <w:jc w:val="both"/>
              <w:rPr>
                <w:rFonts w:ascii="Times New Roman" w:hAnsi="Times New Roman" w:cs="Times New Roman"/>
              </w:rPr>
            </w:pPr>
            <w:r w:rsidRPr="00434816">
              <w:rPr>
                <w:rFonts w:ascii="Times New Roman" w:hAnsi="Times New Roman" w:cs="Times New Roman"/>
              </w:rPr>
              <w:t>Open immersive pop-up bars during festivals in the UK.</w:t>
            </w:r>
          </w:p>
        </w:tc>
        <w:tc>
          <w:tcPr>
            <w:tcW w:w="3006" w:type="dxa"/>
          </w:tcPr>
          <w:p w14:paraId="03B8B4C9" w14:textId="7EA51313" w:rsidR="004904DE" w:rsidRPr="00CD5E12" w:rsidRDefault="00CD5E12" w:rsidP="004904DE">
            <w:pPr>
              <w:rPr>
                <w:rFonts w:ascii="Times New Roman" w:hAnsi="Times New Roman" w:cs="Times New Roman"/>
              </w:rPr>
            </w:pPr>
            <w:r>
              <w:rPr>
                <w:rFonts w:ascii="Times New Roman" w:hAnsi="Times New Roman" w:cs="Times New Roman"/>
              </w:rPr>
              <w:t xml:space="preserve">Brand Activation </w:t>
            </w:r>
          </w:p>
        </w:tc>
      </w:tr>
      <w:tr w:rsidR="004904DE" w14:paraId="3D326702" w14:textId="77777777" w:rsidTr="004904DE">
        <w:tc>
          <w:tcPr>
            <w:tcW w:w="3005" w:type="dxa"/>
          </w:tcPr>
          <w:p w14:paraId="68988542" w14:textId="7CE64CB1" w:rsidR="004904DE" w:rsidRDefault="00544C5B" w:rsidP="004904DE">
            <w:r>
              <w:t>Q4</w:t>
            </w:r>
          </w:p>
        </w:tc>
        <w:tc>
          <w:tcPr>
            <w:tcW w:w="3005" w:type="dxa"/>
          </w:tcPr>
          <w:p w14:paraId="3E3D14F6" w14:textId="5697F47D" w:rsidR="004904DE" w:rsidRPr="00434816" w:rsidRDefault="000A0EF1" w:rsidP="007953DF">
            <w:pPr>
              <w:spacing w:line="360" w:lineRule="auto"/>
              <w:jc w:val="both"/>
              <w:rPr>
                <w:rFonts w:ascii="Times New Roman" w:hAnsi="Times New Roman" w:cs="Times New Roman"/>
              </w:rPr>
            </w:pPr>
            <w:r w:rsidRPr="000A0EF1">
              <w:rPr>
                <w:rFonts w:ascii="Times New Roman" w:hAnsi="Times New Roman" w:cs="Times New Roman"/>
              </w:rPr>
              <w:t>Analyse the campaign's effectiveness and modify prices and budgets.</w:t>
            </w:r>
          </w:p>
        </w:tc>
        <w:tc>
          <w:tcPr>
            <w:tcW w:w="3006" w:type="dxa"/>
          </w:tcPr>
          <w:p w14:paraId="4859EEFE" w14:textId="4B233ABC" w:rsidR="004904DE" w:rsidRPr="0079778E" w:rsidRDefault="0079778E" w:rsidP="004904DE">
            <w:pPr>
              <w:rPr>
                <w:rFonts w:ascii="Times New Roman" w:hAnsi="Times New Roman" w:cs="Times New Roman"/>
              </w:rPr>
            </w:pPr>
            <w:r w:rsidRPr="0079778E">
              <w:rPr>
                <w:rFonts w:ascii="Times New Roman" w:hAnsi="Times New Roman" w:cs="Times New Roman"/>
                <w:color w:val="000000"/>
              </w:rPr>
              <w:t>Finance &amp; Strategy</w:t>
            </w:r>
          </w:p>
        </w:tc>
      </w:tr>
    </w:tbl>
    <w:p w14:paraId="298DE33C" w14:textId="77777777" w:rsidR="004904DE" w:rsidRPr="004904DE" w:rsidRDefault="004904DE" w:rsidP="004904DE"/>
    <w:p w14:paraId="4F9F1E54" w14:textId="210DFE61" w:rsidR="00D605E6" w:rsidRDefault="003F1232" w:rsidP="00AC6FD0">
      <w:pPr>
        <w:spacing w:line="360" w:lineRule="auto"/>
        <w:jc w:val="both"/>
        <w:rPr>
          <w:rFonts w:ascii="Times New Roman" w:hAnsi="Times New Roman" w:cs="Times New Roman"/>
        </w:rPr>
      </w:pPr>
      <w:r w:rsidRPr="003F1232">
        <w:rPr>
          <w:rFonts w:ascii="Times New Roman" w:hAnsi="Times New Roman" w:cs="Times New Roman"/>
        </w:rPr>
        <w:t>Diageo should establish a structured implementation timeline for a single fiscal year (April 2025–March 2026) to guarantee the effective execution of the suggested marketing plan. The digital "Celebrate Responsibly" campaign, which was created to enhance Diageo's reputation as a socially conscious and customer-focused company, is launched in Quarter 1 (January–March 2025). To engage audiences between the ages of 25 and 45, this campaign will make use of influencer relationships, social media platforms, and targeted digital advertising. To increase accessibility and online awareness in the UK market, Diageo should collaborate with Amazon UK to provide limited-edition collections and premium product bundles</w:t>
      </w:r>
      <w:sdt>
        <w:sdtPr>
          <w:rPr>
            <w:rFonts w:ascii="Times New Roman" w:hAnsi="Times New Roman" w:cs="Times New Roman"/>
          </w:rPr>
          <w:id w:val="-273014062"/>
          <w:citation/>
        </w:sdtPr>
        <w:sdtEndPr/>
        <w:sdtContent>
          <w:r w:rsidR="00AC642C">
            <w:rPr>
              <w:rFonts w:ascii="Times New Roman" w:hAnsi="Times New Roman" w:cs="Times New Roman"/>
            </w:rPr>
            <w:fldChar w:fldCharType="begin"/>
          </w:r>
          <w:r w:rsidR="00AC642C">
            <w:rPr>
              <w:rFonts w:ascii="Times New Roman" w:hAnsi="Times New Roman" w:cs="Times New Roman"/>
            </w:rPr>
            <w:instrText xml:space="preserve"> CITATION Dia25 \l 2057 </w:instrText>
          </w:r>
          <w:r w:rsidR="00AC642C">
            <w:rPr>
              <w:rFonts w:ascii="Times New Roman" w:hAnsi="Times New Roman" w:cs="Times New Roman"/>
            </w:rPr>
            <w:fldChar w:fldCharType="separate"/>
          </w:r>
          <w:r w:rsidR="00AC642C">
            <w:rPr>
              <w:rFonts w:ascii="Times New Roman" w:hAnsi="Times New Roman" w:cs="Times New Roman"/>
              <w:noProof/>
            </w:rPr>
            <w:t xml:space="preserve"> </w:t>
          </w:r>
          <w:r w:rsidR="00AC642C" w:rsidRPr="00AC642C">
            <w:rPr>
              <w:rFonts w:ascii="Times New Roman" w:hAnsi="Times New Roman" w:cs="Times New Roman"/>
              <w:noProof/>
            </w:rPr>
            <w:t>(Diageo , 2025)</w:t>
          </w:r>
          <w:r w:rsidR="00AC642C">
            <w:rPr>
              <w:rFonts w:ascii="Times New Roman" w:hAnsi="Times New Roman" w:cs="Times New Roman"/>
            </w:rPr>
            <w:fldChar w:fldCharType="end"/>
          </w:r>
        </w:sdtContent>
      </w:sdt>
      <w:r w:rsidRPr="003F1232">
        <w:rPr>
          <w:rFonts w:ascii="Times New Roman" w:hAnsi="Times New Roman" w:cs="Times New Roman"/>
        </w:rPr>
        <w:t>.</w:t>
      </w:r>
    </w:p>
    <w:p w14:paraId="39141E80" w14:textId="77777777" w:rsidR="00352C8C" w:rsidRPr="00352C8C" w:rsidRDefault="00352C8C" w:rsidP="00352C8C">
      <w:pPr>
        <w:spacing w:line="360" w:lineRule="auto"/>
        <w:jc w:val="both"/>
        <w:rPr>
          <w:rFonts w:ascii="Times New Roman" w:hAnsi="Times New Roman" w:cs="Times New Roman"/>
        </w:rPr>
      </w:pPr>
      <w:r w:rsidRPr="00352C8C">
        <w:rPr>
          <w:rFonts w:ascii="Times New Roman" w:hAnsi="Times New Roman" w:cs="Times New Roman"/>
        </w:rPr>
        <w:t>The firm will concentrate on launching a new low-alcohol ready-to-drink (RTD) line in Quarter 2 (April–June 2025), in response to the rising customer demand for moderate and healthy drinking choices. During this phase, promotional sample events will promote countrywide distribution to pubs, supermarkets, and online retailers.</w:t>
      </w:r>
    </w:p>
    <w:p w14:paraId="266C18A7" w14:textId="76529A20" w:rsidR="00D97E16" w:rsidRDefault="00352C8C" w:rsidP="00352C8C">
      <w:pPr>
        <w:spacing w:line="360" w:lineRule="auto"/>
        <w:jc w:val="both"/>
        <w:rPr>
          <w:rFonts w:ascii="Times New Roman" w:hAnsi="Times New Roman" w:cs="Times New Roman"/>
        </w:rPr>
      </w:pPr>
      <w:r w:rsidRPr="00352C8C">
        <w:rPr>
          <w:rFonts w:ascii="Times New Roman" w:hAnsi="Times New Roman" w:cs="Times New Roman"/>
        </w:rPr>
        <w:t xml:space="preserve">Diageo should collaborate with music and lifestyle businesses and establish pop-up experiential bars at significant UK festivals and summer events throughout the third </w:t>
      </w:r>
      <w:r w:rsidR="0080244A" w:rsidRPr="00352C8C">
        <w:rPr>
          <w:rFonts w:ascii="Times New Roman" w:hAnsi="Times New Roman" w:cs="Times New Roman"/>
        </w:rPr>
        <w:t xml:space="preserve">quarter </w:t>
      </w:r>
      <w:r w:rsidR="0080244A">
        <w:rPr>
          <w:rFonts w:ascii="Times New Roman" w:hAnsi="Times New Roman" w:cs="Times New Roman"/>
        </w:rPr>
        <w:t>(</w:t>
      </w:r>
      <w:r w:rsidRPr="00352C8C">
        <w:rPr>
          <w:rFonts w:ascii="Times New Roman" w:hAnsi="Times New Roman" w:cs="Times New Roman"/>
        </w:rPr>
        <w:t>July–September 2025). By enabling customers to interact directly with Diageo goods, these interactive areas will support brand loyalty and experiential marketing objectives</w:t>
      </w:r>
      <w:sdt>
        <w:sdtPr>
          <w:rPr>
            <w:rFonts w:ascii="Times New Roman" w:hAnsi="Times New Roman" w:cs="Times New Roman"/>
          </w:rPr>
          <w:id w:val="1322766884"/>
          <w:citation/>
        </w:sdtPr>
        <w:sdtEndPr/>
        <w:sdtContent>
          <w:r w:rsidR="00C13A36">
            <w:rPr>
              <w:rFonts w:ascii="Times New Roman" w:hAnsi="Times New Roman" w:cs="Times New Roman"/>
            </w:rPr>
            <w:fldChar w:fldCharType="begin"/>
          </w:r>
          <w:r w:rsidR="00C13A36">
            <w:rPr>
              <w:rFonts w:ascii="Times New Roman" w:hAnsi="Times New Roman" w:cs="Times New Roman"/>
            </w:rPr>
            <w:instrText xml:space="preserve"> CITATION Dia251 \l 2057 </w:instrText>
          </w:r>
          <w:r w:rsidR="00C13A36">
            <w:rPr>
              <w:rFonts w:ascii="Times New Roman" w:hAnsi="Times New Roman" w:cs="Times New Roman"/>
            </w:rPr>
            <w:fldChar w:fldCharType="separate"/>
          </w:r>
          <w:r w:rsidR="00C13A36">
            <w:rPr>
              <w:rFonts w:ascii="Times New Roman" w:hAnsi="Times New Roman" w:cs="Times New Roman"/>
              <w:noProof/>
            </w:rPr>
            <w:t xml:space="preserve"> </w:t>
          </w:r>
          <w:r w:rsidR="00C13A36" w:rsidRPr="00C13A36">
            <w:rPr>
              <w:rFonts w:ascii="Times New Roman" w:hAnsi="Times New Roman" w:cs="Times New Roman"/>
              <w:noProof/>
            </w:rPr>
            <w:t>(Diageo, 2025)</w:t>
          </w:r>
          <w:r w:rsidR="00C13A36">
            <w:rPr>
              <w:rFonts w:ascii="Times New Roman" w:hAnsi="Times New Roman" w:cs="Times New Roman"/>
            </w:rPr>
            <w:fldChar w:fldCharType="end"/>
          </w:r>
        </w:sdtContent>
      </w:sdt>
      <w:r w:rsidRPr="00352C8C">
        <w:rPr>
          <w:rFonts w:ascii="Times New Roman" w:hAnsi="Times New Roman" w:cs="Times New Roman"/>
        </w:rPr>
        <w:t>.</w:t>
      </w:r>
    </w:p>
    <w:p w14:paraId="1E4EE842" w14:textId="6C6F1FB1" w:rsidR="000E3E6B" w:rsidRDefault="00B81045" w:rsidP="00010778">
      <w:pPr>
        <w:spacing w:line="360" w:lineRule="auto"/>
        <w:jc w:val="both"/>
        <w:rPr>
          <w:rFonts w:ascii="Times New Roman" w:hAnsi="Times New Roman" w:cs="Times New Roman"/>
        </w:rPr>
      </w:pPr>
      <w:r w:rsidRPr="00B81045">
        <w:rPr>
          <w:rFonts w:ascii="Times New Roman" w:hAnsi="Times New Roman" w:cs="Times New Roman"/>
        </w:rPr>
        <w:t>Diageo will use key performance indicators (KPIs) such revenue growth, engagement rates, and brand recognition to evaluate campaign effectiveness during the fourth quarter (October–December 2025). The next fiscal year's pricing, marketing, and resource allocation will be guided by the insights obtained. Digital transformation (40%), product innovation (30%), promotions (20%), and environmental activities (10%) should be given top priority in budget distribution. By ensuring competitiveness, operational effectiveness, and alignment with Diageo's Society 2030: Spirit of Progress agenda, this balanced allocation promotes quantifiable growth and strengthens the company's dedication to ethical, sustainable, and data-driven marketing across a variety of channels</w:t>
      </w:r>
      <w:sdt>
        <w:sdtPr>
          <w:rPr>
            <w:rFonts w:ascii="Times New Roman" w:hAnsi="Times New Roman" w:cs="Times New Roman"/>
          </w:rPr>
          <w:id w:val="228664234"/>
          <w:citation/>
        </w:sdtPr>
        <w:sdtEndPr/>
        <w:sdtContent>
          <w:r w:rsidR="003F59D0">
            <w:rPr>
              <w:rFonts w:ascii="Times New Roman" w:hAnsi="Times New Roman" w:cs="Times New Roman"/>
            </w:rPr>
            <w:fldChar w:fldCharType="begin"/>
          </w:r>
          <w:r w:rsidR="003F59D0">
            <w:rPr>
              <w:rFonts w:ascii="Times New Roman" w:hAnsi="Times New Roman" w:cs="Times New Roman"/>
            </w:rPr>
            <w:instrText xml:space="preserve"> CITATION McP25 \l 2057 </w:instrText>
          </w:r>
          <w:r w:rsidR="003F59D0">
            <w:rPr>
              <w:rFonts w:ascii="Times New Roman" w:hAnsi="Times New Roman" w:cs="Times New Roman"/>
            </w:rPr>
            <w:fldChar w:fldCharType="separate"/>
          </w:r>
          <w:r w:rsidR="003F59D0">
            <w:rPr>
              <w:rFonts w:ascii="Times New Roman" w:hAnsi="Times New Roman" w:cs="Times New Roman"/>
              <w:noProof/>
            </w:rPr>
            <w:t xml:space="preserve"> </w:t>
          </w:r>
          <w:r w:rsidR="003F59D0" w:rsidRPr="003F59D0">
            <w:rPr>
              <w:rFonts w:ascii="Times New Roman" w:hAnsi="Times New Roman" w:cs="Times New Roman"/>
              <w:noProof/>
            </w:rPr>
            <w:t>(McPoland , 2025)</w:t>
          </w:r>
          <w:r w:rsidR="003F59D0">
            <w:rPr>
              <w:rFonts w:ascii="Times New Roman" w:hAnsi="Times New Roman" w:cs="Times New Roman"/>
            </w:rPr>
            <w:fldChar w:fldCharType="end"/>
          </w:r>
        </w:sdtContent>
      </w:sdt>
      <w:sdt>
        <w:sdtPr>
          <w:rPr>
            <w:rFonts w:ascii="Times New Roman" w:hAnsi="Times New Roman" w:cs="Times New Roman"/>
          </w:rPr>
          <w:id w:val="780989780"/>
          <w:citation/>
        </w:sdtPr>
        <w:sdtEndPr/>
        <w:sdtContent>
          <w:r w:rsidR="006B74FB">
            <w:rPr>
              <w:rFonts w:ascii="Times New Roman" w:hAnsi="Times New Roman" w:cs="Times New Roman"/>
            </w:rPr>
            <w:fldChar w:fldCharType="begin"/>
          </w:r>
          <w:r w:rsidR="006B74FB">
            <w:rPr>
              <w:rFonts w:ascii="Times New Roman" w:hAnsi="Times New Roman" w:cs="Times New Roman"/>
            </w:rPr>
            <w:instrText xml:space="preserve"> CITATION Dia252 \l 2057 </w:instrText>
          </w:r>
          <w:r w:rsidR="006B74FB">
            <w:rPr>
              <w:rFonts w:ascii="Times New Roman" w:hAnsi="Times New Roman" w:cs="Times New Roman"/>
            </w:rPr>
            <w:fldChar w:fldCharType="separate"/>
          </w:r>
          <w:r w:rsidR="006B74FB">
            <w:rPr>
              <w:rFonts w:ascii="Times New Roman" w:hAnsi="Times New Roman" w:cs="Times New Roman"/>
              <w:noProof/>
            </w:rPr>
            <w:t xml:space="preserve"> </w:t>
          </w:r>
          <w:r w:rsidR="006B74FB" w:rsidRPr="006B74FB">
            <w:rPr>
              <w:rFonts w:ascii="Times New Roman" w:hAnsi="Times New Roman" w:cs="Times New Roman"/>
              <w:noProof/>
            </w:rPr>
            <w:t>(Diageo, 2025)</w:t>
          </w:r>
          <w:r w:rsidR="006B74FB">
            <w:rPr>
              <w:rFonts w:ascii="Times New Roman" w:hAnsi="Times New Roman" w:cs="Times New Roman"/>
            </w:rPr>
            <w:fldChar w:fldCharType="end"/>
          </w:r>
        </w:sdtContent>
      </w:sdt>
      <w:r w:rsidR="00010778" w:rsidRPr="00010778">
        <w:rPr>
          <w:rFonts w:ascii="Times New Roman" w:hAnsi="Times New Roman" w:cs="Times New Roman"/>
        </w:rPr>
        <w:t>.</w:t>
      </w:r>
    </w:p>
    <w:p w14:paraId="6F0F5C7E" w14:textId="77777777" w:rsidR="00CB299F" w:rsidRDefault="00CB299F" w:rsidP="00010778">
      <w:pPr>
        <w:spacing w:line="360" w:lineRule="auto"/>
        <w:jc w:val="both"/>
        <w:rPr>
          <w:rFonts w:ascii="Times New Roman" w:hAnsi="Times New Roman" w:cs="Times New Roman"/>
        </w:rPr>
      </w:pPr>
    </w:p>
    <w:p w14:paraId="5EC0C639" w14:textId="7B48600D" w:rsidR="00CB299F" w:rsidRDefault="001476C0" w:rsidP="001476C0">
      <w:pPr>
        <w:pStyle w:val="Heading2"/>
      </w:pPr>
      <w:bookmarkStart w:id="16" w:name="_Toc213426473"/>
      <w:r>
        <w:t xml:space="preserve">5.2) </w:t>
      </w:r>
      <w:r w:rsidRPr="001476C0">
        <w:t>Key Performance Indicators (KPIs)</w:t>
      </w:r>
      <w:r w:rsidR="003E392A">
        <w:t xml:space="preserve"> and Balance</w:t>
      </w:r>
      <w:r w:rsidR="004E114C">
        <w:t xml:space="preserve">d </w:t>
      </w:r>
      <w:r w:rsidR="003E392A">
        <w:t>Score</w:t>
      </w:r>
      <w:r w:rsidR="004E114C">
        <w:t>card</w:t>
      </w:r>
      <w:bookmarkEnd w:id="16"/>
    </w:p>
    <w:p w14:paraId="2500A5EC" w14:textId="2AA7278F" w:rsidR="00B81045" w:rsidRDefault="000E7453" w:rsidP="0082523C">
      <w:pPr>
        <w:spacing w:line="360" w:lineRule="auto"/>
        <w:jc w:val="both"/>
        <w:rPr>
          <w:rFonts w:ascii="Times New Roman" w:hAnsi="Times New Roman" w:cs="Times New Roman"/>
        </w:rPr>
      </w:pPr>
      <w:r w:rsidRPr="000E7453">
        <w:rPr>
          <w:rFonts w:ascii="Times New Roman" w:hAnsi="Times New Roman" w:cs="Times New Roman"/>
        </w:rPr>
        <w:t>To make sure its marketing plan meets its goals, Diageo must monitor progress using accurate Key Performance Indicators (KPIs) backed by a Balanced Scorecard (BSC). Managers may use these tools to keep an eye on performance, make necessary modifications, and convert strategy into quantifiable results. Sales growth is the primary KPI, with a one-year goal of 10% more UK revenue. Goals for digital engagement include a 20% increase in social media engagements, a 5% increase in conversions, and a 25% increase in website traffic. While environmental KPIs target 100% recyclable packaging and a 15% carbon reduction per litre, responsible drinking awareness should achieve an 80% favourable recall. A 15% increase in memberships and recurring business is the goal of customer loyalty. Employee performance is just as important, with a 90% training completion target.</w:t>
      </w:r>
      <w:r w:rsidR="00774CCD" w:rsidRPr="00774CCD">
        <w:t xml:space="preserve"> </w:t>
      </w:r>
      <w:r w:rsidR="00774CCD" w:rsidRPr="00774CCD">
        <w:rPr>
          <w:rFonts w:ascii="Times New Roman" w:hAnsi="Times New Roman" w:cs="Times New Roman"/>
        </w:rPr>
        <w:t>By bringing financial, customer, process, and learning views into alignment, the Balanced Scorecard guarantees profitability, efficiency, flexibility, and long-term, sustainable growth.</w:t>
      </w:r>
    </w:p>
    <w:p w14:paraId="656DF6A9" w14:textId="476480A4" w:rsidR="00987EB8" w:rsidRDefault="00987EB8" w:rsidP="0082523C">
      <w:pPr>
        <w:spacing w:line="360" w:lineRule="auto"/>
        <w:jc w:val="both"/>
        <w:rPr>
          <w:rFonts w:ascii="Times New Roman" w:hAnsi="Times New Roman" w:cs="Times New Roman"/>
        </w:rPr>
      </w:pPr>
      <w:r w:rsidRPr="00987EB8">
        <w:rPr>
          <w:rFonts w:ascii="Times New Roman" w:hAnsi="Times New Roman" w:cs="Times New Roman"/>
        </w:rPr>
        <w:t>For Diageo's UK operations, sustainability and environmental KPIs are essential. The company's Society 2030: Spirit of Progress objectives include 100% recyclable packaging and a 15% decrease in carbon emissions per litre. Net Promoter Scores and satisfaction surveys measure brand endorsement, whereas customer-focused KPIs aim for a 15% rise in loyalty program membership and repeat purchases. Marketing performance is also influenced by employee capabilities; at least 90% of employees should participate in training to guarantee they are knowledgeable and driven. By assessing performance from financial, customer, internal process, and learning perspectives, the Balanced Scorecard enhances these KPIs and guarantees profitability, efficiency, and flexibility across all operational domains.</w:t>
      </w:r>
    </w:p>
    <w:p w14:paraId="4B25CE42" w14:textId="7E7644BE" w:rsidR="00495F92" w:rsidRDefault="00F84E86" w:rsidP="0082523C">
      <w:pPr>
        <w:spacing w:line="360" w:lineRule="auto"/>
        <w:jc w:val="both"/>
        <w:rPr>
          <w:rFonts w:ascii="Times New Roman" w:hAnsi="Times New Roman" w:cs="Times New Roman"/>
        </w:rPr>
      </w:pPr>
      <w:r w:rsidRPr="00F84E86">
        <w:rPr>
          <w:rFonts w:ascii="Times New Roman" w:hAnsi="Times New Roman" w:cs="Times New Roman"/>
        </w:rPr>
        <w:t>Every viewpoint in the Balanced Scorecard is interrelated: better staff abilities improve internal procedures, which raise customer satisfaction and boost profits. This alignment guarantees that all departments continuously support Diageo's strategic objectives. To make timely modifications to marketing campaigns, pricing, or training programs, quarterly performance reviews should evaluate progress towards goals. Diageo may efficiently monitor both financial and social achievements by combining KPIs with the Balanced Scorecard. In addition to boosting consumer loyalty and preserving Diageo's leadership in the cutthroat UK beverage industry, this methodical approach encourages responsibility, constant development, and sustainable growth</w:t>
      </w:r>
      <w:sdt>
        <w:sdtPr>
          <w:rPr>
            <w:rFonts w:ascii="Times New Roman" w:hAnsi="Times New Roman" w:cs="Times New Roman"/>
          </w:rPr>
          <w:id w:val="107941420"/>
          <w:citation/>
        </w:sdtPr>
        <w:sdtEndPr/>
        <w:sdtContent>
          <w:r w:rsidR="0007094E">
            <w:rPr>
              <w:rFonts w:ascii="Times New Roman" w:hAnsi="Times New Roman" w:cs="Times New Roman"/>
            </w:rPr>
            <w:fldChar w:fldCharType="begin"/>
          </w:r>
          <w:r w:rsidR="0007094E">
            <w:rPr>
              <w:rFonts w:ascii="Times New Roman" w:hAnsi="Times New Roman" w:cs="Times New Roman"/>
            </w:rPr>
            <w:instrText xml:space="preserve"> CITATION SEC19 \l 2057 </w:instrText>
          </w:r>
          <w:r w:rsidR="0007094E">
            <w:rPr>
              <w:rFonts w:ascii="Times New Roman" w:hAnsi="Times New Roman" w:cs="Times New Roman"/>
            </w:rPr>
            <w:fldChar w:fldCharType="separate"/>
          </w:r>
          <w:r w:rsidR="0007094E">
            <w:rPr>
              <w:rFonts w:ascii="Times New Roman" w:hAnsi="Times New Roman" w:cs="Times New Roman"/>
              <w:noProof/>
            </w:rPr>
            <w:t xml:space="preserve"> </w:t>
          </w:r>
          <w:r w:rsidR="0007094E" w:rsidRPr="0007094E">
            <w:rPr>
              <w:rFonts w:ascii="Times New Roman" w:hAnsi="Times New Roman" w:cs="Times New Roman"/>
              <w:noProof/>
            </w:rPr>
            <w:t>(SEC.gov, 2019)</w:t>
          </w:r>
          <w:r w:rsidR="0007094E">
            <w:rPr>
              <w:rFonts w:ascii="Times New Roman" w:hAnsi="Times New Roman" w:cs="Times New Roman"/>
            </w:rPr>
            <w:fldChar w:fldCharType="end"/>
          </w:r>
        </w:sdtContent>
      </w:sdt>
      <w:sdt>
        <w:sdtPr>
          <w:rPr>
            <w:rFonts w:ascii="Times New Roman" w:hAnsi="Times New Roman" w:cs="Times New Roman"/>
          </w:rPr>
          <w:id w:val="-427895951"/>
          <w:citation/>
        </w:sdtPr>
        <w:sdtEndPr/>
        <w:sdtContent>
          <w:r w:rsidR="0007094E">
            <w:rPr>
              <w:rFonts w:ascii="Times New Roman" w:hAnsi="Times New Roman" w:cs="Times New Roman"/>
            </w:rPr>
            <w:fldChar w:fldCharType="begin"/>
          </w:r>
          <w:r w:rsidR="0007094E">
            <w:rPr>
              <w:rFonts w:ascii="Times New Roman" w:hAnsi="Times New Roman" w:cs="Times New Roman"/>
            </w:rPr>
            <w:instrText xml:space="preserve"> CITATION DIA241 \l 2057 </w:instrText>
          </w:r>
          <w:r w:rsidR="0007094E">
            <w:rPr>
              <w:rFonts w:ascii="Times New Roman" w:hAnsi="Times New Roman" w:cs="Times New Roman"/>
            </w:rPr>
            <w:fldChar w:fldCharType="separate"/>
          </w:r>
          <w:r w:rsidR="0007094E">
            <w:rPr>
              <w:rFonts w:ascii="Times New Roman" w:hAnsi="Times New Roman" w:cs="Times New Roman"/>
              <w:noProof/>
            </w:rPr>
            <w:t xml:space="preserve"> </w:t>
          </w:r>
          <w:r w:rsidR="0007094E" w:rsidRPr="0007094E">
            <w:rPr>
              <w:rFonts w:ascii="Times New Roman" w:hAnsi="Times New Roman" w:cs="Times New Roman"/>
              <w:noProof/>
            </w:rPr>
            <w:t>(DIAGEO , 2024)</w:t>
          </w:r>
          <w:r w:rsidR="0007094E">
            <w:rPr>
              <w:rFonts w:ascii="Times New Roman" w:hAnsi="Times New Roman" w:cs="Times New Roman"/>
            </w:rPr>
            <w:fldChar w:fldCharType="end"/>
          </w:r>
        </w:sdtContent>
      </w:sdt>
      <w:sdt>
        <w:sdtPr>
          <w:rPr>
            <w:rFonts w:ascii="Times New Roman" w:hAnsi="Times New Roman" w:cs="Times New Roman"/>
          </w:rPr>
          <w:id w:val="779922334"/>
          <w:citation/>
        </w:sdtPr>
        <w:sdtEndPr/>
        <w:sdtContent>
          <w:r w:rsidR="00415587">
            <w:rPr>
              <w:rFonts w:ascii="Times New Roman" w:hAnsi="Times New Roman" w:cs="Times New Roman"/>
            </w:rPr>
            <w:fldChar w:fldCharType="begin"/>
          </w:r>
          <w:r w:rsidR="00415587">
            <w:rPr>
              <w:rFonts w:ascii="Times New Roman" w:hAnsi="Times New Roman" w:cs="Times New Roman"/>
            </w:rPr>
            <w:instrText xml:space="preserve"> CITATION KPI25 \l 2057 </w:instrText>
          </w:r>
          <w:r w:rsidR="00415587">
            <w:rPr>
              <w:rFonts w:ascii="Times New Roman" w:hAnsi="Times New Roman" w:cs="Times New Roman"/>
            </w:rPr>
            <w:fldChar w:fldCharType="separate"/>
          </w:r>
          <w:r w:rsidR="00415587">
            <w:rPr>
              <w:rFonts w:ascii="Times New Roman" w:hAnsi="Times New Roman" w:cs="Times New Roman"/>
              <w:noProof/>
            </w:rPr>
            <w:t xml:space="preserve"> </w:t>
          </w:r>
          <w:r w:rsidR="00415587" w:rsidRPr="00415587">
            <w:rPr>
              <w:rFonts w:ascii="Times New Roman" w:hAnsi="Times New Roman" w:cs="Times New Roman"/>
              <w:noProof/>
            </w:rPr>
            <w:t>(KPI Depot , 2025)</w:t>
          </w:r>
          <w:r w:rsidR="00415587">
            <w:rPr>
              <w:rFonts w:ascii="Times New Roman" w:hAnsi="Times New Roman" w:cs="Times New Roman"/>
            </w:rPr>
            <w:fldChar w:fldCharType="end"/>
          </w:r>
        </w:sdtContent>
      </w:sdt>
      <w:r w:rsidRPr="00F84E86">
        <w:rPr>
          <w:rFonts w:ascii="Times New Roman" w:hAnsi="Times New Roman" w:cs="Times New Roman"/>
        </w:rPr>
        <w:t>.</w:t>
      </w:r>
    </w:p>
    <w:p w14:paraId="7D4275C2" w14:textId="77777777" w:rsidR="002523B2" w:rsidRDefault="002523B2" w:rsidP="0082523C">
      <w:pPr>
        <w:spacing w:line="360" w:lineRule="auto"/>
        <w:jc w:val="both"/>
        <w:rPr>
          <w:rFonts w:ascii="Times New Roman" w:hAnsi="Times New Roman" w:cs="Times New Roman"/>
        </w:rPr>
      </w:pPr>
    </w:p>
    <w:p w14:paraId="7A9C0576" w14:textId="77777777" w:rsidR="005147DE" w:rsidRDefault="005147DE" w:rsidP="002523B2">
      <w:pPr>
        <w:pStyle w:val="Heading1"/>
      </w:pPr>
    </w:p>
    <w:p w14:paraId="308B794B" w14:textId="77777777" w:rsidR="005147DE" w:rsidRDefault="005147DE" w:rsidP="002523B2">
      <w:pPr>
        <w:pStyle w:val="Heading1"/>
      </w:pPr>
    </w:p>
    <w:p w14:paraId="602EBAE6" w14:textId="77777777" w:rsidR="005147DE" w:rsidRDefault="005147DE" w:rsidP="002523B2">
      <w:pPr>
        <w:pStyle w:val="Heading1"/>
      </w:pPr>
    </w:p>
    <w:p w14:paraId="4EC403CA" w14:textId="77777777" w:rsidR="005147DE" w:rsidRDefault="005147DE" w:rsidP="002523B2">
      <w:pPr>
        <w:pStyle w:val="Heading1"/>
      </w:pPr>
    </w:p>
    <w:p w14:paraId="2C23729F" w14:textId="77777777" w:rsidR="005147DE" w:rsidRDefault="005147DE" w:rsidP="002523B2">
      <w:pPr>
        <w:pStyle w:val="Heading1"/>
      </w:pPr>
    </w:p>
    <w:p w14:paraId="47829EE1" w14:textId="77777777" w:rsidR="005147DE" w:rsidRDefault="005147DE" w:rsidP="002523B2">
      <w:pPr>
        <w:pStyle w:val="Heading1"/>
      </w:pPr>
    </w:p>
    <w:p w14:paraId="5B7FB229" w14:textId="77777777" w:rsidR="005147DE" w:rsidRDefault="005147DE" w:rsidP="002523B2">
      <w:pPr>
        <w:pStyle w:val="Heading1"/>
      </w:pPr>
    </w:p>
    <w:p w14:paraId="0CAB9309" w14:textId="77777777" w:rsidR="005147DE" w:rsidRDefault="005147DE" w:rsidP="002523B2">
      <w:pPr>
        <w:pStyle w:val="Heading1"/>
      </w:pPr>
    </w:p>
    <w:p w14:paraId="33DA4E41" w14:textId="77777777" w:rsidR="009026D6" w:rsidRPr="009026D6" w:rsidRDefault="009026D6" w:rsidP="009026D6"/>
    <w:p w14:paraId="6A854495" w14:textId="1695D225" w:rsidR="002523B2" w:rsidRPr="004E114C" w:rsidRDefault="002523B2" w:rsidP="002523B2">
      <w:pPr>
        <w:pStyle w:val="Heading1"/>
      </w:pPr>
      <w:bookmarkStart w:id="17" w:name="_Toc213426474"/>
      <w:r>
        <w:t>6. Conclusion</w:t>
      </w:r>
      <w:bookmarkEnd w:id="17"/>
      <w:r>
        <w:t xml:space="preserve"> </w:t>
      </w:r>
    </w:p>
    <w:p w14:paraId="75C6CAF2" w14:textId="77777777" w:rsidR="001476C0" w:rsidRDefault="001476C0" w:rsidP="001476C0">
      <w:pPr>
        <w:spacing w:line="360" w:lineRule="auto"/>
        <w:jc w:val="both"/>
        <w:rPr>
          <w:rFonts w:ascii="Times New Roman" w:hAnsi="Times New Roman" w:cs="Times New Roman"/>
        </w:rPr>
      </w:pPr>
    </w:p>
    <w:p w14:paraId="7E3BB644" w14:textId="77777777" w:rsidR="001A26CD" w:rsidRPr="001A26CD" w:rsidRDefault="001A26CD" w:rsidP="001A26CD">
      <w:pPr>
        <w:spacing w:line="360" w:lineRule="auto"/>
        <w:jc w:val="both"/>
        <w:rPr>
          <w:rFonts w:ascii="Times New Roman" w:hAnsi="Times New Roman" w:cs="Times New Roman"/>
        </w:rPr>
      </w:pPr>
      <w:r w:rsidRPr="001A26CD">
        <w:rPr>
          <w:rFonts w:ascii="Times New Roman" w:hAnsi="Times New Roman" w:cs="Times New Roman"/>
        </w:rPr>
        <w:t>This marketing approach highlights that maintaining Diageo's success in the UK requires striking a balance between the company's premium brand identity and changing customer demands for digital convenience, sustainability, and health-conscious options. In addition to identifying political and economic obstacles brought on by taxes and inflation, the PESTEL research highlights important social and technological potential in the expansion of e-commerce and ethical consumerism.</w:t>
      </w:r>
    </w:p>
    <w:p w14:paraId="6CE4F5E0" w14:textId="5EC859CA" w:rsidR="00525AE0" w:rsidRDefault="001A26CD" w:rsidP="001A26CD">
      <w:pPr>
        <w:spacing w:line="360" w:lineRule="auto"/>
        <w:jc w:val="both"/>
        <w:rPr>
          <w:rFonts w:ascii="Times New Roman" w:hAnsi="Times New Roman" w:cs="Times New Roman"/>
        </w:rPr>
      </w:pPr>
      <w:r w:rsidRPr="001A26CD">
        <w:rPr>
          <w:rFonts w:ascii="Times New Roman" w:hAnsi="Times New Roman" w:cs="Times New Roman"/>
        </w:rPr>
        <w:t>The Ansoff Matrix describes realistic growth paths via product innovation, diversification, and market penetration. Urban millennials and health-conscious individuals are the most lucrative market categories, according to segmentation, targeting, and positioning (STP) study. An integrated 7Ps marketing mix that prioritises product and promotional innovation to boost engagement and distinction may further bolster Diageo's competitiveness.</w:t>
      </w:r>
    </w:p>
    <w:p w14:paraId="469E220D" w14:textId="77777777" w:rsidR="00075731" w:rsidRPr="00075731" w:rsidRDefault="00075731" w:rsidP="00075731">
      <w:pPr>
        <w:spacing w:line="360" w:lineRule="auto"/>
        <w:jc w:val="both"/>
        <w:rPr>
          <w:rFonts w:ascii="Times New Roman" w:hAnsi="Times New Roman" w:cs="Times New Roman"/>
        </w:rPr>
      </w:pPr>
      <w:r w:rsidRPr="00075731">
        <w:rPr>
          <w:rFonts w:ascii="Times New Roman" w:hAnsi="Times New Roman" w:cs="Times New Roman"/>
        </w:rPr>
        <w:t>A strong implementation framework, backed by quantifiable KPIs and a Balanced Scorecard, guarantees that advancements are in line with Diageo's sustainability objective, "Society 2030: Spirit of Progress." Diageo can increase consumer loyalty, strengthen brand trust, and boost operational efficiency by incorporating sustainability, data analytics, and ethical marketing practices into every facet of its business.</w:t>
      </w:r>
    </w:p>
    <w:p w14:paraId="799FC356" w14:textId="33B0B598" w:rsidR="001A26CD" w:rsidRDefault="00075731" w:rsidP="00075731">
      <w:pPr>
        <w:spacing w:line="360" w:lineRule="auto"/>
        <w:jc w:val="both"/>
        <w:rPr>
          <w:rFonts w:ascii="Times New Roman" w:hAnsi="Times New Roman" w:cs="Times New Roman"/>
        </w:rPr>
      </w:pPr>
      <w:r w:rsidRPr="00075731">
        <w:rPr>
          <w:rFonts w:ascii="Times New Roman" w:hAnsi="Times New Roman" w:cs="Times New Roman"/>
        </w:rPr>
        <w:t>In the end, this strategy puts Diageo in a position to continue its leadership in the premium beverage industry and make a significant contribution to long-term social and environmental objectives while achieving a predicted 10% sales rise in the UK market within the next year.</w:t>
      </w:r>
    </w:p>
    <w:p w14:paraId="578940F1" w14:textId="77777777" w:rsidR="00C13A36" w:rsidRDefault="00C13A36" w:rsidP="00352C8C">
      <w:pPr>
        <w:spacing w:line="360" w:lineRule="auto"/>
        <w:jc w:val="both"/>
        <w:rPr>
          <w:rFonts w:ascii="Times New Roman" w:hAnsi="Times New Roman" w:cs="Times New Roman"/>
        </w:rPr>
      </w:pPr>
    </w:p>
    <w:p w14:paraId="4B2EF934" w14:textId="77777777" w:rsidR="00D605E6" w:rsidRDefault="00D605E6" w:rsidP="00AC6FD0">
      <w:pPr>
        <w:spacing w:line="360" w:lineRule="auto"/>
        <w:jc w:val="both"/>
        <w:rPr>
          <w:rFonts w:ascii="Times New Roman" w:hAnsi="Times New Roman" w:cs="Times New Roman"/>
        </w:rPr>
      </w:pPr>
    </w:p>
    <w:p w14:paraId="7C7DC635" w14:textId="77777777" w:rsidR="00D605E6" w:rsidRDefault="00D605E6" w:rsidP="00AC6FD0">
      <w:pPr>
        <w:spacing w:line="360" w:lineRule="auto"/>
        <w:jc w:val="both"/>
        <w:rPr>
          <w:rFonts w:ascii="Times New Roman" w:hAnsi="Times New Roman" w:cs="Times New Roman"/>
        </w:rPr>
      </w:pPr>
    </w:p>
    <w:p w14:paraId="7B06EAE3" w14:textId="77777777" w:rsidR="00BE32D4" w:rsidRDefault="00BE32D4" w:rsidP="00AC6FD0">
      <w:pPr>
        <w:spacing w:line="360" w:lineRule="auto"/>
        <w:jc w:val="both"/>
        <w:rPr>
          <w:rFonts w:ascii="Times New Roman" w:hAnsi="Times New Roman" w:cs="Times New Roman"/>
        </w:rPr>
      </w:pPr>
    </w:p>
    <w:p w14:paraId="403631F5" w14:textId="77777777" w:rsidR="00BE32D4" w:rsidRDefault="00BE32D4" w:rsidP="00AC6FD0">
      <w:pPr>
        <w:spacing w:line="360" w:lineRule="auto"/>
        <w:jc w:val="both"/>
        <w:rPr>
          <w:rFonts w:ascii="Times New Roman" w:hAnsi="Times New Roman" w:cs="Times New Roman"/>
        </w:rPr>
      </w:pPr>
    </w:p>
    <w:p w14:paraId="505F7AA3" w14:textId="77777777" w:rsidR="00BE32D4" w:rsidRDefault="00BE32D4" w:rsidP="00AC6FD0">
      <w:pPr>
        <w:spacing w:line="360" w:lineRule="auto"/>
        <w:jc w:val="both"/>
        <w:rPr>
          <w:rFonts w:ascii="Times New Roman" w:hAnsi="Times New Roman" w:cs="Times New Roman"/>
        </w:rPr>
      </w:pPr>
    </w:p>
    <w:p w14:paraId="1D188C2D" w14:textId="77777777" w:rsidR="00BE32D4" w:rsidRDefault="00BE32D4" w:rsidP="00AC6FD0">
      <w:pPr>
        <w:spacing w:line="360" w:lineRule="auto"/>
        <w:jc w:val="both"/>
        <w:rPr>
          <w:rFonts w:ascii="Times New Roman" w:hAnsi="Times New Roman" w:cs="Times New Roman"/>
        </w:rPr>
      </w:pPr>
    </w:p>
    <w:p w14:paraId="415F1569" w14:textId="77777777" w:rsidR="00BE32D4" w:rsidRDefault="00BE32D4" w:rsidP="00AC6FD0">
      <w:pPr>
        <w:spacing w:line="360" w:lineRule="auto"/>
        <w:jc w:val="both"/>
        <w:rPr>
          <w:rFonts w:ascii="Times New Roman" w:hAnsi="Times New Roman" w:cs="Times New Roman"/>
        </w:rPr>
      </w:pPr>
    </w:p>
    <w:p w14:paraId="60AAD7F2" w14:textId="77777777" w:rsidR="00BE32D4" w:rsidRDefault="00BE32D4" w:rsidP="00AC6FD0">
      <w:pPr>
        <w:spacing w:line="360" w:lineRule="auto"/>
        <w:jc w:val="both"/>
        <w:rPr>
          <w:rFonts w:ascii="Times New Roman" w:hAnsi="Times New Roman" w:cs="Times New Roman"/>
        </w:rPr>
      </w:pPr>
    </w:p>
    <w:p w14:paraId="390734F0" w14:textId="77777777" w:rsidR="00BE32D4" w:rsidRDefault="00BE32D4" w:rsidP="00AC6FD0">
      <w:pPr>
        <w:spacing w:line="360" w:lineRule="auto"/>
        <w:jc w:val="both"/>
        <w:rPr>
          <w:rFonts w:ascii="Times New Roman" w:hAnsi="Times New Roman" w:cs="Times New Roman"/>
        </w:rPr>
      </w:pPr>
    </w:p>
    <w:p w14:paraId="1D26B2E0" w14:textId="77777777" w:rsidR="00BE32D4" w:rsidRDefault="00BE32D4" w:rsidP="00AC6FD0">
      <w:pPr>
        <w:spacing w:line="360" w:lineRule="auto"/>
        <w:jc w:val="both"/>
        <w:rPr>
          <w:rFonts w:ascii="Times New Roman" w:hAnsi="Times New Roman" w:cs="Times New Roman"/>
        </w:rPr>
      </w:pPr>
    </w:p>
    <w:p w14:paraId="78DEB69C" w14:textId="77777777" w:rsidR="00F561A3" w:rsidRDefault="00F561A3" w:rsidP="00AC6FD0">
      <w:pPr>
        <w:spacing w:line="360" w:lineRule="auto"/>
        <w:jc w:val="both"/>
        <w:rPr>
          <w:rFonts w:ascii="Times New Roman" w:hAnsi="Times New Roman" w:cs="Times New Roman"/>
        </w:rPr>
      </w:pPr>
    </w:p>
    <w:bookmarkStart w:id="18" w:name="_Toc213426475" w:displacedByCustomXml="next"/>
    <w:sdt>
      <w:sdtPr>
        <w:rPr>
          <w:rFonts w:asciiTheme="minorHAnsi" w:eastAsiaTheme="minorHAnsi" w:hAnsiTheme="minorHAnsi" w:cstheme="minorBidi"/>
          <w:color w:val="auto"/>
          <w:sz w:val="24"/>
          <w:szCs w:val="24"/>
        </w:rPr>
        <w:id w:val="-908148772"/>
        <w:docPartObj>
          <w:docPartGallery w:val="Bibliographies"/>
          <w:docPartUnique/>
        </w:docPartObj>
      </w:sdtPr>
      <w:sdtEndPr/>
      <w:sdtContent>
        <w:p w14:paraId="2727A922" w14:textId="2DA31881" w:rsidR="00470327" w:rsidRDefault="00470327">
          <w:pPr>
            <w:pStyle w:val="Heading1"/>
          </w:pPr>
          <w:r>
            <w:t>Bibliography</w:t>
          </w:r>
          <w:bookmarkEnd w:id="18"/>
        </w:p>
        <w:sdt>
          <w:sdtPr>
            <w:id w:val="111145805"/>
            <w:bibliography/>
          </w:sdtPr>
          <w:sdtEndPr/>
          <w:sdtContent>
            <w:p w14:paraId="3C8B93F2" w14:textId="77777777" w:rsidR="00470327" w:rsidRDefault="00470327" w:rsidP="00470327">
              <w:pPr>
                <w:pStyle w:val="Bibliography"/>
                <w:rPr>
                  <w:noProof/>
                </w:rPr>
              </w:pPr>
              <w:r>
                <w:fldChar w:fldCharType="begin"/>
              </w:r>
              <w:r>
                <w:instrText xml:space="preserve"> BIBLIOGRAPHY </w:instrText>
              </w:r>
              <w:r>
                <w:fldChar w:fldCharType="separate"/>
              </w:r>
              <w:r>
                <w:rPr>
                  <w:noProof/>
                </w:rPr>
                <w:t xml:space="preserve">Comstock, F., 2025. </w:t>
              </w:r>
              <w:r>
                <w:rPr>
                  <w:i/>
                  <w:iCs/>
                  <w:noProof/>
                </w:rPr>
                <w:t xml:space="preserve">Britannica Money- Diageo British company. </w:t>
              </w:r>
              <w:r>
                <w:rPr>
                  <w:noProof/>
                </w:rPr>
                <w:t xml:space="preserve">[Online] </w:t>
              </w:r>
              <w:r>
                <w:rPr>
                  <w:noProof/>
                </w:rPr>
                <w:br/>
                <w:t xml:space="preserve">Available at: </w:t>
              </w:r>
              <w:r>
                <w:rPr>
                  <w:noProof/>
                  <w:u w:val="single"/>
                </w:rPr>
                <w:t>https://www.britannica.com/money/Diageo-PLC</w:t>
              </w:r>
              <w:r>
                <w:rPr>
                  <w:noProof/>
                </w:rPr>
                <w:br/>
                <w:t>[Accessed 05 11 2025].</w:t>
              </w:r>
            </w:p>
            <w:p w14:paraId="51B781AE" w14:textId="77777777" w:rsidR="00470327" w:rsidRDefault="00470327" w:rsidP="00470327">
              <w:pPr>
                <w:pStyle w:val="Bibliography"/>
                <w:rPr>
                  <w:noProof/>
                </w:rPr>
              </w:pPr>
              <w:r>
                <w:rPr>
                  <w:noProof/>
                </w:rPr>
                <w:t xml:space="preserve">Diageo , 2019. </w:t>
              </w:r>
              <w:r>
                <w:rPr>
                  <w:i/>
                  <w:iCs/>
                  <w:noProof/>
                </w:rPr>
                <w:t xml:space="preserve">Diageo acquires majority shareholding in Seedlip, the world’s first distilled non-alcoholic spirit. </w:t>
              </w:r>
              <w:r>
                <w:rPr>
                  <w:noProof/>
                </w:rPr>
                <w:t xml:space="preserve">[Online] </w:t>
              </w:r>
              <w:r>
                <w:rPr>
                  <w:noProof/>
                </w:rPr>
                <w:br/>
                <w:t xml:space="preserve">Available at: </w:t>
              </w:r>
              <w:r>
                <w:rPr>
                  <w:noProof/>
                  <w:u w:val="single"/>
                </w:rPr>
                <w:t>https://www.diageo.com/en/news-and-media/press-releases/2019/diageo-acquires-majority-shareholding-in-seedlip-the-world-s-first-distilled-non-alcoholic-spirit</w:t>
              </w:r>
              <w:r>
                <w:rPr>
                  <w:noProof/>
                </w:rPr>
                <w:br/>
                <w:t>[Accessed 07 11 2025].</w:t>
              </w:r>
            </w:p>
            <w:p w14:paraId="07F6D717" w14:textId="77777777" w:rsidR="00470327" w:rsidRDefault="00470327" w:rsidP="00470327">
              <w:pPr>
                <w:pStyle w:val="Bibliography"/>
                <w:rPr>
                  <w:noProof/>
                </w:rPr>
              </w:pPr>
              <w:r>
                <w:rPr>
                  <w:noProof/>
                </w:rPr>
                <w:t xml:space="preserve">DIAGEO , 2024. </w:t>
              </w:r>
              <w:r>
                <w:rPr>
                  <w:i/>
                  <w:iCs/>
                  <w:noProof/>
                </w:rPr>
                <w:t xml:space="preserve">Annual Report 2024. </w:t>
              </w:r>
              <w:r>
                <w:rPr>
                  <w:noProof/>
                </w:rPr>
                <w:t xml:space="preserve">[Online] </w:t>
              </w:r>
              <w:r>
                <w:rPr>
                  <w:noProof/>
                </w:rPr>
                <w:br/>
                <w:t xml:space="preserve">Available at: </w:t>
              </w:r>
              <w:r>
                <w:rPr>
                  <w:noProof/>
                  <w:u w:val="single"/>
                </w:rPr>
                <w:t>https://www.diageo.com/~/media/Files/D/Diageo-V2/Diageo-Corp/investors/results-reports-and-events/annual-reports/diageo-annual-report-2024.pdf</w:t>
              </w:r>
              <w:r>
                <w:rPr>
                  <w:noProof/>
                </w:rPr>
                <w:br/>
                <w:t>[Accessed 11 11 2025].</w:t>
              </w:r>
            </w:p>
            <w:p w14:paraId="23A64FE5" w14:textId="77777777" w:rsidR="00470327" w:rsidRDefault="00470327" w:rsidP="00470327">
              <w:pPr>
                <w:pStyle w:val="Bibliography"/>
                <w:rPr>
                  <w:noProof/>
                </w:rPr>
              </w:pPr>
              <w:r>
                <w:rPr>
                  <w:noProof/>
                </w:rPr>
                <w:t xml:space="preserve">Diageo , 2025. </w:t>
              </w:r>
              <w:r>
                <w:rPr>
                  <w:i/>
                  <w:iCs/>
                  <w:noProof/>
                </w:rPr>
                <w:t xml:space="preserve">Spirit of Progress Plan. </w:t>
              </w:r>
              <w:r>
                <w:rPr>
                  <w:noProof/>
                </w:rPr>
                <w:t xml:space="preserve">[Online] </w:t>
              </w:r>
              <w:r>
                <w:rPr>
                  <w:noProof/>
                </w:rPr>
                <w:br/>
                <w:t xml:space="preserve">Available at: </w:t>
              </w:r>
              <w:r>
                <w:rPr>
                  <w:noProof/>
                  <w:u w:val="single"/>
                </w:rPr>
                <w:t>https://www.diageo.com/en/esg/spirit-of-progress-plan</w:t>
              </w:r>
              <w:r>
                <w:rPr>
                  <w:noProof/>
                </w:rPr>
                <w:br/>
                <w:t>[Accessed 10 11 2025].</w:t>
              </w:r>
            </w:p>
            <w:p w14:paraId="3E53C30F" w14:textId="77777777" w:rsidR="00470327" w:rsidRDefault="00470327" w:rsidP="00470327">
              <w:pPr>
                <w:pStyle w:val="Bibliography"/>
                <w:rPr>
                  <w:noProof/>
                </w:rPr>
              </w:pPr>
              <w:r>
                <w:rPr>
                  <w:noProof/>
                </w:rPr>
                <w:t xml:space="preserve">DIAGEO, 2024. </w:t>
              </w:r>
              <w:r>
                <w:rPr>
                  <w:i/>
                  <w:iCs/>
                  <w:noProof/>
                </w:rPr>
                <w:t xml:space="preserve">Diageo unveils its First Bottle Personalisation Experience, Fuelled by Generative AI. </w:t>
              </w:r>
              <w:r>
                <w:rPr>
                  <w:noProof/>
                </w:rPr>
                <w:t xml:space="preserve">[Online] </w:t>
              </w:r>
              <w:r>
                <w:rPr>
                  <w:noProof/>
                </w:rPr>
                <w:br/>
                <w:t xml:space="preserve">Available at: </w:t>
              </w:r>
              <w:r>
                <w:rPr>
                  <w:noProof/>
                  <w:u w:val="single"/>
                </w:rPr>
                <w:t>https://www.diageo.com/en/news-and-media/press-releases/2024/diageo-unveils-its-first-bottle-personalisation-experience-fuelled-by-generative-ai</w:t>
              </w:r>
              <w:r>
                <w:rPr>
                  <w:noProof/>
                </w:rPr>
                <w:br/>
                <w:t>[Accessed 08 11 2025].</w:t>
              </w:r>
            </w:p>
            <w:p w14:paraId="2E6ED923" w14:textId="77777777" w:rsidR="00470327" w:rsidRDefault="00470327" w:rsidP="00470327">
              <w:pPr>
                <w:pStyle w:val="Bibliography"/>
                <w:rPr>
                  <w:noProof/>
                </w:rPr>
              </w:pPr>
              <w:r>
                <w:rPr>
                  <w:noProof/>
                </w:rPr>
                <w:t xml:space="preserve">Diageo, 2025. </w:t>
              </w:r>
              <w:r>
                <w:rPr>
                  <w:i/>
                  <w:iCs/>
                  <w:noProof/>
                </w:rPr>
                <w:t xml:space="preserve">Annual Report 2025. </w:t>
              </w:r>
              <w:r>
                <w:rPr>
                  <w:noProof/>
                </w:rPr>
                <w:t xml:space="preserve">[Online] </w:t>
              </w:r>
              <w:r>
                <w:rPr>
                  <w:noProof/>
                </w:rPr>
                <w:br/>
                <w:t xml:space="preserve">Available at: </w:t>
              </w:r>
              <w:r>
                <w:rPr>
                  <w:noProof/>
                  <w:u w:val="single"/>
                </w:rPr>
                <w:t>https://www.diageo.com/en/investors/results-reports-and-events/annual-report-2025</w:t>
              </w:r>
              <w:r>
                <w:rPr>
                  <w:noProof/>
                </w:rPr>
                <w:br/>
                <w:t>[Accessed 11 11 2025].</w:t>
              </w:r>
            </w:p>
            <w:p w14:paraId="6D8CE084" w14:textId="77777777" w:rsidR="00470327" w:rsidRDefault="00470327" w:rsidP="00470327">
              <w:pPr>
                <w:pStyle w:val="Bibliography"/>
                <w:rPr>
                  <w:noProof/>
                </w:rPr>
              </w:pPr>
              <w:r>
                <w:rPr>
                  <w:noProof/>
                </w:rPr>
                <w:t xml:space="preserve">DIAGEO, 2025. </w:t>
              </w:r>
              <w:r>
                <w:rPr>
                  <w:i/>
                  <w:iCs/>
                  <w:noProof/>
                </w:rPr>
                <w:t xml:space="preserve">Digital acceleration. </w:t>
              </w:r>
              <w:r>
                <w:rPr>
                  <w:noProof/>
                </w:rPr>
                <w:t xml:space="preserve">[Online] </w:t>
              </w:r>
              <w:r>
                <w:rPr>
                  <w:noProof/>
                </w:rPr>
                <w:br/>
                <w:t xml:space="preserve">Available at: </w:t>
              </w:r>
              <w:r>
                <w:rPr>
                  <w:noProof/>
                  <w:u w:val="single"/>
                </w:rPr>
                <w:t>https://www.diageo.com/en/careers/why-diageo/digital-acceleration</w:t>
              </w:r>
              <w:r>
                <w:rPr>
                  <w:noProof/>
                </w:rPr>
                <w:br/>
                <w:t>[Accessed 08 11 2025].</w:t>
              </w:r>
            </w:p>
            <w:p w14:paraId="508E08C3" w14:textId="77777777" w:rsidR="00470327" w:rsidRDefault="00470327" w:rsidP="00470327">
              <w:pPr>
                <w:pStyle w:val="Bibliography"/>
                <w:rPr>
                  <w:noProof/>
                </w:rPr>
              </w:pPr>
              <w:r>
                <w:rPr>
                  <w:noProof/>
                </w:rPr>
                <w:t xml:space="preserve">Diageo, 2025. </w:t>
              </w:r>
              <w:r>
                <w:rPr>
                  <w:i/>
                  <w:iCs/>
                  <w:noProof/>
                </w:rPr>
                <w:t xml:space="preserve">FORESIGHT REPORT Navigating the cultural trends shaping tomorrow. </w:t>
              </w:r>
              <w:r>
                <w:rPr>
                  <w:noProof/>
                </w:rPr>
                <w:t xml:space="preserve">[Online] </w:t>
              </w:r>
              <w:r>
                <w:rPr>
                  <w:noProof/>
                </w:rPr>
                <w:br/>
                <w:t xml:space="preserve">Available at: </w:t>
              </w:r>
              <w:r>
                <w:rPr>
                  <w:noProof/>
                  <w:u w:val="single"/>
                </w:rPr>
                <w:t>https://www.diageo.com/en/news-and-media/consumer-trends-report/foresight-report-2025</w:t>
              </w:r>
              <w:r>
                <w:rPr>
                  <w:noProof/>
                </w:rPr>
                <w:br/>
                <w:t>[Accessed 15 11 2025].</w:t>
              </w:r>
            </w:p>
            <w:p w14:paraId="73F2EE63" w14:textId="77777777" w:rsidR="00470327" w:rsidRDefault="00470327" w:rsidP="00470327">
              <w:pPr>
                <w:pStyle w:val="Bibliography"/>
                <w:rPr>
                  <w:noProof/>
                </w:rPr>
              </w:pPr>
              <w:r>
                <w:rPr>
                  <w:noProof/>
                </w:rPr>
                <w:t xml:space="preserve">DIAGEO, 2025. </w:t>
              </w:r>
              <w:r>
                <w:rPr>
                  <w:i/>
                  <w:iCs/>
                  <w:noProof/>
                </w:rPr>
                <w:t xml:space="preserve">Grain to glass sustainability. </w:t>
              </w:r>
              <w:r>
                <w:rPr>
                  <w:noProof/>
                </w:rPr>
                <w:t xml:space="preserve">[Online] </w:t>
              </w:r>
              <w:r>
                <w:rPr>
                  <w:noProof/>
                </w:rPr>
                <w:br/>
                <w:t xml:space="preserve">Available at: </w:t>
              </w:r>
              <w:r>
                <w:rPr>
                  <w:noProof/>
                  <w:u w:val="single"/>
                </w:rPr>
                <w:t>https://www.diageo.com/en/esg/sustainability</w:t>
              </w:r>
              <w:r>
                <w:rPr>
                  <w:noProof/>
                </w:rPr>
                <w:br/>
                <w:t>[Accessed 08 11 2025].</w:t>
              </w:r>
            </w:p>
            <w:p w14:paraId="49B04C18" w14:textId="77777777" w:rsidR="00470327" w:rsidRDefault="00470327" w:rsidP="00470327">
              <w:pPr>
                <w:pStyle w:val="Bibliography"/>
                <w:rPr>
                  <w:noProof/>
                </w:rPr>
              </w:pPr>
              <w:r>
                <w:rPr>
                  <w:noProof/>
                </w:rPr>
                <w:t xml:space="preserve">DIAGEO, 2025. </w:t>
              </w:r>
              <w:r>
                <w:rPr>
                  <w:i/>
                  <w:iCs/>
                  <w:noProof/>
                </w:rPr>
                <w:t xml:space="preserve">Our Spirit of Progress targets. </w:t>
              </w:r>
              <w:r>
                <w:rPr>
                  <w:noProof/>
                </w:rPr>
                <w:t xml:space="preserve">[Online] </w:t>
              </w:r>
              <w:r>
                <w:rPr>
                  <w:noProof/>
                </w:rPr>
                <w:br/>
                <w:t xml:space="preserve">Available at: </w:t>
              </w:r>
              <w:r>
                <w:rPr>
                  <w:noProof/>
                  <w:u w:val="single"/>
                </w:rPr>
                <w:t>https://www.diageo.com/en/esg/spirit-of-progress-targets</w:t>
              </w:r>
              <w:r>
                <w:rPr>
                  <w:noProof/>
                </w:rPr>
                <w:br/>
                <w:t>[Accessed 07 11 2025].</w:t>
              </w:r>
            </w:p>
            <w:p w14:paraId="0B63FF6D" w14:textId="77777777" w:rsidR="00470327" w:rsidRDefault="00470327" w:rsidP="00470327">
              <w:pPr>
                <w:pStyle w:val="Bibliography"/>
                <w:rPr>
                  <w:noProof/>
                </w:rPr>
              </w:pPr>
              <w:r>
                <w:rPr>
                  <w:noProof/>
                </w:rPr>
                <w:t xml:space="preserve">DIAGEO, 2025. </w:t>
              </w:r>
              <w:r>
                <w:rPr>
                  <w:i/>
                  <w:iCs/>
                  <w:noProof/>
                </w:rPr>
                <w:t xml:space="preserve">Policies and standards. </w:t>
              </w:r>
              <w:r>
                <w:rPr>
                  <w:noProof/>
                </w:rPr>
                <w:t xml:space="preserve">[Online] </w:t>
              </w:r>
              <w:r>
                <w:rPr>
                  <w:noProof/>
                </w:rPr>
                <w:br/>
                <w:t xml:space="preserve">Available at: </w:t>
              </w:r>
              <w:r>
                <w:rPr>
                  <w:noProof/>
                  <w:u w:val="single"/>
                </w:rPr>
                <w:t>https://www.diageo.com/en/our-business/corporate-governance/code-of-business-conduct/policies-and-standards</w:t>
              </w:r>
              <w:r>
                <w:rPr>
                  <w:noProof/>
                </w:rPr>
                <w:br/>
                <w:t>[Accessed 08 11 2025].</w:t>
              </w:r>
            </w:p>
            <w:p w14:paraId="164AAFBF" w14:textId="77777777" w:rsidR="00470327" w:rsidRDefault="00470327" w:rsidP="00470327">
              <w:pPr>
                <w:pStyle w:val="Bibliography"/>
                <w:rPr>
                  <w:noProof/>
                </w:rPr>
              </w:pPr>
              <w:r>
                <w:rPr>
                  <w:noProof/>
                </w:rPr>
                <w:t xml:space="preserve">GOV.UK, 2023. </w:t>
              </w:r>
              <w:r>
                <w:rPr>
                  <w:i/>
                  <w:iCs/>
                  <w:noProof/>
                </w:rPr>
                <w:t xml:space="preserve">Policy paper Alcohol Duty: rate changes. </w:t>
              </w:r>
              <w:r>
                <w:rPr>
                  <w:noProof/>
                </w:rPr>
                <w:t xml:space="preserve">[Online] </w:t>
              </w:r>
              <w:r>
                <w:rPr>
                  <w:noProof/>
                </w:rPr>
                <w:br/>
                <w:t xml:space="preserve">Available at: </w:t>
              </w:r>
              <w:r>
                <w:rPr>
                  <w:noProof/>
                  <w:u w:val="single"/>
                </w:rPr>
                <w:t>https://www.gov.uk/government/publications/changes-to-alcohol-duty-rates/alcohol-duty-rate-changes</w:t>
              </w:r>
              <w:r>
                <w:rPr>
                  <w:noProof/>
                </w:rPr>
                <w:br/>
                <w:t>[Accessed 05 11 2025].</w:t>
              </w:r>
            </w:p>
            <w:p w14:paraId="4A45003D" w14:textId="77777777" w:rsidR="00470327" w:rsidRDefault="00470327" w:rsidP="00470327">
              <w:pPr>
                <w:pStyle w:val="Bibliography"/>
                <w:rPr>
                  <w:noProof/>
                </w:rPr>
              </w:pPr>
              <w:r>
                <w:rPr>
                  <w:noProof/>
                </w:rPr>
                <w:t xml:space="preserve">KPI Depot , 2025. </w:t>
              </w:r>
              <w:r>
                <w:rPr>
                  <w:i/>
                  <w:iCs/>
                  <w:noProof/>
                </w:rPr>
                <w:t xml:space="preserve">Alcoholic Beverages KPIs. </w:t>
              </w:r>
              <w:r>
                <w:rPr>
                  <w:noProof/>
                </w:rPr>
                <w:t xml:space="preserve">[Online] </w:t>
              </w:r>
              <w:r>
                <w:rPr>
                  <w:noProof/>
                </w:rPr>
                <w:br/>
                <w:t xml:space="preserve">Available at: </w:t>
              </w:r>
              <w:r>
                <w:rPr>
                  <w:noProof/>
                  <w:u w:val="single"/>
                </w:rPr>
                <w:t>https://kpidepot.com/kpi-industry/alcoholic-beverages-418</w:t>
              </w:r>
              <w:r>
                <w:rPr>
                  <w:noProof/>
                </w:rPr>
                <w:br/>
                <w:t>[Accessed 11 11 2025].</w:t>
              </w:r>
            </w:p>
            <w:p w14:paraId="5426F36F" w14:textId="77777777" w:rsidR="00470327" w:rsidRDefault="00470327" w:rsidP="00470327">
              <w:pPr>
                <w:pStyle w:val="Bibliography"/>
                <w:rPr>
                  <w:noProof/>
                </w:rPr>
              </w:pPr>
              <w:r>
                <w:rPr>
                  <w:noProof/>
                </w:rPr>
                <w:t xml:space="preserve">McPoland , B., 2025. </w:t>
              </w:r>
              <w:r>
                <w:rPr>
                  <w:i/>
                  <w:iCs/>
                  <w:noProof/>
                </w:rPr>
                <w:t xml:space="preserve">By 2026, Diageo shares could turn £10,000 into…. </w:t>
              </w:r>
              <w:r>
                <w:rPr>
                  <w:noProof/>
                </w:rPr>
                <w:t xml:space="preserve">[Online] </w:t>
              </w:r>
              <w:r>
                <w:rPr>
                  <w:noProof/>
                </w:rPr>
                <w:br/>
                <w:t xml:space="preserve">Available at: </w:t>
              </w:r>
              <w:r>
                <w:rPr>
                  <w:noProof/>
                  <w:u w:val="single"/>
                </w:rPr>
                <w:t>https://uk.finance.yahoo.com/news/2026-diageo-shares-could-turn-145900494.html?guccounter=1&amp;guce_referrer=aHR0cHM6Ly93d3cuZ29vZ2xlLmNvbS8&amp;guce_referrer_sig=AQAAAN6xa5oD9sqxBlo01DD-1GgzriBcVDSQ9JJcOD2WfPNNEvTDfWiVFf1qYdqzzU-tL6OFLCl6WZNGGMgLf3EMenuR3Mgh0y8</w:t>
              </w:r>
              <w:r>
                <w:rPr>
                  <w:noProof/>
                </w:rPr>
                <w:br/>
                <w:t>[Accessed 15 11 2025].</w:t>
              </w:r>
            </w:p>
            <w:p w14:paraId="7555C9E7" w14:textId="77777777" w:rsidR="00470327" w:rsidRDefault="00470327" w:rsidP="00470327">
              <w:pPr>
                <w:pStyle w:val="Bibliography"/>
                <w:rPr>
                  <w:noProof/>
                </w:rPr>
              </w:pPr>
              <w:r>
                <w:rPr>
                  <w:noProof/>
                </w:rPr>
                <w:t xml:space="preserve">Parr, J., 2025. </w:t>
              </w:r>
              <w:r>
                <w:rPr>
                  <w:i/>
                  <w:iCs/>
                  <w:noProof/>
                </w:rPr>
                <w:t xml:space="preserve">Media Bites 20 May: UK-EU deal reactions, Greggs fridges and Diageo plans. </w:t>
              </w:r>
              <w:r>
                <w:rPr>
                  <w:noProof/>
                </w:rPr>
                <w:t xml:space="preserve">[Online] </w:t>
              </w:r>
              <w:r>
                <w:rPr>
                  <w:noProof/>
                </w:rPr>
                <w:br/>
                <w:t xml:space="preserve">Available at: </w:t>
              </w:r>
              <w:r>
                <w:rPr>
                  <w:noProof/>
                  <w:u w:val="single"/>
                </w:rPr>
                <w:t>https://www.thegrocer.co.uk/news/media-bites-20-may-uk-eu-deal-reactions-greggs-fridges-and-diageo-plans/704655.article</w:t>
              </w:r>
              <w:r>
                <w:rPr>
                  <w:noProof/>
                </w:rPr>
                <w:br/>
                <w:t>[Accessed 05 11 2025].</w:t>
              </w:r>
            </w:p>
            <w:p w14:paraId="772FA84A" w14:textId="77777777" w:rsidR="00470327" w:rsidRDefault="00470327" w:rsidP="00470327">
              <w:pPr>
                <w:pStyle w:val="Bibliography"/>
                <w:rPr>
                  <w:noProof/>
                </w:rPr>
              </w:pPr>
              <w:r>
                <w:rPr>
                  <w:noProof/>
                </w:rPr>
                <w:t xml:space="preserve">SEC.gov, 2019. </w:t>
              </w:r>
              <w:r>
                <w:rPr>
                  <w:i/>
                  <w:iCs/>
                  <w:noProof/>
                </w:rPr>
                <w:t xml:space="preserve">DIAGEO plc. </w:t>
              </w:r>
              <w:r>
                <w:rPr>
                  <w:noProof/>
                </w:rPr>
                <w:t xml:space="preserve">[Online] </w:t>
              </w:r>
              <w:r>
                <w:rPr>
                  <w:noProof/>
                </w:rPr>
                <w:br/>
                <w:t xml:space="preserve">Available at: </w:t>
              </w:r>
              <w:r>
                <w:rPr>
                  <w:noProof/>
                  <w:u w:val="single"/>
                </w:rPr>
                <w:t>https://www.sec.gov/Archives/edgar/data/835403/000083540319000005/a20-ff19p12.htm</w:t>
              </w:r>
              <w:r>
                <w:rPr>
                  <w:noProof/>
                </w:rPr>
                <w:br/>
                <w:t>[Accessed 11 11 2025].</w:t>
              </w:r>
            </w:p>
            <w:p w14:paraId="7A580502" w14:textId="77777777" w:rsidR="00470327" w:rsidRDefault="00470327" w:rsidP="00470327">
              <w:pPr>
                <w:pStyle w:val="Bibliography"/>
                <w:rPr>
                  <w:noProof/>
                </w:rPr>
              </w:pPr>
              <w:r>
                <w:rPr>
                  <w:noProof/>
                </w:rPr>
                <w:t xml:space="preserve">Sismanis, N., 2023. </w:t>
              </w:r>
              <w:r>
                <w:rPr>
                  <w:i/>
                  <w:iCs/>
                  <w:noProof/>
                </w:rPr>
                <w:t xml:space="preserve">Diageo (NYSE:DEO): A Recession-Proof Stock Built for Dividend Growth. </w:t>
              </w:r>
              <w:r>
                <w:rPr>
                  <w:noProof/>
                </w:rPr>
                <w:t xml:space="preserve">[Online] </w:t>
              </w:r>
              <w:r>
                <w:rPr>
                  <w:noProof/>
                </w:rPr>
                <w:br/>
                <w:t xml:space="preserve">Available at: </w:t>
              </w:r>
              <w:r>
                <w:rPr>
                  <w:noProof/>
                  <w:u w:val="single"/>
                </w:rPr>
                <w:t>https://www.nasdaq.com/articles/diageo-nyse:deo:-a-recession-proof-stock-built-for-dividend-growth#:~:text=Why%20is%20Diageo%20Stock%20Recession%20Proof?%20Diageo,of%20financial%20constraint%2C%20consumer%20spending%20typically%20contracts.</w:t>
              </w:r>
              <w:r>
                <w:rPr>
                  <w:noProof/>
                </w:rPr>
                <w:br/>
                <w:t>[Accessed 07 11 2025].</w:t>
              </w:r>
            </w:p>
            <w:p w14:paraId="30844548" w14:textId="2550474D" w:rsidR="00722FD3" w:rsidRDefault="00470327" w:rsidP="003C43CE">
              <w:pPr>
                <w:pStyle w:val="Bibliography"/>
                <w:rPr>
                  <w:noProof/>
                </w:rPr>
              </w:pPr>
              <w:r>
                <w:rPr>
                  <w:noProof/>
                </w:rPr>
                <w:t xml:space="preserve">UK Parliament , 2025. </w:t>
              </w:r>
              <w:r>
                <w:rPr>
                  <w:i/>
                  <w:iCs/>
                  <w:noProof/>
                </w:rPr>
                <w:t xml:space="preserve">High cost of living: Impact on households. </w:t>
              </w:r>
              <w:r>
                <w:rPr>
                  <w:noProof/>
                </w:rPr>
                <w:t xml:space="preserve">[Online] </w:t>
              </w:r>
              <w:r>
                <w:rPr>
                  <w:noProof/>
                </w:rPr>
                <w:br/>
                <w:t xml:space="preserve">Available at: </w:t>
              </w:r>
              <w:r>
                <w:rPr>
                  <w:noProof/>
                  <w:u w:val="single"/>
                </w:rPr>
                <w:t>https://commonslibrary.parliament.uk/research-briefings/cbp-10100/</w:t>
              </w:r>
              <w:r>
                <w:rPr>
                  <w:noProof/>
                </w:rPr>
                <w:br/>
                <w:t>[Accessed 07 11 2025].</w:t>
              </w:r>
              <w:r w:rsidR="00722FD3">
                <w:t xml:space="preserve">Diageo plc (2023) Marketing Code: Global Policy. London: Diageo plc. Also available at: </w:t>
              </w:r>
              <w:r w:rsidR="00722FD3" w:rsidRPr="00E971BB">
                <w:rPr>
                  <w:u w:val="single"/>
                </w:rPr>
                <w:t>https://media.diageo.com/diageo-corporate-media/media/buhkyxyt/diageo-marketing-code-2023.pdf</w:t>
              </w:r>
              <w:r w:rsidR="00722FD3">
                <w:t xml:space="preserve"> (Accessed: 7 November 2025).  </w:t>
              </w:r>
            </w:p>
            <w:p w14:paraId="5D62B8E4" w14:textId="1D68A601" w:rsidR="00722FD3" w:rsidRDefault="00722FD3" w:rsidP="00722FD3">
              <w:r>
                <w:t>Diageo plc (n.d.) Society 2030: Spirit of Progress — Our 2030 Targets. London: Diageo plc. Also available at:</w:t>
              </w:r>
              <w:r w:rsidRPr="00E971BB">
                <w:rPr>
                  <w:u w:val="single"/>
                </w:rPr>
                <w:t xml:space="preserve"> https://www.diageo.com/~/media/Files/D/Diageo-V2/Diageo-Corp/esg/esg-governance-and-reporting-centre/reporting-archive/diageo-society-2030-spirit-of-progress-targets.pdf</w:t>
              </w:r>
              <w:r>
                <w:t xml:space="preserve"> (Accessed: 7 November 2025).  </w:t>
              </w:r>
            </w:p>
            <w:p w14:paraId="2005577C" w14:textId="2ABFD578" w:rsidR="00722FD3" w:rsidRPr="00722FD3" w:rsidRDefault="00722FD3" w:rsidP="00722FD3">
              <w:r>
                <w:t xml:space="preserve">Diageo plc (2022) Performing against our 2030 Targets. London: Diageo plc. Also available at: https://media.diageocms.com/diageo-corporate-media/media/co4cuj5h/performing-against-our-2030-targets_diageo-22ar.pdf (Accessed: 7 November 2025).  </w:t>
              </w:r>
            </w:p>
            <w:p w14:paraId="687B2401" w14:textId="572121FD" w:rsidR="003C43CE" w:rsidRPr="003C43CE" w:rsidRDefault="00470327" w:rsidP="003C43CE">
              <w:pPr>
                <w:rPr>
                  <w:noProof/>
                  <w:color w:val="000000" w:themeColor="text1"/>
                </w:rPr>
              </w:pPr>
              <w:r>
                <w:rPr>
                  <w:b/>
                  <w:bCs/>
                  <w:noProof/>
                </w:rPr>
                <w:fldChar w:fldCharType="end"/>
              </w:r>
              <w:r w:rsidR="003C43CE" w:rsidRPr="003C43CE">
                <w:rPr>
                  <w:noProof/>
                  <w:color w:val="000000" w:themeColor="text1"/>
                </w:rPr>
                <w:t xml:space="preserve">Khan, I. M. (2024) ‘Managing Innovation and Marketing in a Globally Dynamic Firm: Best Practices in Management at Diageo’, Advances in Social Sciences Research Journal, 25, pp. xx-xx. DOI:10.14738/assrj.25.1168. Also available at: </w:t>
              </w:r>
              <w:r w:rsidR="003C43CE" w:rsidRPr="00E971BB">
                <w:rPr>
                  <w:noProof/>
                  <w:color w:val="000000" w:themeColor="text1"/>
                  <w:u w:val="single"/>
                </w:rPr>
                <w:t>https://journals.scholarpublishing.org/index.php/ASSRJ/article/view/1168</w:t>
              </w:r>
              <w:r w:rsidR="003C43CE" w:rsidRPr="003C43CE">
                <w:rPr>
                  <w:noProof/>
                  <w:color w:val="000000" w:themeColor="text1"/>
                </w:rPr>
                <w:t xml:space="preserve"> (Accessed: 7 November 2025).  </w:t>
              </w:r>
            </w:p>
            <w:p w14:paraId="6CF446C5" w14:textId="77777777" w:rsidR="003C43CE" w:rsidRDefault="003C43CE" w:rsidP="003C43CE">
              <w:pPr>
                <w:rPr>
                  <w:noProof/>
                  <w:color w:val="000000" w:themeColor="text1"/>
                </w:rPr>
              </w:pPr>
              <w:r w:rsidRPr="003C43CE">
                <w:rPr>
                  <w:noProof/>
                  <w:color w:val="000000" w:themeColor="text1"/>
                </w:rPr>
                <w:t xml:space="preserve">IPA (2016) ‘Diageo Portfolio: Marketing Catalyst — Creating a Culture of Marketing Effectiveness’, IPA Case Studies. Also available at: </w:t>
              </w:r>
              <w:r w:rsidRPr="00E971BB">
                <w:rPr>
                  <w:noProof/>
                  <w:color w:val="000000" w:themeColor="text1"/>
                  <w:u w:val="single"/>
                </w:rPr>
                <w:t>https://ipa.co.uk/knowledge/case-studies/diageo-portfolio-marketing-catalyst-creating-a-culture-of-marketing-effectiveness</w:t>
              </w:r>
              <w:r w:rsidRPr="003C43CE">
                <w:rPr>
                  <w:noProof/>
                  <w:color w:val="000000" w:themeColor="text1"/>
                </w:rPr>
                <w:t xml:space="preserve"> (Accessed: 7 November 2025</w:t>
              </w:r>
              <w:r>
                <w:rPr>
                  <w:noProof/>
                  <w:color w:val="000000" w:themeColor="text1"/>
                </w:rPr>
                <w:t>).</w:t>
              </w:r>
            </w:p>
            <w:p w14:paraId="37903968" w14:textId="12554993" w:rsidR="00470327" w:rsidRPr="003C43CE" w:rsidRDefault="006A0CB0" w:rsidP="00470327">
              <w:pPr>
                <w:rPr>
                  <w:b/>
                </w:rPr>
              </w:pPr>
            </w:p>
          </w:sdtContent>
        </w:sdt>
      </w:sdtContent>
    </w:sdt>
    <w:p w14:paraId="2900F689" w14:textId="77777777" w:rsidR="00BE32D4" w:rsidRPr="00AC6FD0" w:rsidRDefault="00BE32D4" w:rsidP="00AC6FD0">
      <w:pPr>
        <w:spacing w:line="360" w:lineRule="auto"/>
        <w:jc w:val="both"/>
        <w:rPr>
          <w:rFonts w:ascii="Times New Roman" w:hAnsi="Times New Roman" w:cs="Times New Roman"/>
        </w:rPr>
      </w:pPr>
    </w:p>
    <w:p w14:paraId="0C35E3A1" w14:textId="77777777" w:rsidR="00AC6FD0" w:rsidRDefault="00AC6FD0" w:rsidP="0075307A">
      <w:pPr>
        <w:spacing w:line="360" w:lineRule="auto"/>
        <w:jc w:val="both"/>
        <w:rPr>
          <w:rFonts w:ascii="Times New Roman" w:hAnsi="Times New Roman" w:cs="Times New Roman"/>
        </w:rPr>
      </w:pPr>
    </w:p>
    <w:p w14:paraId="2AE4963D" w14:textId="77777777" w:rsidR="00AC6FD0" w:rsidRPr="0075307A" w:rsidRDefault="00AC6FD0" w:rsidP="0075307A">
      <w:pPr>
        <w:spacing w:line="360" w:lineRule="auto"/>
        <w:jc w:val="both"/>
        <w:rPr>
          <w:rFonts w:ascii="Times New Roman" w:hAnsi="Times New Roman" w:cs="Times New Roman"/>
        </w:rPr>
      </w:pPr>
    </w:p>
    <w:p w14:paraId="6BF6B8A7" w14:textId="77777777" w:rsidR="00563AE3" w:rsidRDefault="00563AE3" w:rsidP="00563AE3">
      <w:pPr>
        <w:spacing w:line="360" w:lineRule="auto"/>
        <w:jc w:val="both"/>
        <w:rPr>
          <w:rFonts w:ascii="Times New Roman" w:hAnsi="Times New Roman" w:cs="Times New Roman"/>
        </w:rPr>
      </w:pPr>
    </w:p>
    <w:p w14:paraId="4F348566" w14:textId="77777777" w:rsidR="00563AE3" w:rsidRPr="00563AE3" w:rsidRDefault="00563AE3" w:rsidP="00563AE3">
      <w:pPr>
        <w:spacing w:line="360" w:lineRule="auto"/>
        <w:jc w:val="both"/>
        <w:rPr>
          <w:rFonts w:ascii="Times New Roman" w:hAnsi="Times New Roman" w:cs="Times New Roman"/>
        </w:rPr>
      </w:pPr>
    </w:p>
    <w:p w14:paraId="52140801" w14:textId="77777777" w:rsidR="0069603C" w:rsidRPr="0069603C" w:rsidRDefault="0069603C" w:rsidP="0069603C">
      <w:pPr>
        <w:spacing w:line="360" w:lineRule="auto"/>
        <w:jc w:val="both"/>
        <w:rPr>
          <w:rFonts w:ascii="Times New Roman" w:hAnsi="Times New Roman" w:cs="Times New Roman"/>
        </w:rPr>
      </w:pPr>
    </w:p>
    <w:p w14:paraId="27AF9D76" w14:textId="77777777" w:rsidR="007F58D3" w:rsidRPr="0069603C" w:rsidRDefault="007F58D3" w:rsidP="0069603C">
      <w:pPr>
        <w:spacing w:line="360" w:lineRule="auto"/>
        <w:jc w:val="both"/>
        <w:rPr>
          <w:rFonts w:ascii="Times New Roman" w:hAnsi="Times New Roman" w:cs="Times New Roman"/>
        </w:rPr>
      </w:pPr>
    </w:p>
    <w:sectPr w:rsidR="007F58D3" w:rsidRPr="0069603C" w:rsidSect="00F25FBF">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7CD23" w14:textId="77777777" w:rsidR="009C5EEA" w:rsidRDefault="009C5EEA" w:rsidP="009C5EEA">
      <w:r>
        <w:separator/>
      </w:r>
    </w:p>
  </w:endnote>
  <w:endnote w:type="continuationSeparator" w:id="0">
    <w:p w14:paraId="1B8AAC3A" w14:textId="77777777" w:rsidR="009C5EEA" w:rsidRDefault="009C5EEA" w:rsidP="009C5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478152"/>
      <w:docPartObj>
        <w:docPartGallery w:val="Page Numbers (Bottom of Page)"/>
        <w:docPartUnique/>
      </w:docPartObj>
    </w:sdtPr>
    <w:sdtEndPr>
      <w:rPr>
        <w:rStyle w:val="PageNumber"/>
      </w:rPr>
    </w:sdtEndPr>
    <w:sdtContent>
      <w:p w14:paraId="73E3A498" w14:textId="2EAA24AD" w:rsidR="009026D6" w:rsidRDefault="009026D6" w:rsidP="00F861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C0860F" w14:textId="77777777" w:rsidR="009C5EEA" w:rsidRDefault="009C5E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3894922"/>
      <w:docPartObj>
        <w:docPartGallery w:val="Page Numbers (Bottom of Page)"/>
        <w:docPartUnique/>
      </w:docPartObj>
    </w:sdtPr>
    <w:sdtEndPr>
      <w:rPr>
        <w:rStyle w:val="PageNumber"/>
      </w:rPr>
    </w:sdtEndPr>
    <w:sdtContent>
      <w:p w14:paraId="32CCB75B" w14:textId="6D506424" w:rsidR="009026D6" w:rsidRDefault="009026D6" w:rsidP="00F861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D53E87" w14:textId="77777777" w:rsidR="009C5EEA" w:rsidRDefault="009C5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854FB" w14:textId="77777777" w:rsidR="009C5EEA" w:rsidRDefault="009C5EEA" w:rsidP="009C5EEA">
      <w:r>
        <w:separator/>
      </w:r>
    </w:p>
  </w:footnote>
  <w:footnote w:type="continuationSeparator" w:id="0">
    <w:p w14:paraId="4709D764" w14:textId="77777777" w:rsidR="009C5EEA" w:rsidRDefault="009C5EEA" w:rsidP="009C5E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8D3"/>
    <w:rsid w:val="00010778"/>
    <w:rsid w:val="00012948"/>
    <w:rsid w:val="00016B69"/>
    <w:rsid w:val="00041251"/>
    <w:rsid w:val="00045F48"/>
    <w:rsid w:val="0007094E"/>
    <w:rsid w:val="00073333"/>
    <w:rsid w:val="000755A0"/>
    <w:rsid w:val="00075731"/>
    <w:rsid w:val="0008641B"/>
    <w:rsid w:val="000A0EF1"/>
    <w:rsid w:val="000E3E6B"/>
    <w:rsid w:val="000E7453"/>
    <w:rsid w:val="001476C0"/>
    <w:rsid w:val="00176D6D"/>
    <w:rsid w:val="00194C45"/>
    <w:rsid w:val="001A26CD"/>
    <w:rsid w:val="001B3D00"/>
    <w:rsid w:val="001D12A5"/>
    <w:rsid w:val="00215BA5"/>
    <w:rsid w:val="002523B2"/>
    <w:rsid w:val="00260571"/>
    <w:rsid w:val="002C3935"/>
    <w:rsid w:val="003025B0"/>
    <w:rsid w:val="00352843"/>
    <w:rsid w:val="00352C8C"/>
    <w:rsid w:val="00391A9D"/>
    <w:rsid w:val="003B0C95"/>
    <w:rsid w:val="003B7893"/>
    <w:rsid w:val="003C43CE"/>
    <w:rsid w:val="003E392A"/>
    <w:rsid w:val="003E531B"/>
    <w:rsid w:val="003F1232"/>
    <w:rsid w:val="003F427A"/>
    <w:rsid w:val="003F59D0"/>
    <w:rsid w:val="00404C48"/>
    <w:rsid w:val="00415587"/>
    <w:rsid w:val="00434816"/>
    <w:rsid w:val="00444E4D"/>
    <w:rsid w:val="00446C4F"/>
    <w:rsid w:val="00470327"/>
    <w:rsid w:val="00480A60"/>
    <w:rsid w:val="004904DE"/>
    <w:rsid w:val="00495F92"/>
    <w:rsid w:val="004C0C02"/>
    <w:rsid w:val="004E114C"/>
    <w:rsid w:val="005068FD"/>
    <w:rsid w:val="005147DE"/>
    <w:rsid w:val="005200FB"/>
    <w:rsid w:val="005209D4"/>
    <w:rsid w:val="00525AE0"/>
    <w:rsid w:val="00544C5B"/>
    <w:rsid w:val="00563AE3"/>
    <w:rsid w:val="0057693B"/>
    <w:rsid w:val="005D47FD"/>
    <w:rsid w:val="005E6B32"/>
    <w:rsid w:val="005F0D5B"/>
    <w:rsid w:val="0061105B"/>
    <w:rsid w:val="006113C7"/>
    <w:rsid w:val="00626A6B"/>
    <w:rsid w:val="00652E44"/>
    <w:rsid w:val="006572C7"/>
    <w:rsid w:val="0069603C"/>
    <w:rsid w:val="006A0CB0"/>
    <w:rsid w:val="006B4377"/>
    <w:rsid w:val="006B74FB"/>
    <w:rsid w:val="006D7F8F"/>
    <w:rsid w:val="00722FD3"/>
    <w:rsid w:val="0075307A"/>
    <w:rsid w:val="00774CCD"/>
    <w:rsid w:val="007953DF"/>
    <w:rsid w:val="0079778E"/>
    <w:rsid w:val="007A6F8A"/>
    <w:rsid w:val="007C2BB8"/>
    <w:rsid w:val="007E5841"/>
    <w:rsid w:val="007F58D3"/>
    <w:rsid w:val="0080244A"/>
    <w:rsid w:val="0080395F"/>
    <w:rsid w:val="0082523C"/>
    <w:rsid w:val="008962BB"/>
    <w:rsid w:val="008C3CD5"/>
    <w:rsid w:val="008F6BEB"/>
    <w:rsid w:val="009026D6"/>
    <w:rsid w:val="00910E55"/>
    <w:rsid w:val="00920711"/>
    <w:rsid w:val="00955CDC"/>
    <w:rsid w:val="00987EB8"/>
    <w:rsid w:val="009B7755"/>
    <w:rsid w:val="009C028E"/>
    <w:rsid w:val="009C5EEA"/>
    <w:rsid w:val="009E5973"/>
    <w:rsid w:val="00A20C50"/>
    <w:rsid w:val="00A71819"/>
    <w:rsid w:val="00A77962"/>
    <w:rsid w:val="00AC642C"/>
    <w:rsid w:val="00AC6FD0"/>
    <w:rsid w:val="00B35430"/>
    <w:rsid w:val="00B8041A"/>
    <w:rsid w:val="00B81045"/>
    <w:rsid w:val="00B84DBB"/>
    <w:rsid w:val="00B86D7C"/>
    <w:rsid w:val="00BE32D4"/>
    <w:rsid w:val="00C13A36"/>
    <w:rsid w:val="00C53A46"/>
    <w:rsid w:val="00C667E8"/>
    <w:rsid w:val="00CB299F"/>
    <w:rsid w:val="00CB7D16"/>
    <w:rsid w:val="00CD5E12"/>
    <w:rsid w:val="00CD6C91"/>
    <w:rsid w:val="00D076F0"/>
    <w:rsid w:val="00D22B83"/>
    <w:rsid w:val="00D35BCB"/>
    <w:rsid w:val="00D41048"/>
    <w:rsid w:val="00D55363"/>
    <w:rsid w:val="00D605E6"/>
    <w:rsid w:val="00D97E16"/>
    <w:rsid w:val="00DB0571"/>
    <w:rsid w:val="00DD568D"/>
    <w:rsid w:val="00E337C7"/>
    <w:rsid w:val="00E438F1"/>
    <w:rsid w:val="00E632CB"/>
    <w:rsid w:val="00E91733"/>
    <w:rsid w:val="00E971BB"/>
    <w:rsid w:val="00ED2F12"/>
    <w:rsid w:val="00EE3C94"/>
    <w:rsid w:val="00F07D16"/>
    <w:rsid w:val="00F2499D"/>
    <w:rsid w:val="00F25FBF"/>
    <w:rsid w:val="00F36B70"/>
    <w:rsid w:val="00F561A3"/>
    <w:rsid w:val="00F84E86"/>
    <w:rsid w:val="00FA2E4C"/>
    <w:rsid w:val="00FD215A"/>
    <w:rsid w:val="00FE3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E613"/>
  <w15:chartTrackingRefBased/>
  <w15:docId w15:val="{E13872C9-CF62-4545-9BD1-C3B8D32B2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5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8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8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8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8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5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8D3"/>
    <w:rPr>
      <w:rFonts w:eastAsiaTheme="majorEastAsia" w:cstheme="majorBidi"/>
      <w:color w:val="272727" w:themeColor="text1" w:themeTint="D8"/>
    </w:rPr>
  </w:style>
  <w:style w:type="paragraph" w:styleId="Title">
    <w:name w:val="Title"/>
    <w:basedOn w:val="Normal"/>
    <w:next w:val="Normal"/>
    <w:link w:val="TitleChar"/>
    <w:uiPriority w:val="10"/>
    <w:qFormat/>
    <w:rsid w:val="007F58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8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8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58D3"/>
    <w:rPr>
      <w:i/>
      <w:iCs/>
      <w:color w:val="404040" w:themeColor="text1" w:themeTint="BF"/>
    </w:rPr>
  </w:style>
  <w:style w:type="paragraph" w:styleId="ListParagraph">
    <w:name w:val="List Paragraph"/>
    <w:basedOn w:val="Normal"/>
    <w:uiPriority w:val="34"/>
    <w:qFormat/>
    <w:rsid w:val="007F58D3"/>
    <w:pPr>
      <w:ind w:left="720"/>
      <w:contextualSpacing/>
    </w:pPr>
  </w:style>
  <w:style w:type="character" w:styleId="IntenseEmphasis">
    <w:name w:val="Intense Emphasis"/>
    <w:basedOn w:val="DefaultParagraphFont"/>
    <w:uiPriority w:val="21"/>
    <w:qFormat/>
    <w:rsid w:val="007F58D3"/>
    <w:rPr>
      <w:i/>
      <w:iCs/>
      <w:color w:val="0F4761" w:themeColor="accent1" w:themeShade="BF"/>
    </w:rPr>
  </w:style>
  <w:style w:type="paragraph" w:styleId="IntenseQuote">
    <w:name w:val="Intense Quote"/>
    <w:basedOn w:val="Normal"/>
    <w:next w:val="Normal"/>
    <w:link w:val="IntenseQuoteChar"/>
    <w:uiPriority w:val="30"/>
    <w:qFormat/>
    <w:rsid w:val="007F5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8D3"/>
    <w:rPr>
      <w:i/>
      <w:iCs/>
      <w:color w:val="0F4761" w:themeColor="accent1" w:themeShade="BF"/>
    </w:rPr>
  </w:style>
  <w:style w:type="character" w:styleId="IntenseReference">
    <w:name w:val="Intense Reference"/>
    <w:basedOn w:val="DefaultParagraphFont"/>
    <w:uiPriority w:val="32"/>
    <w:qFormat/>
    <w:rsid w:val="007F58D3"/>
    <w:rPr>
      <w:b/>
      <w:bCs/>
      <w:smallCaps/>
      <w:color w:val="0F4761" w:themeColor="accent1" w:themeShade="BF"/>
      <w:spacing w:val="5"/>
    </w:rPr>
  </w:style>
  <w:style w:type="table" w:styleId="TableGrid">
    <w:name w:val="Table Grid"/>
    <w:basedOn w:val="TableNormal"/>
    <w:uiPriority w:val="39"/>
    <w:rsid w:val="003B78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70327"/>
  </w:style>
  <w:style w:type="paragraph" w:styleId="NoSpacing">
    <w:name w:val="No Spacing"/>
    <w:link w:val="NoSpacingChar"/>
    <w:uiPriority w:val="1"/>
    <w:qFormat/>
    <w:rsid w:val="00CB7D16"/>
    <w:rPr>
      <w:rFonts w:eastAsiaTheme="minorEastAsia"/>
      <w:sz w:val="22"/>
      <w:szCs w:val="22"/>
      <w:lang w:val="en-US" w:eastAsia="zh-CN"/>
    </w:rPr>
  </w:style>
  <w:style w:type="character" w:customStyle="1" w:styleId="NoSpacingChar">
    <w:name w:val="No Spacing Char"/>
    <w:basedOn w:val="DefaultParagraphFont"/>
    <w:link w:val="NoSpacing"/>
    <w:uiPriority w:val="1"/>
    <w:rsid w:val="00CB7D16"/>
    <w:rPr>
      <w:rFonts w:eastAsiaTheme="minorEastAsia"/>
      <w:sz w:val="22"/>
      <w:szCs w:val="22"/>
      <w:lang w:val="en-US" w:eastAsia="zh-CN"/>
    </w:rPr>
  </w:style>
  <w:style w:type="paragraph" w:styleId="TOCHeading">
    <w:name w:val="TOC Heading"/>
    <w:basedOn w:val="Heading1"/>
    <w:next w:val="Normal"/>
    <w:uiPriority w:val="39"/>
    <w:unhideWhenUsed/>
    <w:qFormat/>
    <w:rsid w:val="0035284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52843"/>
    <w:pPr>
      <w:spacing w:before="120"/>
    </w:pPr>
    <w:rPr>
      <w:b/>
      <w:bCs/>
      <w:i/>
      <w:iCs/>
    </w:rPr>
  </w:style>
  <w:style w:type="paragraph" w:styleId="TOC2">
    <w:name w:val="toc 2"/>
    <w:basedOn w:val="Normal"/>
    <w:next w:val="Normal"/>
    <w:autoRedefine/>
    <w:uiPriority w:val="39"/>
    <w:unhideWhenUsed/>
    <w:rsid w:val="00352843"/>
    <w:pPr>
      <w:spacing w:before="120"/>
      <w:ind w:left="240"/>
    </w:pPr>
    <w:rPr>
      <w:b/>
      <w:bCs/>
      <w:sz w:val="22"/>
      <w:szCs w:val="22"/>
    </w:rPr>
  </w:style>
  <w:style w:type="character" w:styleId="Hyperlink">
    <w:name w:val="Hyperlink"/>
    <w:basedOn w:val="DefaultParagraphFont"/>
    <w:uiPriority w:val="99"/>
    <w:unhideWhenUsed/>
    <w:rsid w:val="00352843"/>
    <w:rPr>
      <w:color w:val="467886" w:themeColor="hyperlink"/>
      <w:u w:val="single"/>
    </w:rPr>
  </w:style>
  <w:style w:type="paragraph" w:styleId="TOC3">
    <w:name w:val="toc 3"/>
    <w:basedOn w:val="Normal"/>
    <w:next w:val="Normal"/>
    <w:autoRedefine/>
    <w:uiPriority w:val="39"/>
    <w:semiHidden/>
    <w:unhideWhenUsed/>
    <w:rsid w:val="00352843"/>
    <w:pPr>
      <w:ind w:left="480"/>
    </w:pPr>
    <w:rPr>
      <w:sz w:val="20"/>
      <w:szCs w:val="20"/>
    </w:rPr>
  </w:style>
  <w:style w:type="paragraph" w:styleId="TOC4">
    <w:name w:val="toc 4"/>
    <w:basedOn w:val="Normal"/>
    <w:next w:val="Normal"/>
    <w:autoRedefine/>
    <w:uiPriority w:val="39"/>
    <w:semiHidden/>
    <w:unhideWhenUsed/>
    <w:rsid w:val="00352843"/>
    <w:pPr>
      <w:ind w:left="720"/>
    </w:pPr>
    <w:rPr>
      <w:sz w:val="20"/>
      <w:szCs w:val="20"/>
    </w:rPr>
  </w:style>
  <w:style w:type="paragraph" w:styleId="TOC5">
    <w:name w:val="toc 5"/>
    <w:basedOn w:val="Normal"/>
    <w:next w:val="Normal"/>
    <w:autoRedefine/>
    <w:uiPriority w:val="39"/>
    <w:semiHidden/>
    <w:unhideWhenUsed/>
    <w:rsid w:val="00352843"/>
    <w:pPr>
      <w:ind w:left="960"/>
    </w:pPr>
    <w:rPr>
      <w:sz w:val="20"/>
      <w:szCs w:val="20"/>
    </w:rPr>
  </w:style>
  <w:style w:type="paragraph" w:styleId="TOC6">
    <w:name w:val="toc 6"/>
    <w:basedOn w:val="Normal"/>
    <w:next w:val="Normal"/>
    <w:autoRedefine/>
    <w:uiPriority w:val="39"/>
    <w:semiHidden/>
    <w:unhideWhenUsed/>
    <w:rsid w:val="00352843"/>
    <w:pPr>
      <w:ind w:left="1200"/>
    </w:pPr>
    <w:rPr>
      <w:sz w:val="20"/>
      <w:szCs w:val="20"/>
    </w:rPr>
  </w:style>
  <w:style w:type="paragraph" w:styleId="TOC7">
    <w:name w:val="toc 7"/>
    <w:basedOn w:val="Normal"/>
    <w:next w:val="Normal"/>
    <w:autoRedefine/>
    <w:uiPriority w:val="39"/>
    <w:semiHidden/>
    <w:unhideWhenUsed/>
    <w:rsid w:val="00352843"/>
    <w:pPr>
      <w:ind w:left="1440"/>
    </w:pPr>
    <w:rPr>
      <w:sz w:val="20"/>
      <w:szCs w:val="20"/>
    </w:rPr>
  </w:style>
  <w:style w:type="paragraph" w:styleId="TOC8">
    <w:name w:val="toc 8"/>
    <w:basedOn w:val="Normal"/>
    <w:next w:val="Normal"/>
    <w:autoRedefine/>
    <w:uiPriority w:val="39"/>
    <w:semiHidden/>
    <w:unhideWhenUsed/>
    <w:rsid w:val="00352843"/>
    <w:pPr>
      <w:ind w:left="1680"/>
    </w:pPr>
    <w:rPr>
      <w:sz w:val="20"/>
      <w:szCs w:val="20"/>
    </w:rPr>
  </w:style>
  <w:style w:type="paragraph" w:styleId="TOC9">
    <w:name w:val="toc 9"/>
    <w:basedOn w:val="Normal"/>
    <w:next w:val="Normal"/>
    <w:autoRedefine/>
    <w:uiPriority w:val="39"/>
    <w:semiHidden/>
    <w:unhideWhenUsed/>
    <w:rsid w:val="00352843"/>
    <w:pPr>
      <w:ind w:left="1920"/>
    </w:pPr>
    <w:rPr>
      <w:sz w:val="20"/>
      <w:szCs w:val="20"/>
    </w:rPr>
  </w:style>
  <w:style w:type="paragraph" w:styleId="Header">
    <w:name w:val="header"/>
    <w:basedOn w:val="Normal"/>
    <w:link w:val="HeaderChar"/>
    <w:uiPriority w:val="99"/>
    <w:semiHidden/>
    <w:unhideWhenUsed/>
    <w:rsid w:val="009C5EEA"/>
    <w:pPr>
      <w:tabs>
        <w:tab w:val="center" w:pos="4513"/>
        <w:tab w:val="right" w:pos="9026"/>
      </w:tabs>
    </w:pPr>
  </w:style>
  <w:style w:type="character" w:customStyle="1" w:styleId="HeaderChar">
    <w:name w:val="Header Char"/>
    <w:basedOn w:val="DefaultParagraphFont"/>
    <w:link w:val="Header"/>
    <w:uiPriority w:val="99"/>
    <w:semiHidden/>
    <w:rsid w:val="009C5EEA"/>
  </w:style>
  <w:style w:type="paragraph" w:styleId="Footer">
    <w:name w:val="footer"/>
    <w:basedOn w:val="Normal"/>
    <w:link w:val="FooterChar"/>
    <w:uiPriority w:val="99"/>
    <w:unhideWhenUsed/>
    <w:rsid w:val="009C5EEA"/>
    <w:pPr>
      <w:tabs>
        <w:tab w:val="center" w:pos="4513"/>
        <w:tab w:val="right" w:pos="9026"/>
      </w:tabs>
    </w:pPr>
  </w:style>
  <w:style w:type="character" w:customStyle="1" w:styleId="FooterChar">
    <w:name w:val="Footer Char"/>
    <w:basedOn w:val="DefaultParagraphFont"/>
    <w:link w:val="Footer"/>
    <w:uiPriority w:val="99"/>
    <w:rsid w:val="009C5EEA"/>
  </w:style>
  <w:style w:type="character" w:styleId="PageNumber">
    <w:name w:val="page number"/>
    <w:basedOn w:val="DefaultParagraphFont"/>
    <w:uiPriority w:val="99"/>
    <w:semiHidden/>
    <w:unhideWhenUsed/>
    <w:rsid w:val="009C5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93243">
      <w:bodyDiv w:val="1"/>
      <w:marLeft w:val="0"/>
      <w:marRight w:val="0"/>
      <w:marTop w:val="0"/>
      <w:marBottom w:val="0"/>
      <w:divBdr>
        <w:top w:val="none" w:sz="0" w:space="0" w:color="auto"/>
        <w:left w:val="none" w:sz="0" w:space="0" w:color="auto"/>
        <w:bottom w:val="none" w:sz="0" w:space="0" w:color="auto"/>
        <w:right w:val="none" w:sz="0" w:space="0" w:color="auto"/>
      </w:divBdr>
    </w:div>
    <w:div w:id="305205334">
      <w:bodyDiv w:val="1"/>
      <w:marLeft w:val="0"/>
      <w:marRight w:val="0"/>
      <w:marTop w:val="0"/>
      <w:marBottom w:val="0"/>
      <w:divBdr>
        <w:top w:val="none" w:sz="0" w:space="0" w:color="auto"/>
        <w:left w:val="none" w:sz="0" w:space="0" w:color="auto"/>
        <w:bottom w:val="none" w:sz="0" w:space="0" w:color="auto"/>
        <w:right w:val="none" w:sz="0" w:space="0" w:color="auto"/>
      </w:divBdr>
    </w:div>
    <w:div w:id="315499774">
      <w:bodyDiv w:val="1"/>
      <w:marLeft w:val="0"/>
      <w:marRight w:val="0"/>
      <w:marTop w:val="0"/>
      <w:marBottom w:val="0"/>
      <w:divBdr>
        <w:top w:val="none" w:sz="0" w:space="0" w:color="auto"/>
        <w:left w:val="none" w:sz="0" w:space="0" w:color="auto"/>
        <w:bottom w:val="none" w:sz="0" w:space="0" w:color="auto"/>
        <w:right w:val="none" w:sz="0" w:space="0" w:color="auto"/>
      </w:divBdr>
    </w:div>
    <w:div w:id="443185441">
      <w:bodyDiv w:val="1"/>
      <w:marLeft w:val="0"/>
      <w:marRight w:val="0"/>
      <w:marTop w:val="0"/>
      <w:marBottom w:val="0"/>
      <w:divBdr>
        <w:top w:val="none" w:sz="0" w:space="0" w:color="auto"/>
        <w:left w:val="none" w:sz="0" w:space="0" w:color="auto"/>
        <w:bottom w:val="none" w:sz="0" w:space="0" w:color="auto"/>
        <w:right w:val="none" w:sz="0" w:space="0" w:color="auto"/>
      </w:divBdr>
    </w:div>
    <w:div w:id="456677260">
      <w:bodyDiv w:val="1"/>
      <w:marLeft w:val="0"/>
      <w:marRight w:val="0"/>
      <w:marTop w:val="0"/>
      <w:marBottom w:val="0"/>
      <w:divBdr>
        <w:top w:val="none" w:sz="0" w:space="0" w:color="auto"/>
        <w:left w:val="none" w:sz="0" w:space="0" w:color="auto"/>
        <w:bottom w:val="none" w:sz="0" w:space="0" w:color="auto"/>
        <w:right w:val="none" w:sz="0" w:space="0" w:color="auto"/>
      </w:divBdr>
    </w:div>
    <w:div w:id="557320981">
      <w:bodyDiv w:val="1"/>
      <w:marLeft w:val="0"/>
      <w:marRight w:val="0"/>
      <w:marTop w:val="0"/>
      <w:marBottom w:val="0"/>
      <w:divBdr>
        <w:top w:val="none" w:sz="0" w:space="0" w:color="auto"/>
        <w:left w:val="none" w:sz="0" w:space="0" w:color="auto"/>
        <w:bottom w:val="none" w:sz="0" w:space="0" w:color="auto"/>
        <w:right w:val="none" w:sz="0" w:space="0" w:color="auto"/>
      </w:divBdr>
    </w:div>
    <w:div w:id="592856513">
      <w:bodyDiv w:val="1"/>
      <w:marLeft w:val="0"/>
      <w:marRight w:val="0"/>
      <w:marTop w:val="0"/>
      <w:marBottom w:val="0"/>
      <w:divBdr>
        <w:top w:val="none" w:sz="0" w:space="0" w:color="auto"/>
        <w:left w:val="none" w:sz="0" w:space="0" w:color="auto"/>
        <w:bottom w:val="none" w:sz="0" w:space="0" w:color="auto"/>
        <w:right w:val="none" w:sz="0" w:space="0" w:color="auto"/>
      </w:divBdr>
    </w:div>
    <w:div w:id="1203395528">
      <w:bodyDiv w:val="1"/>
      <w:marLeft w:val="0"/>
      <w:marRight w:val="0"/>
      <w:marTop w:val="0"/>
      <w:marBottom w:val="0"/>
      <w:divBdr>
        <w:top w:val="none" w:sz="0" w:space="0" w:color="auto"/>
        <w:left w:val="none" w:sz="0" w:space="0" w:color="auto"/>
        <w:bottom w:val="none" w:sz="0" w:space="0" w:color="auto"/>
        <w:right w:val="none" w:sz="0" w:space="0" w:color="auto"/>
      </w:divBdr>
    </w:div>
    <w:div w:id="1268075618">
      <w:bodyDiv w:val="1"/>
      <w:marLeft w:val="0"/>
      <w:marRight w:val="0"/>
      <w:marTop w:val="0"/>
      <w:marBottom w:val="0"/>
      <w:divBdr>
        <w:top w:val="none" w:sz="0" w:space="0" w:color="auto"/>
        <w:left w:val="none" w:sz="0" w:space="0" w:color="auto"/>
        <w:bottom w:val="none" w:sz="0" w:space="0" w:color="auto"/>
        <w:right w:val="none" w:sz="0" w:space="0" w:color="auto"/>
      </w:divBdr>
    </w:div>
    <w:div w:id="1496260305">
      <w:bodyDiv w:val="1"/>
      <w:marLeft w:val="0"/>
      <w:marRight w:val="0"/>
      <w:marTop w:val="0"/>
      <w:marBottom w:val="0"/>
      <w:divBdr>
        <w:top w:val="none" w:sz="0" w:space="0" w:color="auto"/>
        <w:left w:val="none" w:sz="0" w:space="0" w:color="auto"/>
        <w:bottom w:val="none" w:sz="0" w:space="0" w:color="auto"/>
        <w:right w:val="none" w:sz="0" w:space="0" w:color="auto"/>
      </w:divBdr>
    </w:div>
    <w:div w:id="1606768640">
      <w:bodyDiv w:val="1"/>
      <w:marLeft w:val="0"/>
      <w:marRight w:val="0"/>
      <w:marTop w:val="0"/>
      <w:marBottom w:val="0"/>
      <w:divBdr>
        <w:top w:val="none" w:sz="0" w:space="0" w:color="auto"/>
        <w:left w:val="none" w:sz="0" w:space="0" w:color="auto"/>
        <w:bottom w:val="none" w:sz="0" w:space="0" w:color="auto"/>
        <w:right w:val="none" w:sz="0" w:space="0" w:color="auto"/>
      </w:divBdr>
    </w:div>
    <w:div w:id="1675915952">
      <w:bodyDiv w:val="1"/>
      <w:marLeft w:val="0"/>
      <w:marRight w:val="0"/>
      <w:marTop w:val="0"/>
      <w:marBottom w:val="0"/>
      <w:divBdr>
        <w:top w:val="none" w:sz="0" w:space="0" w:color="auto"/>
        <w:left w:val="none" w:sz="0" w:space="0" w:color="auto"/>
        <w:bottom w:val="none" w:sz="0" w:space="0" w:color="auto"/>
        <w:right w:val="none" w:sz="0" w:space="0" w:color="auto"/>
      </w:divBdr>
    </w:div>
    <w:div w:id="1716344783">
      <w:bodyDiv w:val="1"/>
      <w:marLeft w:val="0"/>
      <w:marRight w:val="0"/>
      <w:marTop w:val="0"/>
      <w:marBottom w:val="0"/>
      <w:divBdr>
        <w:top w:val="none" w:sz="0" w:space="0" w:color="auto"/>
        <w:left w:val="none" w:sz="0" w:space="0" w:color="auto"/>
        <w:bottom w:val="none" w:sz="0" w:space="0" w:color="auto"/>
        <w:right w:val="none" w:sz="0" w:space="0" w:color="auto"/>
      </w:divBdr>
    </w:div>
    <w:div w:id="1802772313">
      <w:bodyDiv w:val="1"/>
      <w:marLeft w:val="0"/>
      <w:marRight w:val="0"/>
      <w:marTop w:val="0"/>
      <w:marBottom w:val="0"/>
      <w:divBdr>
        <w:top w:val="none" w:sz="0" w:space="0" w:color="auto"/>
        <w:left w:val="none" w:sz="0" w:space="0" w:color="auto"/>
        <w:bottom w:val="none" w:sz="0" w:space="0" w:color="auto"/>
        <w:right w:val="none" w:sz="0" w:space="0" w:color="auto"/>
      </w:divBdr>
    </w:div>
    <w:div w:id="1994675053">
      <w:bodyDiv w:val="1"/>
      <w:marLeft w:val="0"/>
      <w:marRight w:val="0"/>
      <w:marTop w:val="0"/>
      <w:marBottom w:val="0"/>
      <w:divBdr>
        <w:top w:val="none" w:sz="0" w:space="0" w:color="auto"/>
        <w:left w:val="none" w:sz="0" w:space="0" w:color="auto"/>
        <w:bottom w:val="none" w:sz="0" w:space="0" w:color="auto"/>
        <w:right w:val="none" w:sz="0" w:space="0" w:color="auto"/>
      </w:divBdr>
    </w:div>
    <w:div w:id="2020811912">
      <w:bodyDiv w:val="1"/>
      <w:marLeft w:val="0"/>
      <w:marRight w:val="0"/>
      <w:marTop w:val="0"/>
      <w:marBottom w:val="0"/>
      <w:divBdr>
        <w:top w:val="none" w:sz="0" w:space="0" w:color="auto"/>
        <w:left w:val="none" w:sz="0" w:space="0" w:color="auto"/>
        <w:bottom w:val="none" w:sz="0" w:space="0" w:color="auto"/>
        <w:right w:val="none" w:sz="0" w:space="0" w:color="auto"/>
      </w:divBdr>
    </w:div>
    <w:div w:id="2027711889">
      <w:bodyDiv w:val="1"/>
      <w:marLeft w:val="0"/>
      <w:marRight w:val="0"/>
      <w:marTop w:val="0"/>
      <w:marBottom w:val="0"/>
      <w:divBdr>
        <w:top w:val="none" w:sz="0" w:space="0" w:color="auto"/>
        <w:left w:val="none" w:sz="0" w:space="0" w:color="auto"/>
        <w:bottom w:val="none" w:sz="0" w:space="0" w:color="auto"/>
        <w:right w:val="none" w:sz="0" w:space="0" w:color="auto"/>
      </w:divBdr>
    </w:div>
    <w:div w:id="2067217031">
      <w:bodyDiv w:val="1"/>
      <w:marLeft w:val="0"/>
      <w:marRight w:val="0"/>
      <w:marTop w:val="0"/>
      <w:marBottom w:val="0"/>
      <w:divBdr>
        <w:top w:val="none" w:sz="0" w:space="0" w:color="auto"/>
        <w:left w:val="none" w:sz="0" w:space="0" w:color="auto"/>
        <w:bottom w:val="none" w:sz="0" w:space="0" w:color="auto"/>
        <w:right w:val="none" w:sz="0" w:space="0" w:color="auto"/>
      </w:divBdr>
    </w:div>
    <w:div w:id="207966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Com25</b:Tag>
    <b:SourceType>InternetSite</b:SourceType>
    <b:Guid>{AB07B0A6-63E9-6F49-BEAA-6061F9030FC9}</b:Guid>
    <b:LCID>en-GB</b:LCID>
    <b:Title>Britannica Money- Diageo British company</b:Title>
    <b:URL>https://www.britannica.com/money/Diageo-PLC</b:URL>
    <b:Year>2025</b:Year>
    <b:YearAccessed>2025</b:YearAccessed>
    <b:MonthAccessed>11</b:MonthAccessed>
    <b:DayAccessed>05</b:DayAccessed>
    <b:Author>
      <b:Author>
        <b:NameList>
          <b:Person>
            <b:Last>Comstock</b:Last>
            <b:First>Frannie</b:First>
          </b:Person>
        </b:NameList>
      </b:Author>
    </b:Author>
    <b:RefOrder>1</b:RefOrder>
  </b:Source>
  <b:Source>
    <b:Tag>GOV233</b:Tag>
    <b:SourceType>InternetSite</b:SourceType>
    <b:Guid>{7497043E-E882-5649-9089-CCC1B7AA08DC}</b:Guid>
    <b:LCID>en-GB</b:LCID>
    <b:Author>
      <b:Author>
        <b:Corporate>GOV.UK</b:Corporate>
      </b:Author>
    </b:Author>
    <b:Title>Policy paper Alcohol Duty: rate changes</b:Title>
    <b:URL>https://www.gov.uk/government/publications/changes-to-alcohol-duty-rates/alcohol-duty-rate-changes</b:URL>
    <b:Year>2023</b:Year>
    <b:YearAccessed>2025</b:YearAccessed>
    <b:MonthAccessed>11</b:MonthAccessed>
    <b:DayAccessed>05</b:DayAccessed>
    <b:RefOrder>2</b:RefOrder>
  </b:Source>
  <b:Source>
    <b:Tag>Par25</b:Tag>
    <b:SourceType>InternetSite</b:SourceType>
    <b:Guid>{BE4F3CD5-8F79-0241-A344-A34B0E3063D2}</b:Guid>
    <b:LCID>en-GB</b:LCID>
    <b:Title>Media Bites 20 May: UK-EU deal reactions, Greggs fridges and Diageo plans</b:Title>
    <b:URL>https://www.thegrocer.co.uk/news/media-bites-20-may-uk-eu-deal-reactions-greggs-fridges-and-diageo-plans/704655.article</b:URL>
    <b:Year>2025</b:Year>
    <b:YearAccessed>2025</b:YearAccessed>
    <b:MonthAccessed>11</b:MonthAccessed>
    <b:DayAccessed>05</b:DayAccessed>
    <b:Author>
      <b:Author>
        <b:NameList>
          <b:Person>
            <b:Last>Parr</b:Last>
            <b:First>Jacqui</b:First>
          </b:Person>
        </b:NameList>
      </b:Author>
    </b:Author>
    <b:RefOrder>3</b:RefOrder>
  </b:Source>
  <b:Source>
    <b:Tag>UKP25</b:Tag>
    <b:SourceType>InternetSite</b:SourceType>
    <b:Guid>{692CC9FB-4ED8-4041-9B56-C64179FF1AC0}</b:Guid>
    <b:LCID>en-GB</b:LCID>
    <b:Author>
      <b:Author>
        <b:Corporate>UK Parliament </b:Corporate>
      </b:Author>
    </b:Author>
    <b:Title>High cost of living: Impact on households</b:Title>
    <b:URL>https://commonslibrary.parliament.uk/research-briefings/cbp-10100/</b:URL>
    <b:Year>2025</b:Year>
    <b:YearAccessed>2025</b:YearAccessed>
    <b:MonthAccessed>11</b:MonthAccessed>
    <b:DayAccessed>07</b:DayAccessed>
    <b:RefOrder>4</b:RefOrder>
  </b:Source>
  <b:Source>
    <b:Tag>Sis23</b:Tag>
    <b:SourceType>InternetSite</b:SourceType>
    <b:Guid>{E31A3E5F-50A0-2340-A1F9-F26BB327018F}</b:Guid>
    <b:LCID>en-GB</b:LCID>
    <b:Title>Diageo (NYSE:DEO): A Recession-Proof Stock Built for Dividend Growth</b:Title>
    <b:URL>https://www.nasdaq.com/articles/diageo-nyse:deo:-a-recession-proof-stock-built-for-dividend-growth#:~:text=Why%20is%20Diageo%20Stock%20Recession%20Proof?%20Diageo,of%20financial%20constraint%2C%20consumer%20spending%20typically%20contracts.</b:URL>
    <b:Year>2023</b:Year>
    <b:YearAccessed>2025</b:YearAccessed>
    <b:MonthAccessed>11</b:MonthAccessed>
    <b:DayAccessed>07</b:DayAccessed>
    <b:Author>
      <b:Author>
        <b:NameList>
          <b:Person>
            <b:Last>Sismanis</b:Last>
            <b:First>Nikolaos</b:First>
          </b:Person>
        </b:NameList>
      </b:Author>
    </b:Author>
    <b:RefOrder>5</b:RefOrder>
  </b:Source>
  <b:Source>
    <b:Tag>Dia19</b:Tag>
    <b:SourceType>InternetSite</b:SourceType>
    <b:Guid>{4B818A58-C497-F744-868D-02306BB8A0ED}</b:Guid>
    <b:LCID>en-GB</b:LCID>
    <b:Author>
      <b:Author>
        <b:Corporate>Diageo </b:Corporate>
      </b:Author>
    </b:Author>
    <b:Title>Diageo acquires majority shareholding in Seedlip, the world’s first distilled non-alcoholic spirit</b:Title>
    <b:URL>https://www.diageo.com/en/news-and-media/press-releases/2019/diageo-acquires-majority-shareholding-in-seedlip-the-world-s-first-distilled-non-alcoholic-spirit</b:URL>
    <b:Year>2019</b:Year>
    <b:YearAccessed>2025</b:YearAccessed>
    <b:MonthAccessed>11</b:MonthAccessed>
    <b:DayAccessed>07</b:DayAccessed>
    <b:RefOrder>6</b:RefOrder>
  </b:Source>
  <b:Source>
    <b:Tag>DIA25</b:Tag>
    <b:SourceType>InternetSite</b:SourceType>
    <b:Guid>{3849BC8C-9D58-6D47-A198-DD67426B5BD5}</b:Guid>
    <b:LCID>en-GB</b:LCID>
    <b:Author>
      <b:Author>
        <b:Corporate>DIAGEO</b:Corporate>
      </b:Author>
    </b:Author>
    <b:Title>Our Spirit of Progress targets</b:Title>
    <b:URL>https://www.diageo.com/en/esg/spirit-of-progress-targets</b:URL>
    <b:Year>2025</b:Year>
    <b:YearAccessed>2025</b:YearAccessed>
    <b:MonthAccessed>11</b:MonthAccessed>
    <b:DayAccessed>07</b:DayAccessed>
    <b:RefOrder>7</b:RefOrder>
  </b:Source>
  <b:Source>
    <b:Tag>DIA24</b:Tag>
    <b:SourceType>InternetSite</b:SourceType>
    <b:Guid>{6B2591C1-D2F4-4D4A-BE47-86E35DAA6C0C}</b:Guid>
    <b:LCID>en-GB</b:LCID>
    <b:Author>
      <b:Author>
        <b:Corporate>DIAGEO</b:Corporate>
      </b:Author>
    </b:Author>
    <b:Title>Diageo unveils its First Bottle Personalisation Experience, Fuelled by Generative AI</b:Title>
    <b:URL>https://www.diageo.com/en/news-and-media/press-releases/2024/diageo-unveils-its-first-bottle-personalisation-experience-fuelled-by-generative-ai</b:URL>
    <b:Year>2024</b:Year>
    <b:YearAccessed>2025</b:YearAccessed>
    <b:MonthAccessed>11</b:MonthAccessed>
    <b:DayAccessed>08</b:DayAccessed>
    <b:RefOrder>8</b:RefOrder>
  </b:Source>
  <b:Source>
    <b:Tag>DIA251</b:Tag>
    <b:SourceType>InternetSite</b:SourceType>
    <b:Guid>{22791711-A2F8-4F43-8B40-988169664867}</b:Guid>
    <b:Author>
      <b:Author>
        <b:Corporate>DIAGEO</b:Corporate>
      </b:Author>
    </b:Author>
    <b:Title>Digital acceleration</b:Title>
    <b:URL>https://www.diageo.com/en/careers/why-diageo/digital-acceleration</b:URL>
    <b:Year>2025</b:Year>
    <b:YearAccessed>2025</b:YearAccessed>
    <b:MonthAccessed>11</b:MonthAccessed>
    <b:DayAccessed>08</b:DayAccessed>
    <b:RefOrder>9</b:RefOrder>
  </b:Source>
  <b:Source>
    <b:Tag>DIA252</b:Tag>
    <b:SourceType>InternetSite</b:SourceType>
    <b:Guid>{0F67C9CC-1EE1-D546-AA99-70EEA70380F1}</b:Guid>
    <b:LCID>en-GB</b:LCID>
    <b:Author>
      <b:Author>
        <b:Corporate>DIAGEO</b:Corporate>
      </b:Author>
    </b:Author>
    <b:Title>Grain to glass sustainability</b:Title>
    <b:URL>https://www.diageo.com/en/esg/sustainability</b:URL>
    <b:Year>2025</b:Year>
    <b:YearAccessed>2025</b:YearAccessed>
    <b:MonthAccessed>11</b:MonthAccessed>
    <b:DayAccessed>08</b:DayAccessed>
    <b:RefOrder>10</b:RefOrder>
  </b:Source>
  <b:Source>
    <b:Tag>DIA253</b:Tag>
    <b:SourceType>InternetSite</b:SourceType>
    <b:Guid>{FB303FC9-09D9-2549-A1BF-FCCEACAA6489}</b:Guid>
    <b:Author>
      <b:Author>
        <b:Corporate>DIAGEO</b:Corporate>
      </b:Author>
    </b:Author>
    <b:Title>Policies and standards</b:Title>
    <b:URL>https://www.diageo.com/en/our-business/corporate-governance/code-of-business-conduct/policies-and-standards</b:URL>
    <b:Year>2025</b:Year>
    <b:YearAccessed>2025</b:YearAccessed>
    <b:MonthAccessed>11</b:MonthAccessed>
    <b:DayAccessed>08</b:DayAccessed>
    <b:RefOrder>11</b:RefOrder>
  </b:Source>
  <b:Source>
    <b:Tag>Dia25</b:Tag>
    <b:SourceType>InternetSite</b:SourceType>
    <b:Guid>{C11EC169-9554-7547-878D-F29716F1D59E}</b:Guid>
    <b:LCID>en-GB</b:LCID>
    <b:Author>
      <b:Author>
        <b:Corporate>Diageo </b:Corporate>
      </b:Author>
    </b:Author>
    <b:Title>Spirit of Progress Plan</b:Title>
    <b:URL>https://www.diageo.com/en/esg/spirit-of-progress-plan</b:URL>
    <b:Year>2025</b:Year>
    <b:YearAccessed>2025</b:YearAccessed>
    <b:MonthAccessed>11</b:MonthAccessed>
    <b:DayAccessed>10</b:DayAccessed>
    <b:RefOrder>12</b:RefOrder>
  </b:Source>
  <b:Source>
    <b:Tag>Dia251</b:Tag>
    <b:SourceType>InternetSite</b:SourceType>
    <b:Guid>{E019E02C-B45D-D849-B45F-AAEDD2EDB2BF}</b:Guid>
    <b:LCID>en-GB</b:LCID>
    <b:Author>
      <b:Author>
        <b:Corporate>Diageo</b:Corporate>
      </b:Author>
    </b:Author>
    <b:Title>Annual Report 2025</b:Title>
    <b:URL>https://www.diageo.com/en/investors/results-reports-and-events/annual-report-2025</b:URL>
    <b:Year>2025</b:Year>
    <b:YearAccessed>2025</b:YearAccessed>
    <b:MonthAccessed>11</b:MonthAccessed>
    <b:DayAccessed>11</b:DayAccessed>
    <b:RefOrder>13</b:RefOrder>
  </b:Source>
  <b:Source>
    <b:Tag>McP25</b:Tag>
    <b:SourceType>InternetSite</b:SourceType>
    <b:Guid>{F7C239C1-FC71-7449-A3D6-337AA7FB69FA}</b:Guid>
    <b:LCID>en-GB</b:LCID>
    <b:Title>By 2026, Diageo shares could turn £10,000 into…</b:Title>
    <b:URL>https://uk.finance.yahoo.com/news/2026-diageo-shares-could-turn-145900494.html?guccounter=1&amp;guce_referrer=aHR0cHM6Ly93d3cuZ29vZ2xlLmNvbS8&amp;guce_referrer_sig=AQAAAN6xa5oD9sqxBlo01DD-1GgzriBcVDSQ9JJcOD2WfPNNEvTDfWiVFf1qYdqzzU-tL6OFLCl6WZNGGMgLf3EMenuR3Mgh0y8</b:URL>
    <b:Year>2025</b:Year>
    <b:YearAccessed>2025</b:YearAccessed>
    <b:MonthAccessed>11</b:MonthAccessed>
    <b:DayAccessed>15</b:DayAccessed>
    <b:Author>
      <b:Author>
        <b:NameList>
          <b:Person>
            <b:Last>McPoland </b:Last>
            <b:First>Ben</b:First>
          </b:Person>
        </b:NameList>
      </b:Author>
    </b:Author>
    <b:RefOrder>14</b:RefOrder>
  </b:Source>
  <b:Source>
    <b:Tag>Dia252</b:Tag>
    <b:SourceType>InternetSite</b:SourceType>
    <b:Guid>{37486A7B-A65D-F34F-88B2-55191BF1D198}</b:Guid>
    <b:Author>
      <b:Author>
        <b:Corporate>Diageo</b:Corporate>
      </b:Author>
    </b:Author>
    <b:Title>FORESIGHT REPORT Navigating the cultural trends shaping tomorrow  </b:Title>
    <b:URL>https://www.diageo.com/en/news-and-media/consumer-trends-report/foresight-report-2025</b:URL>
    <b:Year>2025</b:Year>
    <b:YearAccessed>2025</b:YearAccessed>
    <b:MonthAccessed>11</b:MonthAccessed>
    <b:DayAccessed>15</b:DayAccessed>
    <b:RefOrder>15</b:RefOrder>
  </b:Source>
  <b:Source>
    <b:Tag>SEC19</b:Tag>
    <b:SourceType>DocumentFromInternetSite</b:SourceType>
    <b:Guid>{D55C6D36-3267-9442-88B0-B09FC283E334}</b:Guid>
    <b:Title>DIAGEO plc</b:Title>
    <b:URL>https://www.sec.gov/Archives/edgar/data/835403/000083540319000005/a20-ff19p12.htm</b:URL>
    <b:Year>2019</b:Year>
    <b:YearAccessed>2025</b:YearAccessed>
    <b:MonthAccessed>11</b:MonthAccessed>
    <b:DayAccessed>11</b:DayAccessed>
    <b:LCID>en-GB</b:LCID>
    <b:Author>
      <b:Author>
        <b:Corporate>SEC.gov</b:Corporate>
      </b:Author>
    </b:Author>
    <b:Month>06</b:Month>
    <b:Day>30</b:Day>
    <b:RefOrder>16</b:RefOrder>
  </b:Source>
  <b:Source>
    <b:Tag>DIA241</b:Tag>
    <b:SourceType>InternetSite</b:SourceType>
    <b:Guid>{8617DC70-CF48-AA4C-B568-DB1EA30A09C1}</b:Guid>
    <b:Title>Annual Report 2024</b:Title>
    <b:URL>https://www.diageo.com/~/media/Files/D/Diageo-V2/Diageo-Corp/investors/results-reports-and-events/annual-reports/diageo-annual-report-2024.pdf</b:URL>
    <b:Year>2024</b:Year>
    <b:YearAccessed>2025</b:YearAccessed>
    <b:MonthAccessed>11</b:MonthAccessed>
    <b:DayAccessed>11</b:DayAccessed>
    <b:LCID>en-GB</b:LCID>
    <b:Author>
      <b:Author>
        <b:Corporate>DIAGEO </b:Corporate>
      </b:Author>
    </b:Author>
    <b:RefOrder>17</b:RefOrder>
  </b:Source>
  <b:Source>
    <b:Tag>KPI25</b:Tag>
    <b:SourceType>InternetSite</b:SourceType>
    <b:Guid>{CC826C84-28C5-3C40-B465-BD9DEC373F4C}</b:Guid>
    <b:LCID>en-GB</b:LCID>
    <b:Author>
      <b:Author>
        <b:Corporate>KPI Depot </b:Corporate>
      </b:Author>
    </b:Author>
    <b:Title>Alcoholic Beverages KPIs</b:Title>
    <b:URL>https://kpidepot.com/kpi-industry/alcoholic-beverages-418</b:URL>
    <b:Year>2025</b:Year>
    <b:YearAccessed>2025</b:YearAccessed>
    <b:MonthAccessed>11</b:MonthAccessed>
    <b:DayAccessed>11</b:DayAccessed>
    <b:RefOrder>18</b:RefOrder>
  </b:Source>
</b:Sources>
</file>

<file path=customXml/itemProps1.xml><?xml version="1.0" encoding="utf-8"?>
<ds:datastoreItem xmlns:ds="http://schemas.openxmlformats.org/officeDocument/2006/customXml" ds:itemID="{B307C155-1916-E945-AC61-C90F298BC0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4766</Words>
  <Characters>27171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report</dc:title>
  <dc:subject>Diageo plc's marketing strategy to boost sales in the UK market</dc:subject>
  <dc:creator>Simona Cotofan (2313525)</dc:creator>
  <cp:keywords/>
  <dc:description/>
  <cp:lastModifiedBy>elisabeta manole</cp:lastModifiedBy>
  <cp:revision>2</cp:revision>
  <dcterms:created xsi:type="dcterms:W3CDTF">2025-11-14T10:06:00Z</dcterms:created>
  <dcterms:modified xsi:type="dcterms:W3CDTF">2025-11-14T10:06:00Z</dcterms:modified>
</cp:coreProperties>
</file>