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58B36" w14:textId="77777777" w:rsidR="00766D92" w:rsidRPr="00766D92" w:rsidRDefault="00766D92" w:rsidP="00766D92">
      <w:pPr>
        <w:spacing w:after="120" w:line="276" w:lineRule="auto"/>
        <w:jc w:val="center"/>
        <w:rPr>
          <w:rFonts w:ascii="Times New Roman" w:eastAsia="Times New Roman" w:hAnsi="Times New Roman" w:cs="Times New Roman"/>
          <w:color w:val="000000"/>
          <w:kern w:val="0"/>
          <w:lang w:eastAsia="en-GB"/>
          <w14:ligatures w14:val="none"/>
        </w:rPr>
      </w:pPr>
      <w:r w:rsidRPr="00766D92">
        <w:rPr>
          <w:rFonts w:ascii="Times New Roman" w:eastAsia="Times New Roman" w:hAnsi="Times New Roman" w:cs="Times New Roman"/>
          <w:color w:val="000000"/>
          <w:kern w:val="0"/>
          <w:lang w:eastAsia="en-GB"/>
          <w14:ligatures w14:val="none"/>
        </w:rPr>
        <w:t>Sonya O. Rose (2010), ‘What is Gender History?’</w:t>
      </w:r>
    </w:p>
    <w:p w14:paraId="1CBA3F88" w14:textId="77777777" w:rsidR="00766D92" w:rsidRPr="00766D92" w:rsidRDefault="00766D92" w:rsidP="00766D92">
      <w:pPr>
        <w:spacing w:after="120" w:line="276" w:lineRule="auto"/>
        <w:jc w:val="center"/>
        <w:rPr>
          <w:rFonts w:ascii="Times New Roman" w:eastAsia="Times New Roman" w:hAnsi="Times New Roman" w:cs="Times New Roman"/>
          <w:color w:val="000000"/>
          <w:kern w:val="0"/>
          <w:lang w:eastAsia="en-GB"/>
          <w14:ligatures w14:val="none"/>
        </w:rPr>
      </w:pPr>
      <w:r w:rsidRPr="00766D92">
        <w:rPr>
          <w:rFonts w:ascii="Times New Roman" w:eastAsia="Times New Roman" w:hAnsi="Times New Roman" w:cs="Times New Roman"/>
          <w:color w:val="000000"/>
          <w:kern w:val="0"/>
          <w:lang w:eastAsia="en-GB"/>
          <w14:ligatures w14:val="none"/>
        </w:rPr>
        <w:t>Chapter 1: Why Gender History.</w:t>
      </w:r>
    </w:p>
    <w:p w14:paraId="50DA376F" w14:textId="5E8D8D91" w:rsidR="00766D92" w:rsidRDefault="00766D92" w:rsidP="00766D92">
      <w:pPr>
        <w:spacing w:after="120" w:line="276" w:lineRule="auto"/>
        <w:jc w:val="center"/>
        <w:rPr>
          <w:rFonts w:ascii="Times New Roman" w:eastAsia="Times New Roman" w:hAnsi="Times New Roman" w:cs="Times New Roman"/>
          <w:color w:val="000000"/>
          <w:kern w:val="0"/>
          <w:lang w:eastAsia="en-GB"/>
          <w14:ligatures w14:val="none"/>
        </w:rPr>
      </w:pPr>
      <w:r w:rsidRPr="00766D92">
        <w:rPr>
          <w:rFonts w:ascii="Times New Roman" w:eastAsia="Times New Roman" w:hAnsi="Times New Roman" w:cs="Times New Roman"/>
          <w:color w:val="000000"/>
          <w:kern w:val="0"/>
          <w:lang w:eastAsia="en-GB"/>
          <w14:ligatures w14:val="none"/>
        </w:rPr>
        <w:t>(Secondary literature review)</w:t>
      </w:r>
    </w:p>
    <w:p w14:paraId="182C9B01" w14:textId="77777777" w:rsidR="00766D92" w:rsidRPr="00766D92" w:rsidRDefault="00766D92" w:rsidP="00766D92">
      <w:pPr>
        <w:spacing w:after="120" w:line="276" w:lineRule="auto"/>
        <w:rPr>
          <w:rFonts w:ascii="Times New Roman" w:eastAsia="Times New Roman" w:hAnsi="Times New Roman" w:cs="Times New Roman"/>
          <w:color w:val="000000"/>
          <w:kern w:val="0"/>
          <w:lang w:eastAsia="en-GB"/>
          <w14:ligatures w14:val="none"/>
        </w:rPr>
      </w:pPr>
    </w:p>
    <w:p w14:paraId="6FEC1F22" w14:textId="6916FC9A" w:rsidR="00766D92" w:rsidRPr="00766D92" w:rsidRDefault="00766D92" w:rsidP="00766D92">
      <w:pPr>
        <w:spacing w:after="120" w:line="240" w:lineRule="auto"/>
        <w:rPr>
          <w:rFonts w:ascii="Times New Roman" w:eastAsia="Times New Roman" w:hAnsi="Times New Roman" w:cs="Times New Roman"/>
          <w:color w:val="000000"/>
          <w:kern w:val="0"/>
          <w:lang w:eastAsia="en-GB"/>
          <w14:ligatures w14:val="none"/>
        </w:rPr>
      </w:pPr>
      <w:r w:rsidRPr="00766D92">
        <w:rPr>
          <w:rFonts w:ascii="Times New Roman" w:eastAsia="Times New Roman" w:hAnsi="Times New Roman" w:cs="Times New Roman"/>
          <w:color w:val="000000"/>
          <w:kern w:val="0"/>
          <w:lang w:eastAsia="en-GB"/>
          <w14:ligatures w14:val="none"/>
        </w:rPr>
        <w:t>Sonya O. Rose’s opening chapter, “Why Gender History?”, serves two main roles: it justifies why historians must treat gender as more than descriptive, and it provides a brief methodological agenda. Rose argues that gender organises social life by providing varying meanings and practices that shape labour</w:t>
      </w:r>
      <w:r w:rsidR="002A3C2B">
        <w:rPr>
          <w:rFonts w:ascii="Times New Roman" w:eastAsia="Times New Roman" w:hAnsi="Times New Roman" w:cs="Times New Roman"/>
          <w:color w:val="000000"/>
          <w:kern w:val="0"/>
          <w:lang w:eastAsia="en-GB"/>
          <w14:ligatures w14:val="none"/>
        </w:rPr>
        <w:t xml:space="preserve"> such as </w:t>
      </w:r>
      <w:r w:rsidRPr="00766D92">
        <w:rPr>
          <w:rFonts w:ascii="Times New Roman" w:eastAsia="Times New Roman" w:hAnsi="Times New Roman" w:cs="Times New Roman"/>
          <w:color w:val="000000"/>
          <w:kern w:val="0"/>
          <w:lang w:eastAsia="en-GB"/>
          <w14:ligatures w14:val="none"/>
        </w:rPr>
        <w:t xml:space="preserve">citizenship, family, and politics. Using gender as an analytical lens reveals power dynamics often missed by “women’s history” recovery projects (Rose, 2010, </w:t>
      </w:r>
      <w:proofErr w:type="spellStart"/>
      <w:r w:rsidRPr="00766D92">
        <w:rPr>
          <w:rFonts w:ascii="Times New Roman" w:eastAsia="Times New Roman" w:hAnsi="Times New Roman" w:cs="Times New Roman"/>
          <w:color w:val="000000"/>
          <w:kern w:val="0"/>
          <w:lang w:eastAsia="en-GB"/>
          <w14:ligatures w14:val="none"/>
        </w:rPr>
        <w:t>ch.</w:t>
      </w:r>
      <w:proofErr w:type="spellEnd"/>
      <w:r w:rsidRPr="00766D92">
        <w:rPr>
          <w:rFonts w:ascii="Times New Roman" w:eastAsia="Times New Roman" w:hAnsi="Times New Roman" w:cs="Times New Roman"/>
          <w:color w:val="000000"/>
          <w:kern w:val="0"/>
          <w:lang w:eastAsia="en-GB"/>
          <w14:ligatures w14:val="none"/>
        </w:rPr>
        <w:t xml:space="preserve"> 1). For students of international development and politic</w:t>
      </w:r>
      <w:r w:rsidR="002A3C2B">
        <w:rPr>
          <w:rFonts w:ascii="Times New Roman" w:eastAsia="Times New Roman" w:hAnsi="Times New Roman" w:cs="Times New Roman"/>
          <w:color w:val="000000"/>
          <w:kern w:val="0"/>
          <w:lang w:eastAsia="en-GB"/>
          <w14:ligatures w14:val="none"/>
        </w:rPr>
        <w:t>s</w:t>
      </w:r>
      <w:r w:rsidRPr="00766D92">
        <w:rPr>
          <w:rFonts w:ascii="Times New Roman" w:eastAsia="Times New Roman" w:hAnsi="Times New Roman" w:cs="Times New Roman"/>
          <w:color w:val="000000"/>
          <w:kern w:val="0"/>
          <w:lang w:eastAsia="en-GB"/>
          <w14:ligatures w14:val="none"/>
        </w:rPr>
        <w:t>, this reframes development</w:t>
      </w:r>
      <w:r w:rsidR="002A3C2B">
        <w:rPr>
          <w:rFonts w:ascii="Times New Roman" w:eastAsia="Times New Roman" w:hAnsi="Times New Roman" w:cs="Times New Roman"/>
          <w:color w:val="000000"/>
          <w:kern w:val="0"/>
          <w:lang w:eastAsia="en-GB"/>
          <w14:ligatures w14:val="none"/>
        </w:rPr>
        <w:t xml:space="preserve"> and </w:t>
      </w:r>
      <w:r w:rsidRPr="00766D92">
        <w:rPr>
          <w:rFonts w:ascii="Times New Roman" w:eastAsia="Times New Roman" w:hAnsi="Times New Roman" w:cs="Times New Roman"/>
          <w:color w:val="000000"/>
          <w:kern w:val="0"/>
          <w:lang w:eastAsia="en-GB"/>
          <w14:ligatures w14:val="none"/>
        </w:rPr>
        <w:t>policy</w:t>
      </w:r>
      <w:r w:rsidR="002A3C2B">
        <w:rPr>
          <w:rFonts w:ascii="Times New Roman" w:eastAsia="Times New Roman" w:hAnsi="Times New Roman" w:cs="Times New Roman"/>
          <w:color w:val="000000"/>
          <w:kern w:val="0"/>
          <w:lang w:eastAsia="en-GB"/>
          <w14:ligatures w14:val="none"/>
        </w:rPr>
        <w:t xml:space="preserve"> </w:t>
      </w:r>
      <w:r w:rsidRPr="00766D92">
        <w:rPr>
          <w:rFonts w:ascii="Times New Roman" w:eastAsia="Times New Roman" w:hAnsi="Times New Roman" w:cs="Times New Roman"/>
          <w:color w:val="000000"/>
          <w:kern w:val="0"/>
          <w:lang w:eastAsia="en-GB"/>
          <w14:ligatures w14:val="none"/>
        </w:rPr>
        <w:t>as gendered</w:t>
      </w:r>
      <w:r w:rsidR="002A3C2B">
        <w:rPr>
          <w:rFonts w:ascii="Times New Roman" w:eastAsia="Times New Roman" w:hAnsi="Times New Roman" w:cs="Times New Roman"/>
          <w:color w:val="000000"/>
          <w:kern w:val="0"/>
          <w:lang w:eastAsia="en-GB"/>
          <w14:ligatures w14:val="none"/>
        </w:rPr>
        <w:t xml:space="preserve">, </w:t>
      </w:r>
      <w:r w:rsidRPr="00766D92">
        <w:rPr>
          <w:rFonts w:ascii="Times New Roman" w:eastAsia="Times New Roman" w:hAnsi="Times New Roman" w:cs="Times New Roman"/>
          <w:color w:val="000000"/>
          <w:kern w:val="0"/>
          <w:lang w:eastAsia="en-GB"/>
          <w14:ligatures w14:val="none"/>
        </w:rPr>
        <w:t>not simply technical</w:t>
      </w:r>
      <w:r w:rsidR="002A3C2B">
        <w:rPr>
          <w:rFonts w:ascii="Times New Roman" w:eastAsia="Times New Roman" w:hAnsi="Times New Roman" w:cs="Times New Roman"/>
          <w:color w:val="000000"/>
          <w:kern w:val="0"/>
          <w:lang w:eastAsia="en-GB"/>
          <w14:ligatures w14:val="none"/>
        </w:rPr>
        <w:t xml:space="preserve">, </w:t>
      </w:r>
      <w:r w:rsidRPr="00766D92">
        <w:rPr>
          <w:rFonts w:ascii="Times New Roman" w:eastAsia="Times New Roman" w:hAnsi="Times New Roman" w:cs="Times New Roman"/>
          <w:color w:val="000000"/>
          <w:kern w:val="0"/>
          <w:lang w:eastAsia="en-GB"/>
          <w14:ligatures w14:val="none"/>
        </w:rPr>
        <w:t xml:space="preserve">processes (Rose, 2010, </w:t>
      </w:r>
      <w:proofErr w:type="spellStart"/>
      <w:r w:rsidRPr="00766D92">
        <w:rPr>
          <w:rFonts w:ascii="Times New Roman" w:eastAsia="Times New Roman" w:hAnsi="Times New Roman" w:cs="Times New Roman"/>
          <w:color w:val="000000"/>
          <w:kern w:val="0"/>
          <w:lang w:eastAsia="en-GB"/>
          <w14:ligatures w14:val="none"/>
        </w:rPr>
        <w:t>ch.</w:t>
      </w:r>
      <w:proofErr w:type="spellEnd"/>
      <w:r w:rsidRPr="00766D92">
        <w:rPr>
          <w:rFonts w:ascii="Times New Roman" w:eastAsia="Times New Roman" w:hAnsi="Times New Roman" w:cs="Times New Roman"/>
          <w:color w:val="000000"/>
          <w:kern w:val="0"/>
          <w:lang w:eastAsia="en-GB"/>
          <w14:ligatures w14:val="none"/>
        </w:rPr>
        <w:t xml:space="preserve"> 1).</w:t>
      </w:r>
    </w:p>
    <w:p w14:paraId="5073417A" w14:textId="17CC41B0" w:rsidR="00766D92" w:rsidRPr="00766D92" w:rsidRDefault="00766D92" w:rsidP="00766D92">
      <w:pPr>
        <w:spacing w:after="120" w:line="240" w:lineRule="auto"/>
        <w:rPr>
          <w:rFonts w:ascii="Times New Roman" w:eastAsia="Times New Roman" w:hAnsi="Times New Roman" w:cs="Times New Roman"/>
          <w:color w:val="000000"/>
          <w:kern w:val="0"/>
          <w:lang w:eastAsia="en-GB"/>
          <w14:ligatures w14:val="none"/>
        </w:rPr>
      </w:pPr>
      <w:r w:rsidRPr="00766D92">
        <w:rPr>
          <w:rFonts w:ascii="Times New Roman" w:eastAsia="Times New Roman" w:hAnsi="Times New Roman" w:cs="Times New Roman"/>
          <w:color w:val="000000"/>
          <w:kern w:val="0"/>
          <w:lang w:eastAsia="en-GB"/>
          <w14:ligatures w14:val="none"/>
        </w:rPr>
        <w:t>At the heart of Rose’s chapter is a set of interlocking arguments. First, gender is relational and constructed</w:t>
      </w:r>
      <w:r w:rsidR="002A3C2B">
        <w:rPr>
          <w:rFonts w:ascii="Times New Roman" w:eastAsia="Times New Roman" w:hAnsi="Times New Roman" w:cs="Times New Roman"/>
          <w:color w:val="000000"/>
          <w:kern w:val="0"/>
          <w:lang w:eastAsia="en-GB"/>
          <w14:ligatures w14:val="none"/>
        </w:rPr>
        <w:t>.</w:t>
      </w:r>
      <w:r w:rsidRPr="00766D92">
        <w:rPr>
          <w:rFonts w:ascii="Times New Roman" w:eastAsia="Times New Roman" w:hAnsi="Times New Roman" w:cs="Times New Roman"/>
          <w:color w:val="000000"/>
          <w:kern w:val="0"/>
          <w:lang w:eastAsia="en-GB"/>
          <w14:ligatures w14:val="none"/>
        </w:rPr>
        <w:t xml:space="preserve"> </w:t>
      </w:r>
      <w:r w:rsidR="002A3C2B">
        <w:rPr>
          <w:rFonts w:ascii="Times New Roman" w:eastAsia="Times New Roman" w:hAnsi="Times New Roman" w:cs="Times New Roman"/>
          <w:color w:val="000000"/>
          <w:kern w:val="0"/>
          <w:lang w:eastAsia="en-GB"/>
          <w14:ligatures w14:val="none"/>
        </w:rPr>
        <w:t>M</w:t>
      </w:r>
      <w:r w:rsidRPr="00766D92">
        <w:rPr>
          <w:rFonts w:ascii="Times New Roman" w:eastAsia="Times New Roman" w:hAnsi="Times New Roman" w:cs="Times New Roman"/>
          <w:color w:val="000000"/>
          <w:kern w:val="0"/>
          <w:lang w:eastAsia="en-GB"/>
          <w14:ligatures w14:val="none"/>
        </w:rPr>
        <w:t>asculinities and femininities are co-produced and historically contingent rather than fixed essences. Second, gender operates both discursively and materially</w:t>
      </w:r>
      <w:r w:rsidR="00A74B9A">
        <w:rPr>
          <w:rFonts w:ascii="Times New Roman" w:eastAsia="Times New Roman" w:hAnsi="Times New Roman" w:cs="Times New Roman"/>
          <w:color w:val="000000"/>
          <w:kern w:val="0"/>
          <w:lang w:eastAsia="en-GB"/>
          <w14:ligatures w14:val="none"/>
        </w:rPr>
        <w:t>. N</w:t>
      </w:r>
      <w:r w:rsidRPr="00766D92">
        <w:rPr>
          <w:rFonts w:ascii="Times New Roman" w:eastAsia="Times New Roman" w:hAnsi="Times New Roman" w:cs="Times New Roman"/>
          <w:color w:val="000000"/>
          <w:kern w:val="0"/>
          <w:lang w:eastAsia="en-GB"/>
          <w14:ligatures w14:val="none"/>
        </w:rPr>
        <w:t>ormative imaginaries</w:t>
      </w:r>
      <w:r w:rsidR="00A74B9A">
        <w:rPr>
          <w:rFonts w:ascii="Times New Roman" w:eastAsia="Times New Roman" w:hAnsi="Times New Roman" w:cs="Times New Roman"/>
          <w:color w:val="000000"/>
          <w:kern w:val="0"/>
          <w:lang w:eastAsia="en-GB"/>
          <w14:ligatures w14:val="none"/>
        </w:rPr>
        <w:t xml:space="preserve"> which are</w:t>
      </w:r>
      <w:r w:rsidRPr="00766D92">
        <w:rPr>
          <w:rFonts w:ascii="Times New Roman" w:eastAsia="Times New Roman" w:hAnsi="Times New Roman" w:cs="Times New Roman"/>
          <w:color w:val="000000"/>
          <w:kern w:val="0"/>
          <w:lang w:eastAsia="en-GB"/>
          <w14:ligatures w14:val="none"/>
        </w:rPr>
        <w:t xml:space="preserve"> ideas about honour, citizenship, and sexual propriety</w:t>
      </w:r>
      <w:r w:rsidR="00A74B9A">
        <w:rPr>
          <w:rFonts w:ascii="Times New Roman" w:eastAsia="Times New Roman" w:hAnsi="Times New Roman" w:cs="Times New Roman"/>
          <w:color w:val="000000"/>
          <w:kern w:val="0"/>
          <w:lang w:eastAsia="en-GB"/>
          <w14:ligatures w14:val="none"/>
        </w:rPr>
        <w:t xml:space="preserve"> that</w:t>
      </w:r>
      <w:r w:rsidRPr="00766D92">
        <w:rPr>
          <w:rFonts w:ascii="Times New Roman" w:eastAsia="Times New Roman" w:hAnsi="Times New Roman" w:cs="Times New Roman"/>
          <w:color w:val="000000"/>
          <w:kern w:val="0"/>
          <w:lang w:eastAsia="en-GB"/>
          <w14:ligatures w14:val="none"/>
        </w:rPr>
        <w:t xml:space="preserve"> shape institutions and are reproduced through everyday practices, administrative routines, and policy frameworks (Rose, 2010, </w:t>
      </w:r>
      <w:proofErr w:type="spellStart"/>
      <w:r w:rsidRPr="00766D92">
        <w:rPr>
          <w:rFonts w:ascii="Times New Roman" w:eastAsia="Times New Roman" w:hAnsi="Times New Roman" w:cs="Times New Roman"/>
          <w:color w:val="000000"/>
          <w:kern w:val="0"/>
          <w:lang w:eastAsia="en-GB"/>
          <w14:ligatures w14:val="none"/>
        </w:rPr>
        <w:t>ch.</w:t>
      </w:r>
      <w:proofErr w:type="spellEnd"/>
      <w:r w:rsidRPr="00766D92">
        <w:rPr>
          <w:rFonts w:ascii="Times New Roman" w:eastAsia="Times New Roman" w:hAnsi="Times New Roman" w:cs="Times New Roman"/>
          <w:color w:val="000000"/>
          <w:kern w:val="0"/>
          <w:lang w:eastAsia="en-GB"/>
          <w14:ligatures w14:val="none"/>
        </w:rPr>
        <w:t xml:space="preserve"> 1). Third, gender intersects with</w:t>
      </w:r>
      <w:r w:rsidR="00A74B9A">
        <w:rPr>
          <w:rFonts w:ascii="Times New Roman" w:eastAsia="Times New Roman" w:hAnsi="Times New Roman" w:cs="Times New Roman"/>
          <w:color w:val="000000"/>
          <w:kern w:val="0"/>
          <w:lang w:eastAsia="en-GB"/>
          <w14:ligatures w14:val="none"/>
        </w:rPr>
        <w:t xml:space="preserve"> </w:t>
      </w:r>
      <w:r w:rsidRPr="00766D92">
        <w:rPr>
          <w:rFonts w:ascii="Times New Roman" w:eastAsia="Times New Roman" w:hAnsi="Times New Roman" w:cs="Times New Roman"/>
          <w:color w:val="000000"/>
          <w:kern w:val="0"/>
          <w:lang w:eastAsia="en-GB"/>
          <w14:ligatures w14:val="none"/>
        </w:rPr>
        <w:t>class</w:t>
      </w:r>
      <w:r w:rsidR="00A74B9A">
        <w:rPr>
          <w:rFonts w:ascii="Times New Roman" w:eastAsia="Times New Roman" w:hAnsi="Times New Roman" w:cs="Times New Roman"/>
          <w:color w:val="000000"/>
          <w:kern w:val="0"/>
          <w:lang w:eastAsia="en-GB"/>
          <w14:ligatures w14:val="none"/>
        </w:rPr>
        <w:t xml:space="preserve"> and </w:t>
      </w:r>
      <w:r w:rsidRPr="00766D92">
        <w:rPr>
          <w:rFonts w:ascii="Times New Roman" w:eastAsia="Times New Roman" w:hAnsi="Times New Roman" w:cs="Times New Roman"/>
          <w:color w:val="000000"/>
          <w:kern w:val="0"/>
          <w:lang w:eastAsia="en-GB"/>
          <w14:ligatures w14:val="none"/>
        </w:rPr>
        <w:t>race</w:t>
      </w:r>
      <w:r w:rsidR="00A74B9A">
        <w:rPr>
          <w:rFonts w:ascii="Times New Roman" w:eastAsia="Times New Roman" w:hAnsi="Times New Roman" w:cs="Times New Roman"/>
          <w:color w:val="000000"/>
          <w:kern w:val="0"/>
          <w:lang w:eastAsia="en-GB"/>
          <w14:ligatures w14:val="none"/>
        </w:rPr>
        <w:t>, thus,</w:t>
      </w:r>
      <w:r w:rsidRPr="00766D92">
        <w:rPr>
          <w:rFonts w:ascii="Times New Roman" w:eastAsia="Times New Roman" w:hAnsi="Times New Roman" w:cs="Times New Roman"/>
          <w:color w:val="000000"/>
          <w:kern w:val="0"/>
          <w:lang w:eastAsia="en-GB"/>
          <w14:ligatures w14:val="none"/>
        </w:rPr>
        <w:t xml:space="preserve"> analytic attention to gender must be intersectional rather than siloed (Rose, 2010, </w:t>
      </w:r>
      <w:proofErr w:type="spellStart"/>
      <w:r w:rsidRPr="00766D92">
        <w:rPr>
          <w:rFonts w:ascii="Times New Roman" w:eastAsia="Times New Roman" w:hAnsi="Times New Roman" w:cs="Times New Roman"/>
          <w:color w:val="000000"/>
          <w:kern w:val="0"/>
          <w:lang w:eastAsia="en-GB"/>
          <w14:ligatures w14:val="none"/>
        </w:rPr>
        <w:t>ch.</w:t>
      </w:r>
      <w:proofErr w:type="spellEnd"/>
      <w:r w:rsidRPr="00766D92">
        <w:rPr>
          <w:rFonts w:ascii="Times New Roman" w:eastAsia="Times New Roman" w:hAnsi="Times New Roman" w:cs="Times New Roman"/>
          <w:color w:val="000000"/>
          <w:kern w:val="0"/>
          <w:lang w:eastAsia="en-GB"/>
          <w14:ligatures w14:val="none"/>
        </w:rPr>
        <w:t xml:space="preserve"> 1). These claims are framed not as speculative theory but as practical tools for historians and development analysts who wish to read political documents, state institutions, and international projects in ways that expose their gendered assumptions and consequences.</w:t>
      </w:r>
    </w:p>
    <w:p w14:paraId="70A3D556" w14:textId="549C8AD9" w:rsidR="00766D92" w:rsidRPr="00766D92" w:rsidRDefault="00766D92" w:rsidP="00766D92">
      <w:pPr>
        <w:spacing w:after="120" w:line="240" w:lineRule="auto"/>
        <w:rPr>
          <w:rFonts w:ascii="Times New Roman" w:eastAsia="Times New Roman" w:hAnsi="Times New Roman" w:cs="Times New Roman"/>
          <w:color w:val="000000"/>
          <w:kern w:val="0"/>
          <w:lang w:eastAsia="en-GB"/>
          <w14:ligatures w14:val="none"/>
        </w:rPr>
      </w:pPr>
      <w:r w:rsidRPr="00766D92">
        <w:rPr>
          <w:rFonts w:ascii="Times New Roman" w:eastAsia="Times New Roman" w:hAnsi="Times New Roman" w:cs="Times New Roman"/>
          <w:color w:val="000000"/>
          <w:kern w:val="0"/>
          <w:lang w:eastAsia="en-GB"/>
          <w14:ligatures w14:val="none"/>
        </w:rPr>
        <w:t>Rose’s intellectual background shapes her arguments. She is a historian of modern Britain, interested in empire and political culture. Rose blends cultural history with political and institutional analysis. She moves between discussions of how gender is represented in discourse and how institutions create gendered subjects. This approach suits international development scholarship well. It highlights how governance rely on gendered logic and how th</w:t>
      </w:r>
      <w:r w:rsidR="00A74B9A">
        <w:rPr>
          <w:rFonts w:ascii="Times New Roman" w:eastAsia="Times New Roman" w:hAnsi="Times New Roman" w:cs="Times New Roman"/>
          <w:color w:val="000000"/>
          <w:kern w:val="0"/>
          <w:lang w:eastAsia="en-GB"/>
          <w14:ligatures w14:val="none"/>
        </w:rPr>
        <w:t>is</w:t>
      </w:r>
      <w:r w:rsidRPr="00766D92">
        <w:rPr>
          <w:rFonts w:ascii="Times New Roman" w:eastAsia="Times New Roman" w:hAnsi="Times New Roman" w:cs="Times New Roman"/>
          <w:color w:val="000000"/>
          <w:kern w:val="0"/>
          <w:lang w:eastAsia="en-GB"/>
          <w14:ligatures w14:val="none"/>
        </w:rPr>
        <w:t xml:space="preserve"> affect</w:t>
      </w:r>
      <w:r w:rsidR="00A74B9A">
        <w:rPr>
          <w:rFonts w:ascii="Times New Roman" w:eastAsia="Times New Roman" w:hAnsi="Times New Roman" w:cs="Times New Roman"/>
          <w:color w:val="000000"/>
          <w:kern w:val="0"/>
          <w:lang w:eastAsia="en-GB"/>
          <w14:ligatures w14:val="none"/>
        </w:rPr>
        <w:t>s</w:t>
      </w:r>
      <w:r w:rsidRPr="00766D92">
        <w:rPr>
          <w:rFonts w:ascii="Times New Roman" w:eastAsia="Times New Roman" w:hAnsi="Times New Roman" w:cs="Times New Roman"/>
          <w:color w:val="000000"/>
          <w:kern w:val="0"/>
          <w:lang w:eastAsia="en-GB"/>
          <w14:ligatures w14:val="none"/>
        </w:rPr>
        <w:t xml:space="preserve"> outcomes and resources (Rose, 2010, </w:t>
      </w:r>
      <w:proofErr w:type="spellStart"/>
      <w:r w:rsidRPr="00766D92">
        <w:rPr>
          <w:rFonts w:ascii="Times New Roman" w:eastAsia="Times New Roman" w:hAnsi="Times New Roman" w:cs="Times New Roman"/>
          <w:color w:val="000000"/>
          <w:kern w:val="0"/>
          <w:lang w:eastAsia="en-GB"/>
          <w14:ligatures w14:val="none"/>
        </w:rPr>
        <w:t>ch.</w:t>
      </w:r>
      <w:proofErr w:type="spellEnd"/>
      <w:r w:rsidRPr="00766D92">
        <w:rPr>
          <w:rFonts w:ascii="Times New Roman" w:eastAsia="Times New Roman" w:hAnsi="Times New Roman" w:cs="Times New Roman"/>
          <w:color w:val="000000"/>
          <w:kern w:val="0"/>
          <w:lang w:eastAsia="en-GB"/>
          <w14:ligatures w14:val="none"/>
        </w:rPr>
        <w:t xml:space="preserve"> 1).</w:t>
      </w:r>
    </w:p>
    <w:p w14:paraId="583C3349" w14:textId="733AD544" w:rsidR="00766D92" w:rsidRPr="00766D92" w:rsidRDefault="00766D92" w:rsidP="00766D92">
      <w:pPr>
        <w:spacing w:after="120" w:line="240" w:lineRule="auto"/>
        <w:rPr>
          <w:rFonts w:ascii="Times New Roman" w:eastAsia="Times New Roman" w:hAnsi="Times New Roman" w:cs="Times New Roman"/>
          <w:color w:val="000000"/>
          <w:kern w:val="0"/>
          <w:lang w:eastAsia="en-GB"/>
          <w14:ligatures w14:val="none"/>
        </w:rPr>
      </w:pPr>
      <w:r w:rsidRPr="00766D92">
        <w:rPr>
          <w:rFonts w:ascii="Times New Roman" w:eastAsia="Times New Roman" w:hAnsi="Times New Roman" w:cs="Times New Roman"/>
          <w:color w:val="000000"/>
          <w:kern w:val="0"/>
          <w:lang w:eastAsia="en-GB"/>
          <w14:ligatures w14:val="none"/>
        </w:rPr>
        <w:t>The chapter’s theoretical stance is allied to, but distinct from, other classic interventions in gender theory. Rose builds on Joan Scott’s influential claim that gender is “a useful category of historical analysis,” but she emphasises the governmental and institutional dimensions of gendered meaning (Scott, 1986). Rose’s account also implicitly draws on Foucauldian ideas about power as diffuse and productive</w:t>
      </w:r>
      <w:r w:rsidR="00A74B9A">
        <w:rPr>
          <w:rFonts w:ascii="Times New Roman" w:eastAsia="Times New Roman" w:hAnsi="Times New Roman" w:cs="Times New Roman"/>
          <w:color w:val="000000"/>
          <w:kern w:val="0"/>
          <w:lang w:eastAsia="en-GB"/>
          <w14:ligatures w14:val="none"/>
        </w:rPr>
        <w:t>. P</w:t>
      </w:r>
      <w:r w:rsidRPr="00766D92">
        <w:rPr>
          <w:rFonts w:ascii="Times New Roman" w:eastAsia="Times New Roman" w:hAnsi="Times New Roman" w:cs="Times New Roman"/>
          <w:color w:val="000000"/>
          <w:kern w:val="0"/>
          <w:lang w:eastAsia="en-GB"/>
          <w14:ligatures w14:val="none"/>
        </w:rPr>
        <w:t>ower that operates through norms and disciplines rather than solely through overt coercion</w:t>
      </w:r>
      <w:r w:rsidR="00A74B9A">
        <w:rPr>
          <w:rFonts w:ascii="Times New Roman" w:eastAsia="Times New Roman" w:hAnsi="Times New Roman" w:cs="Times New Roman"/>
          <w:color w:val="000000"/>
          <w:kern w:val="0"/>
          <w:lang w:eastAsia="en-GB"/>
          <w14:ligatures w14:val="none"/>
        </w:rPr>
        <w:t>,</w:t>
      </w:r>
      <w:r w:rsidRPr="00766D92">
        <w:rPr>
          <w:rFonts w:ascii="Times New Roman" w:eastAsia="Times New Roman" w:hAnsi="Times New Roman" w:cs="Times New Roman"/>
          <w:color w:val="000000"/>
          <w:kern w:val="0"/>
          <w:lang w:eastAsia="en-GB"/>
          <w14:ligatures w14:val="none"/>
        </w:rPr>
        <w:t xml:space="preserve"> while remaining attentive to the material relations that historians of labour and empire have demonstrated (Foucault, 1978). By adopting a cultural-political approach, Rose positions gender analysis as a method for reading the political and administrative traces of power, rather than reducing gender to either pure discourse or simple socio-economic causality.</w:t>
      </w:r>
    </w:p>
    <w:p w14:paraId="188858B4" w14:textId="77777777" w:rsidR="00766D92" w:rsidRPr="00766D92" w:rsidRDefault="00766D92" w:rsidP="00766D92">
      <w:pPr>
        <w:spacing w:after="120" w:line="240" w:lineRule="auto"/>
        <w:rPr>
          <w:rFonts w:ascii="Times New Roman" w:eastAsia="Times New Roman" w:hAnsi="Times New Roman" w:cs="Times New Roman"/>
          <w:color w:val="000000"/>
          <w:kern w:val="0"/>
          <w:lang w:eastAsia="en-GB"/>
          <w14:ligatures w14:val="none"/>
        </w:rPr>
      </w:pPr>
      <w:r w:rsidRPr="00766D92">
        <w:rPr>
          <w:rFonts w:ascii="Times New Roman" w:eastAsia="Times New Roman" w:hAnsi="Times New Roman" w:cs="Times New Roman"/>
          <w:color w:val="000000"/>
          <w:kern w:val="0"/>
          <w:lang w:eastAsia="en-GB"/>
          <w14:ligatures w14:val="none"/>
        </w:rPr>
        <w:t xml:space="preserve">Rose uses a synthetic method in “Why Gender History?” She does not offer new archival discoveries but uses secondary literature and key examples to show how gendered analysis reveals new aspects of politics (Rose, 2010, </w:t>
      </w:r>
      <w:proofErr w:type="spellStart"/>
      <w:r w:rsidRPr="00766D92">
        <w:rPr>
          <w:rFonts w:ascii="Times New Roman" w:eastAsia="Times New Roman" w:hAnsi="Times New Roman" w:cs="Times New Roman"/>
          <w:color w:val="000000"/>
          <w:kern w:val="0"/>
          <w:lang w:eastAsia="en-GB"/>
          <w14:ligatures w14:val="none"/>
        </w:rPr>
        <w:t>ch.</w:t>
      </w:r>
      <w:proofErr w:type="spellEnd"/>
      <w:r w:rsidRPr="00766D92">
        <w:rPr>
          <w:rFonts w:ascii="Times New Roman" w:eastAsia="Times New Roman" w:hAnsi="Times New Roman" w:cs="Times New Roman"/>
          <w:color w:val="000000"/>
          <w:kern w:val="0"/>
          <w:lang w:eastAsia="en-GB"/>
          <w14:ligatures w14:val="none"/>
        </w:rPr>
        <w:t xml:space="preserve"> 1). This approach strengthens her work. Synthesis helps her blend cultural and institutional evidence, modelling how to connect policy, rhetoric, and ground-level practice. For students bridging theory and policy, this pluralism is especially useful.</w:t>
      </w:r>
    </w:p>
    <w:p w14:paraId="41BFBB6C" w14:textId="7F500B89" w:rsidR="00766D92" w:rsidRPr="00766D92" w:rsidRDefault="00766D92" w:rsidP="00766D92">
      <w:pPr>
        <w:spacing w:after="120" w:line="240" w:lineRule="auto"/>
        <w:rPr>
          <w:rFonts w:ascii="Times New Roman" w:eastAsia="Times New Roman" w:hAnsi="Times New Roman" w:cs="Times New Roman"/>
          <w:color w:val="000000"/>
          <w:kern w:val="0"/>
          <w:lang w:eastAsia="en-GB"/>
          <w14:ligatures w14:val="none"/>
        </w:rPr>
      </w:pPr>
      <w:r w:rsidRPr="00766D92">
        <w:rPr>
          <w:rFonts w:ascii="Times New Roman" w:eastAsia="Times New Roman" w:hAnsi="Times New Roman" w:cs="Times New Roman"/>
          <w:color w:val="000000"/>
          <w:kern w:val="0"/>
          <w:lang w:eastAsia="en-GB"/>
          <w14:ligatures w14:val="none"/>
        </w:rPr>
        <w:t xml:space="preserve">The chapter’s brief method brings some limits. As an introduction, it rarely analyses primary sources in depth. Readers must trust Rose’s points based on cited examples, not on sustained </w:t>
      </w:r>
      <w:r w:rsidRPr="00766D92">
        <w:rPr>
          <w:rFonts w:ascii="Times New Roman" w:eastAsia="Times New Roman" w:hAnsi="Times New Roman" w:cs="Times New Roman"/>
          <w:color w:val="000000"/>
          <w:kern w:val="0"/>
          <w:lang w:eastAsia="en-GB"/>
          <w14:ligatures w14:val="none"/>
        </w:rPr>
        <w:lastRenderedPageBreak/>
        <w:t>archival work. The cases focus on British and imperial contexts, which may not satisfy readers seeking broader global evidence. Some debates</w:t>
      </w:r>
      <w:r w:rsidR="00A74B9A">
        <w:rPr>
          <w:rFonts w:ascii="Times New Roman" w:eastAsia="Times New Roman" w:hAnsi="Times New Roman" w:cs="Times New Roman"/>
          <w:color w:val="000000"/>
          <w:kern w:val="0"/>
          <w:lang w:eastAsia="en-GB"/>
          <w14:ligatures w14:val="none"/>
        </w:rPr>
        <w:t>, for instance</w:t>
      </w:r>
      <w:r w:rsidRPr="00766D92">
        <w:rPr>
          <w:rFonts w:ascii="Times New Roman" w:eastAsia="Times New Roman" w:hAnsi="Times New Roman" w:cs="Times New Roman"/>
          <w:color w:val="000000"/>
          <w:kern w:val="0"/>
          <w:lang w:eastAsia="en-GB"/>
          <w14:ligatures w14:val="none"/>
        </w:rPr>
        <w:t xml:space="preserve"> those between biological and social-constructionist views or about queer theory’s impact</w:t>
      </w:r>
      <w:r w:rsidR="00A74B9A">
        <w:rPr>
          <w:rFonts w:ascii="Times New Roman" w:eastAsia="Times New Roman" w:hAnsi="Times New Roman" w:cs="Times New Roman"/>
          <w:color w:val="000000"/>
          <w:kern w:val="0"/>
          <w:lang w:eastAsia="en-GB"/>
          <w14:ligatures w14:val="none"/>
        </w:rPr>
        <w:t xml:space="preserve">, </w:t>
      </w:r>
      <w:r w:rsidRPr="00766D92">
        <w:rPr>
          <w:rFonts w:ascii="Times New Roman" w:eastAsia="Times New Roman" w:hAnsi="Times New Roman" w:cs="Times New Roman"/>
          <w:color w:val="000000"/>
          <w:kern w:val="0"/>
          <w:lang w:eastAsia="en-GB"/>
          <w14:ligatures w14:val="none"/>
        </w:rPr>
        <w:t>are mentioned but not fully explored. These limits do not undo the chapter’s main claims but mean Rose points more to future research than she resolves debates.</w:t>
      </w:r>
    </w:p>
    <w:p w14:paraId="7385E364" w14:textId="307627F2" w:rsidR="00766D92" w:rsidRPr="00766D92" w:rsidRDefault="00766D92" w:rsidP="00766D92">
      <w:pPr>
        <w:spacing w:after="120" w:line="240" w:lineRule="auto"/>
        <w:rPr>
          <w:rFonts w:ascii="Times New Roman" w:eastAsia="Times New Roman" w:hAnsi="Times New Roman" w:cs="Times New Roman"/>
          <w:color w:val="000000"/>
          <w:kern w:val="0"/>
          <w:lang w:eastAsia="en-GB"/>
          <w14:ligatures w14:val="none"/>
        </w:rPr>
      </w:pPr>
      <w:r w:rsidRPr="00766D92">
        <w:rPr>
          <w:rFonts w:ascii="Times New Roman" w:eastAsia="Times New Roman" w:hAnsi="Times New Roman" w:cs="Times New Roman"/>
          <w:color w:val="000000"/>
          <w:kern w:val="0"/>
          <w:lang w:eastAsia="en-GB"/>
          <w14:ligatures w14:val="none"/>
        </w:rPr>
        <w:t>Compared with other literature, Rose’s opening chapter offers a balanced, institutionally informed corrective to both early women's history recovery projects and purely cultural or textualist turns. It aligns with the shift from recovery to relational analysis that has characterised feminist historiography and complements masculinity studies (for example, Connell’s work on multiple masculinities) by insisting that gender must be read relationally across institutions and empires (Connell &amp; W., 1995). Its principal contribution for international development and political analysis is practical</w:t>
      </w:r>
      <w:r w:rsidR="00A74B9A">
        <w:rPr>
          <w:rFonts w:ascii="Times New Roman" w:eastAsia="Times New Roman" w:hAnsi="Times New Roman" w:cs="Times New Roman"/>
          <w:color w:val="000000"/>
          <w:kern w:val="0"/>
          <w:lang w:eastAsia="en-GB"/>
          <w14:ligatures w14:val="none"/>
        </w:rPr>
        <w:t>.</w:t>
      </w:r>
      <w:r w:rsidRPr="00766D92">
        <w:rPr>
          <w:rFonts w:ascii="Times New Roman" w:eastAsia="Times New Roman" w:hAnsi="Times New Roman" w:cs="Times New Roman"/>
          <w:color w:val="000000"/>
          <w:kern w:val="0"/>
          <w:lang w:eastAsia="en-GB"/>
          <w14:ligatures w14:val="none"/>
        </w:rPr>
        <w:t xml:space="preserve"> Rose supplies conceptual tools</w:t>
      </w:r>
      <w:r w:rsidR="004203C2">
        <w:rPr>
          <w:rFonts w:ascii="Times New Roman" w:eastAsia="Times New Roman" w:hAnsi="Times New Roman" w:cs="Times New Roman"/>
          <w:color w:val="000000"/>
          <w:kern w:val="0"/>
          <w:lang w:eastAsia="en-GB"/>
          <w14:ligatures w14:val="none"/>
        </w:rPr>
        <w:t xml:space="preserve"> that are </w:t>
      </w:r>
      <w:r w:rsidRPr="00766D92">
        <w:rPr>
          <w:rFonts w:ascii="Times New Roman" w:eastAsia="Times New Roman" w:hAnsi="Times New Roman" w:cs="Times New Roman"/>
          <w:color w:val="000000"/>
          <w:kern w:val="0"/>
          <w:lang w:eastAsia="en-GB"/>
          <w14:ligatures w14:val="none"/>
        </w:rPr>
        <w:t>gender as an organising principle, the notion of gendered institutions, and an intersectional frame</w:t>
      </w:r>
      <w:r w:rsidR="004203C2">
        <w:rPr>
          <w:rFonts w:ascii="Times New Roman" w:eastAsia="Times New Roman" w:hAnsi="Times New Roman" w:cs="Times New Roman"/>
          <w:color w:val="000000"/>
          <w:kern w:val="0"/>
          <w:lang w:eastAsia="en-GB"/>
          <w14:ligatures w14:val="none"/>
        </w:rPr>
        <w:t>,</w:t>
      </w:r>
      <w:r w:rsidRPr="00766D92">
        <w:rPr>
          <w:rFonts w:ascii="Times New Roman" w:eastAsia="Times New Roman" w:hAnsi="Times New Roman" w:cs="Times New Roman"/>
          <w:color w:val="000000"/>
          <w:kern w:val="0"/>
          <w:lang w:eastAsia="en-GB"/>
          <w14:ligatures w14:val="none"/>
        </w:rPr>
        <w:t xml:space="preserve"> that enable scholars and practitioners to interrogate policy design, implementation, and impact in ways that surface implicit normative commitments and distributional effects.</w:t>
      </w:r>
    </w:p>
    <w:p w14:paraId="72716644" w14:textId="6FB58C3F" w:rsidR="00766D92" w:rsidRPr="00766D92" w:rsidRDefault="004203C2" w:rsidP="00766D92">
      <w:pPr>
        <w:spacing w:after="120" w:line="24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Underg</w:t>
      </w:r>
      <w:r w:rsidR="00766D92" w:rsidRPr="00766D92">
        <w:rPr>
          <w:rFonts w:ascii="Times New Roman" w:eastAsia="Times New Roman" w:hAnsi="Times New Roman" w:cs="Times New Roman"/>
          <w:color w:val="000000"/>
          <w:kern w:val="0"/>
          <w:lang w:eastAsia="en-GB"/>
          <w14:ligatures w14:val="none"/>
        </w:rPr>
        <w:t>raduate students in international development and political science are Rose’s main audience</w:t>
      </w:r>
      <w:r>
        <w:rPr>
          <w:rFonts w:ascii="Times New Roman" w:eastAsia="Times New Roman" w:hAnsi="Times New Roman" w:cs="Times New Roman"/>
          <w:color w:val="000000"/>
          <w:kern w:val="0"/>
          <w:lang w:eastAsia="en-GB"/>
          <w14:ligatures w14:val="none"/>
        </w:rPr>
        <w:t>, I think</w:t>
      </w:r>
      <w:r w:rsidR="00766D92" w:rsidRPr="00766D92">
        <w:rPr>
          <w:rFonts w:ascii="Times New Roman" w:eastAsia="Times New Roman" w:hAnsi="Times New Roman" w:cs="Times New Roman"/>
          <w:color w:val="000000"/>
          <w:kern w:val="0"/>
          <w:lang w:eastAsia="en-GB"/>
          <w14:ligatures w14:val="none"/>
        </w:rPr>
        <w:t>. Her clear concepts and focus on institutions make this chapter an excellent guide for policy analysis</w:t>
      </w:r>
      <w:r>
        <w:rPr>
          <w:rFonts w:ascii="Times New Roman" w:eastAsia="Times New Roman" w:hAnsi="Times New Roman" w:cs="Times New Roman"/>
          <w:color w:val="000000"/>
          <w:kern w:val="0"/>
          <w:lang w:eastAsia="en-GB"/>
          <w14:ligatures w14:val="none"/>
        </w:rPr>
        <w:t xml:space="preserve"> and</w:t>
      </w:r>
      <w:r w:rsidR="00766D92" w:rsidRPr="00766D92">
        <w:rPr>
          <w:rFonts w:ascii="Times New Roman" w:eastAsia="Times New Roman" w:hAnsi="Times New Roman" w:cs="Times New Roman"/>
          <w:color w:val="000000"/>
          <w:kern w:val="0"/>
          <w:lang w:eastAsia="en-GB"/>
          <w14:ligatures w14:val="none"/>
        </w:rPr>
        <w:t xml:space="preserve"> evaluations that must address gender. For these students</w:t>
      </w:r>
      <w:r>
        <w:rPr>
          <w:rFonts w:ascii="Times New Roman" w:eastAsia="Times New Roman" w:hAnsi="Times New Roman" w:cs="Times New Roman"/>
          <w:color w:val="000000"/>
          <w:kern w:val="0"/>
          <w:lang w:eastAsia="en-GB"/>
          <w14:ligatures w14:val="none"/>
        </w:rPr>
        <w:t>, including myself</w:t>
      </w:r>
      <w:r w:rsidR="00766D92" w:rsidRPr="00766D92">
        <w:rPr>
          <w:rFonts w:ascii="Times New Roman" w:eastAsia="Times New Roman" w:hAnsi="Times New Roman" w:cs="Times New Roman"/>
          <w:color w:val="000000"/>
          <w:kern w:val="0"/>
          <w:lang w:eastAsia="en-GB"/>
          <w14:ligatures w14:val="none"/>
        </w:rPr>
        <w:t xml:space="preserve">, Rose provides both key terms and a method. </w:t>
      </w:r>
      <w:r>
        <w:rPr>
          <w:rFonts w:ascii="Times New Roman" w:eastAsia="Times New Roman" w:hAnsi="Times New Roman" w:cs="Times New Roman"/>
          <w:color w:val="000000"/>
          <w:kern w:val="0"/>
          <w:lang w:eastAsia="en-GB"/>
          <w14:ligatures w14:val="none"/>
        </w:rPr>
        <w:t>We</w:t>
      </w:r>
      <w:r w:rsidR="00766D92" w:rsidRPr="00766D92">
        <w:rPr>
          <w:rFonts w:ascii="Times New Roman" w:eastAsia="Times New Roman" w:hAnsi="Times New Roman" w:cs="Times New Roman"/>
          <w:color w:val="000000"/>
          <w:kern w:val="0"/>
          <w:lang w:eastAsia="en-GB"/>
          <w14:ligatures w14:val="none"/>
        </w:rPr>
        <w:t xml:space="preserve"> can use her approach to analyse policies, question administrative practices, and place gender within broader power structures.</w:t>
      </w:r>
    </w:p>
    <w:p w14:paraId="036D30F9" w14:textId="1A7EC50B" w:rsidR="00766D92" w:rsidRPr="00766D92" w:rsidRDefault="00766D92" w:rsidP="00766D92">
      <w:pPr>
        <w:spacing w:after="120" w:line="240" w:lineRule="auto"/>
        <w:rPr>
          <w:rFonts w:ascii="Times New Roman" w:eastAsia="Times New Roman" w:hAnsi="Times New Roman" w:cs="Times New Roman"/>
          <w:color w:val="000000"/>
          <w:kern w:val="0"/>
          <w:lang w:eastAsia="en-GB"/>
          <w14:ligatures w14:val="none"/>
        </w:rPr>
      </w:pPr>
      <w:r w:rsidRPr="00766D92">
        <w:rPr>
          <w:rFonts w:ascii="Times New Roman" w:eastAsia="Times New Roman" w:hAnsi="Times New Roman" w:cs="Times New Roman"/>
          <w:color w:val="000000"/>
          <w:kern w:val="0"/>
          <w:lang w:eastAsia="en-GB"/>
          <w14:ligatures w14:val="none"/>
        </w:rPr>
        <w:t>In sum</w:t>
      </w:r>
      <w:r w:rsidR="004203C2">
        <w:rPr>
          <w:rFonts w:ascii="Times New Roman" w:eastAsia="Times New Roman" w:hAnsi="Times New Roman" w:cs="Times New Roman"/>
          <w:color w:val="000000"/>
          <w:kern w:val="0"/>
          <w:lang w:eastAsia="en-GB"/>
          <w14:ligatures w14:val="none"/>
        </w:rPr>
        <w:t>mary</w:t>
      </w:r>
      <w:r w:rsidRPr="00766D92">
        <w:rPr>
          <w:rFonts w:ascii="Times New Roman" w:eastAsia="Times New Roman" w:hAnsi="Times New Roman" w:cs="Times New Roman"/>
          <w:color w:val="000000"/>
          <w:kern w:val="0"/>
          <w:lang w:eastAsia="en-GB"/>
          <w14:ligatures w14:val="none"/>
        </w:rPr>
        <w:t>, “Why Gender History?” achieves its central aims</w:t>
      </w:r>
      <w:r w:rsidR="004203C2">
        <w:rPr>
          <w:rFonts w:ascii="Times New Roman" w:eastAsia="Times New Roman" w:hAnsi="Times New Roman" w:cs="Times New Roman"/>
          <w:color w:val="000000"/>
          <w:kern w:val="0"/>
          <w:lang w:eastAsia="en-GB"/>
          <w14:ligatures w14:val="none"/>
        </w:rPr>
        <w:t>. I</w:t>
      </w:r>
      <w:r w:rsidRPr="00766D92">
        <w:rPr>
          <w:rFonts w:ascii="Times New Roman" w:eastAsia="Times New Roman" w:hAnsi="Times New Roman" w:cs="Times New Roman"/>
          <w:color w:val="000000"/>
          <w:kern w:val="0"/>
          <w:lang w:eastAsia="en-GB"/>
          <w14:ligatures w14:val="none"/>
        </w:rPr>
        <w:t xml:space="preserve">t persuasively explains why gender matters, provides a coherent analytical framework, and points toward research strategies that combine discourse and institutional evidence (Rose, 2010, </w:t>
      </w:r>
      <w:proofErr w:type="spellStart"/>
      <w:r w:rsidRPr="00766D92">
        <w:rPr>
          <w:rFonts w:ascii="Times New Roman" w:eastAsia="Times New Roman" w:hAnsi="Times New Roman" w:cs="Times New Roman"/>
          <w:color w:val="000000"/>
          <w:kern w:val="0"/>
          <w:lang w:eastAsia="en-GB"/>
          <w14:ligatures w14:val="none"/>
        </w:rPr>
        <w:t>ch.</w:t>
      </w:r>
      <w:proofErr w:type="spellEnd"/>
      <w:r w:rsidRPr="00766D92">
        <w:rPr>
          <w:rFonts w:ascii="Times New Roman" w:eastAsia="Times New Roman" w:hAnsi="Times New Roman" w:cs="Times New Roman"/>
          <w:color w:val="000000"/>
          <w:kern w:val="0"/>
          <w:lang w:eastAsia="en-GB"/>
          <w14:ligatures w14:val="none"/>
        </w:rPr>
        <w:t xml:space="preserve"> 1). Its main shortcomings</w:t>
      </w:r>
      <w:r w:rsidR="004203C2">
        <w:rPr>
          <w:rFonts w:ascii="Times New Roman" w:eastAsia="Times New Roman" w:hAnsi="Times New Roman" w:cs="Times New Roman"/>
          <w:color w:val="000000"/>
          <w:kern w:val="0"/>
          <w:lang w:eastAsia="en-GB"/>
          <w14:ligatures w14:val="none"/>
        </w:rPr>
        <w:t>,</w:t>
      </w:r>
      <w:r w:rsidRPr="00766D92">
        <w:rPr>
          <w:rFonts w:ascii="Times New Roman" w:eastAsia="Times New Roman" w:hAnsi="Times New Roman" w:cs="Times New Roman"/>
          <w:color w:val="000000"/>
          <w:kern w:val="0"/>
          <w:lang w:eastAsia="en-GB"/>
          <w14:ligatures w14:val="none"/>
        </w:rPr>
        <w:t xml:space="preserve"> limited empirical depth in the chapter itself and a comparative tilt toward British and imperial examples</w:t>
      </w:r>
      <w:r w:rsidR="004203C2">
        <w:rPr>
          <w:rFonts w:ascii="Times New Roman" w:eastAsia="Times New Roman" w:hAnsi="Times New Roman" w:cs="Times New Roman"/>
          <w:color w:val="000000"/>
          <w:kern w:val="0"/>
          <w:lang w:eastAsia="en-GB"/>
          <w14:ligatures w14:val="none"/>
        </w:rPr>
        <w:t xml:space="preserve">, </w:t>
      </w:r>
      <w:r w:rsidRPr="00766D92">
        <w:rPr>
          <w:rFonts w:ascii="Times New Roman" w:eastAsia="Times New Roman" w:hAnsi="Times New Roman" w:cs="Times New Roman"/>
          <w:color w:val="000000"/>
          <w:kern w:val="0"/>
          <w:lang w:eastAsia="en-GB"/>
          <w14:ligatures w14:val="none"/>
        </w:rPr>
        <w:t xml:space="preserve">are compensated by </w:t>
      </w:r>
      <w:r w:rsidR="004203C2">
        <w:rPr>
          <w:rFonts w:ascii="Times New Roman" w:eastAsia="Times New Roman" w:hAnsi="Times New Roman" w:cs="Times New Roman"/>
          <w:color w:val="000000"/>
          <w:kern w:val="0"/>
          <w:lang w:eastAsia="en-GB"/>
          <w14:ligatures w14:val="none"/>
        </w:rPr>
        <w:t xml:space="preserve">later </w:t>
      </w:r>
      <w:r w:rsidRPr="00766D92">
        <w:rPr>
          <w:rFonts w:ascii="Times New Roman" w:eastAsia="Times New Roman" w:hAnsi="Times New Roman" w:cs="Times New Roman"/>
          <w:color w:val="000000"/>
          <w:kern w:val="0"/>
          <w:lang w:eastAsia="en-GB"/>
          <w14:ligatures w14:val="none"/>
        </w:rPr>
        <w:t xml:space="preserve">clarity. For academic students embarking on research in international development and political </w:t>
      </w:r>
      <w:r w:rsidR="004203C2">
        <w:rPr>
          <w:rFonts w:ascii="Times New Roman" w:eastAsia="Times New Roman" w:hAnsi="Times New Roman" w:cs="Times New Roman"/>
          <w:color w:val="000000"/>
          <w:kern w:val="0"/>
          <w:lang w:eastAsia="en-GB"/>
          <w14:ligatures w14:val="none"/>
        </w:rPr>
        <w:t>science</w:t>
      </w:r>
      <w:r w:rsidRPr="00766D92">
        <w:rPr>
          <w:rFonts w:ascii="Times New Roman" w:eastAsia="Times New Roman" w:hAnsi="Times New Roman" w:cs="Times New Roman"/>
          <w:color w:val="000000"/>
          <w:kern w:val="0"/>
          <w:lang w:eastAsia="en-GB"/>
          <w14:ligatures w14:val="none"/>
        </w:rPr>
        <w:t>, the chapter is an essential starting point</w:t>
      </w:r>
      <w:r w:rsidR="004203C2">
        <w:rPr>
          <w:rFonts w:ascii="Times New Roman" w:eastAsia="Times New Roman" w:hAnsi="Times New Roman" w:cs="Times New Roman"/>
          <w:color w:val="000000"/>
          <w:kern w:val="0"/>
          <w:lang w:eastAsia="en-GB"/>
          <w14:ligatures w14:val="none"/>
        </w:rPr>
        <w:t xml:space="preserve"> that, I think,</w:t>
      </w:r>
      <w:r w:rsidRPr="00766D92">
        <w:rPr>
          <w:rFonts w:ascii="Times New Roman" w:eastAsia="Times New Roman" w:hAnsi="Times New Roman" w:cs="Times New Roman"/>
          <w:color w:val="000000"/>
          <w:kern w:val="0"/>
          <w:lang w:eastAsia="en-GB"/>
          <w14:ligatures w14:val="none"/>
        </w:rPr>
        <w:t xml:space="preserve"> it should be paired with region-specific case studies and theoretical works</w:t>
      </w:r>
      <w:r w:rsidR="004203C2">
        <w:rPr>
          <w:rFonts w:ascii="Times New Roman" w:eastAsia="Times New Roman" w:hAnsi="Times New Roman" w:cs="Times New Roman"/>
          <w:color w:val="000000"/>
          <w:kern w:val="0"/>
          <w:lang w:eastAsia="en-GB"/>
          <w14:ligatures w14:val="none"/>
        </w:rPr>
        <w:t xml:space="preserve">, which basically this class is for </w:t>
      </w:r>
      <w:r w:rsidRPr="00766D92">
        <w:rPr>
          <w:rFonts w:ascii="Times New Roman" w:eastAsia="Times New Roman" w:hAnsi="Times New Roman" w:cs="Times New Roman"/>
          <w:color w:val="000000"/>
          <w:kern w:val="0"/>
          <w:lang w:eastAsia="en-GB"/>
          <w14:ligatures w14:val="none"/>
        </w:rPr>
        <w:t>(Scott, Connell, Foucauldian and postcolonial feminist texts) to build a robust, empirically grounded research programme.</w:t>
      </w:r>
    </w:p>
    <w:p w14:paraId="0EFC7416" w14:textId="77777777" w:rsidR="00766D92" w:rsidRPr="00766D92" w:rsidRDefault="00766D92" w:rsidP="00766D92">
      <w:pPr>
        <w:spacing w:after="120" w:line="240" w:lineRule="auto"/>
        <w:rPr>
          <w:rFonts w:ascii="Times New Roman" w:eastAsia="Times New Roman" w:hAnsi="Times New Roman" w:cs="Times New Roman"/>
          <w:color w:val="000000"/>
          <w:kern w:val="0"/>
          <w:lang w:eastAsia="en-GB"/>
          <w14:ligatures w14:val="none"/>
        </w:rPr>
      </w:pPr>
      <w:r w:rsidRPr="00766D92">
        <w:rPr>
          <w:rFonts w:ascii="Times New Roman" w:eastAsia="Times New Roman" w:hAnsi="Times New Roman" w:cs="Times New Roman"/>
          <w:color w:val="000000"/>
          <w:kern w:val="0"/>
          <w:lang w:eastAsia="en-GB"/>
          <w14:ligatures w14:val="none"/>
        </w:rPr>
        <w:t>Bibliography</w:t>
      </w:r>
    </w:p>
    <w:p w14:paraId="05FE293E" w14:textId="77777777" w:rsidR="00766D92" w:rsidRPr="00766D92" w:rsidRDefault="00766D92" w:rsidP="00766D92">
      <w:pPr>
        <w:spacing w:after="120" w:line="240" w:lineRule="auto"/>
        <w:rPr>
          <w:rFonts w:ascii="Times New Roman" w:eastAsia="Times New Roman" w:hAnsi="Times New Roman" w:cs="Times New Roman"/>
          <w:color w:val="000000"/>
          <w:kern w:val="0"/>
          <w:lang w:eastAsia="en-GB"/>
          <w14:ligatures w14:val="none"/>
        </w:rPr>
      </w:pPr>
      <w:r w:rsidRPr="00766D92">
        <w:rPr>
          <w:rFonts w:ascii="Times New Roman" w:eastAsia="Times New Roman" w:hAnsi="Times New Roman" w:cs="Times New Roman"/>
          <w:color w:val="000000"/>
          <w:kern w:val="0"/>
          <w:lang w:eastAsia="en-GB"/>
          <w14:ligatures w14:val="none"/>
        </w:rPr>
        <w:t>Rose, S.O., 2010. What</w:t>
      </w:r>
      <w:r w:rsidRPr="00766D92">
        <w:rPr>
          <w:rFonts w:ascii="Times New Roman" w:eastAsia="Times New Roman" w:hAnsi="Times New Roman" w:cs="Times New Roman"/>
          <w:i/>
          <w:iCs/>
          <w:color w:val="000000"/>
          <w:kern w:val="0"/>
          <w:lang w:eastAsia="en-GB"/>
          <w14:ligatures w14:val="none"/>
        </w:rPr>
        <w:t> Is Gender History? Polity.</w:t>
      </w:r>
      <w:r w:rsidRPr="00766D92">
        <w:rPr>
          <w:rFonts w:ascii="Times New Roman" w:eastAsia="Times New Roman" w:hAnsi="Times New Roman" w:cs="Times New Roman"/>
          <w:color w:val="000000"/>
          <w:kern w:val="0"/>
          <w:lang w:eastAsia="en-GB"/>
          <w14:ligatures w14:val="none"/>
        </w:rPr>
        <w:t> (See chapter 1: “Why Gender History?”)</w:t>
      </w:r>
    </w:p>
    <w:p w14:paraId="0280DA50" w14:textId="77777777" w:rsidR="00766D92" w:rsidRPr="00766D92" w:rsidRDefault="00766D92" w:rsidP="00766D92">
      <w:pPr>
        <w:spacing w:after="120" w:line="240" w:lineRule="auto"/>
        <w:rPr>
          <w:rFonts w:ascii="Times New Roman" w:eastAsia="Times New Roman" w:hAnsi="Times New Roman" w:cs="Times New Roman"/>
          <w:color w:val="000000"/>
          <w:kern w:val="0"/>
          <w:lang w:eastAsia="en-GB"/>
          <w14:ligatures w14:val="none"/>
        </w:rPr>
      </w:pPr>
      <w:r w:rsidRPr="00766D92">
        <w:rPr>
          <w:rFonts w:ascii="Times New Roman" w:eastAsia="Times New Roman" w:hAnsi="Times New Roman" w:cs="Times New Roman"/>
          <w:color w:val="000000"/>
          <w:kern w:val="0"/>
          <w:lang w:eastAsia="en-GB"/>
          <w14:ligatures w14:val="none"/>
        </w:rPr>
        <w:t>Scott, J.W., 1986. “Gender: A Useful Category of Historical Analysis.”</w:t>
      </w:r>
    </w:p>
    <w:p w14:paraId="2443D7AD" w14:textId="77777777" w:rsidR="00766D92" w:rsidRPr="00766D92" w:rsidRDefault="00766D92" w:rsidP="00766D92">
      <w:pPr>
        <w:spacing w:after="120" w:line="240" w:lineRule="auto"/>
        <w:rPr>
          <w:rFonts w:ascii="Times New Roman" w:eastAsia="Times New Roman" w:hAnsi="Times New Roman" w:cs="Times New Roman"/>
          <w:color w:val="000000"/>
          <w:kern w:val="0"/>
          <w:lang w:eastAsia="en-GB"/>
          <w14:ligatures w14:val="none"/>
        </w:rPr>
      </w:pPr>
      <w:r w:rsidRPr="00766D92">
        <w:rPr>
          <w:rFonts w:ascii="Times New Roman" w:eastAsia="Times New Roman" w:hAnsi="Times New Roman" w:cs="Times New Roman"/>
          <w:color w:val="000000"/>
          <w:kern w:val="0"/>
          <w:lang w:eastAsia="en-GB"/>
          <w14:ligatures w14:val="none"/>
        </w:rPr>
        <w:t>Connell, R.W., 1995.</w:t>
      </w:r>
      <w:r w:rsidRPr="00766D92">
        <w:rPr>
          <w:rFonts w:ascii="Times New Roman" w:eastAsia="Times New Roman" w:hAnsi="Times New Roman" w:cs="Times New Roman"/>
          <w:i/>
          <w:iCs/>
          <w:color w:val="000000"/>
          <w:kern w:val="0"/>
          <w:lang w:eastAsia="en-GB"/>
          <w14:ligatures w14:val="none"/>
        </w:rPr>
        <w:t>Masculinities</w:t>
      </w:r>
      <w:r w:rsidRPr="00766D92">
        <w:rPr>
          <w:rFonts w:ascii="Times New Roman" w:eastAsia="Times New Roman" w:hAnsi="Times New Roman" w:cs="Times New Roman"/>
          <w:color w:val="000000"/>
          <w:kern w:val="0"/>
          <w:lang w:eastAsia="en-GB"/>
          <w14:ligatures w14:val="none"/>
        </w:rPr>
        <w:t>.</w:t>
      </w:r>
    </w:p>
    <w:p w14:paraId="578013C5" w14:textId="107FC718" w:rsidR="00913039" w:rsidRDefault="00913039" w:rsidP="00766D92">
      <w:pPr>
        <w:pStyle w:val="NormalWeb"/>
      </w:pPr>
    </w:p>
    <w:sectPr w:rsidR="009130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981"/>
    <w:rsid w:val="002A3C2B"/>
    <w:rsid w:val="004203C2"/>
    <w:rsid w:val="00742D7D"/>
    <w:rsid w:val="00766D92"/>
    <w:rsid w:val="00913039"/>
    <w:rsid w:val="00A74B9A"/>
    <w:rsid w:val="00EE4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B0EEF"/>
  <w15:chartTrackingRefBased/>
  <w15:docId w15:val="{60801C85-2566-4E4D-A686-699E2BEA4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9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49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49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49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E49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49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9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9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9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9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49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49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49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E49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49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9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9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981"/>
    <w:rPr>
      <w:rFonts w:eastAsiaTheme="majorEastAsia" w:cstheme="majorBidi"/>
      <w:color w:val="272727" w:themeColor="text1" w:themeTint="D8"/>
    </w:rPr>
  </w:style>
  <w:style w:type="paragraph" w:styleId="Title">
    <w:name w:val="Title"/>
    <w:basedOn w:val="Normal"/>
    <w:next w:val="Normal"/>
    <w:link w:val="TitleChar"/>
    <w:uiPriority w:val="10"/>
    <w:qFormat/>
    <w:rsid w:val="00EE49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9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9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9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981"/>
    <w:pPr>
      <w:spacing w:before="160"/>
      <w:jc w:val="center"/>
    </w:pPr>
    <w:rPr>
      <w:i/>
      <w:iCs/>
      <w:color w:val="404040" w:themeColor="text1" w:themeTint="BF"/>
    </w:rPr>
  </w:style>
  <w:style w:type="character" w:customStyle="1" w:styleId="QuoteChar">
    <w:name w:val="Quote Char"/>
    <w:basedOn w:val="DefaultParagraphFont"/>
    <w:link w:val="Quote"/>
    <w:uiPriority w:val="29"/>
    <w:rsid w:val="00EE4981"/>
    <w:rPr>
      <w:i/>
      <w:iCs/>
      <w:color w:val="404040" w:themeColor="text1" w:themeTint="BF"/>
    </w:rPr>
  </w:style>
  <w:style w:type="paragraph" w:styleId="ListParagraph">
    <w:name w:val="List Paragraph"/>
    <w:basedOn w:val="Normal"/>
    <w:uiPriority w:val="34"/>
    <w:qFormat/>
    <w:rsid w:val="00EE4981"/>
    <w:pPr>
      <w:ind w:left="720"/>
      <w:contextualSpacing/>
    </w:pPr>
  </w:style>
  <w:style w:type="character" w:styleId="IntenseEmphasis">
    <w:name w:val="Intense Emphasis"/>
    <w:basedOn w:val="DefaultParagraphFont"/>
    <w:uiPriority w:val="21"/>
    <w:qFormat/>
    <w:rsid w:val="00EE4981"/>
    <w:rPr>
      <w:i/>
      <w:iCs/>
      <w:color w:val="0F4761" w:themeColor="accent1" w:themeShade="BF"/>
    </w:rPr>
  </w:style>
  <w:style w:type="paragraph" w:styleId="IntenseQuote">
    <w:name w:val="Intense Quote"/>
    <w:basedOn w:val="Normal"/>
    <w:next w:val="Normal"/>
    <w:link w:val="IntenseQuoteChar"/>
    <w:uiPriority w:val="30"/>
    <w:qFormat/>
    <w:rsid w:val="00EE49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4981"/>
    <w:rPr>
      <w:i/>
      <w:iCs/>
      <w:color w:val="0F4761" w:themeColor="accent1" w:themeShade="BF"/>
    </w:rPr>
  </w:style>
  <w:style w:type="character" w:styleId="IntenseReference">
    <w:name w:val="Intense Reference"/>
    <w:basedOn w:val="DefaultParagraphFont"/>
    <w:uiPriority w:val="32"/>
    <w:qFormat/>
    <w:rsid w:val="00EE4981"/>
    <w:rPr>
      <w:b/>
      <w:bCs/>
      <w:smallCaps/>
      <w:color w:val="0F4761" w:themeColor="accent1" w:themeShade="BF"/>
      <w:spacing w:val="5"/>
    </w:rPr>
  </w:style>
  <w:style w:type="paragraph" w:styleId="NormalWeb">
    <w:name w:val="Normal (Web)"/>
    <w:basedOn w:val="Normal"/>
    <w:uiPriority w:val="99"/>
    <w:unhideWhenUsed/>
    <w:rsid w:val="00EE498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E4981"/>
    <w:rPr>
      <w:b/>
      <w:bCs/>
    </w:rPr>
  </w:style>
  <w:style w:type="character" w:customStyle="1" w:styleId="apple-converted-space">
    <w:name w:val="apple-converted-space"/>
    <w:basedOn w:val="DefaultParagraphFont"/>
    <w:rsid w:val="00EE4981"/>
  </w:style>
  <w:style w:type="character" w:styleId="Emphasis">
    <w:name w:val="Emphasis"/>
    <w:basedOn w:val="DefaultParagraphFont"/>
    <w:uiPriority w:val="20"/>
    <w:qFormat/>
    <w:rsid w:val="00EE49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581491">
      <w:bodyDiv w:val="1"/>
      <w:marLeft w:val="0"/>
      <w:marRight w:val="0"/>
      <w:marTop w:val="0"/>
      <w:marBottom w:val="0"/>
      <w:divBdr>
        <w:top w:val="none" w:sz="0" w:space="0" w:color="auto"/>
        <w:left w:val="none" w:sz="0" w:space="0" w:color="auto"/>
        <w:bottom w:val="none" w:sz="0" w:space="0" w:color="auto"/>
        <w:right w:val="none" w:sz="0" w:space="0" w:color="auto"/>
      </w:divBdr>
    </w:div>
    <w:div w:id="1288269191">
      <w:bodyDiv w:val="1"/>
      <w:marLeft w:val="0"/>
      <w:marRight w:val="0"/>
      <w:marTop w:val="0"/>
      <w:marBottom w:val="0"/>
      <w:divBdr>
        <w:top w:val="none" w:sz="0" w:space="0" w:color="auto"/>
        <w:left w:val="none" w:sz="0" w:space="0" w:color="auto"/>
        <w:bottom w:val="none" w:sz="0" w:space="0" w:color="auto"/>
        <w:right w:val="none" w:sz="0" w:space="0" w:color="auto"/>
      </w:divBdr>
      <w:divsChild>
        <w:div w:id="672805940">
          <w:marLeft w:val="0"/>
          <w:marRight w:val="0"/>
          <w:marTop w:val="120"/>
          <w:marBottom w:val="120"/>
          <w:divBdr>
            <w:top w:val="none" w:sz="0" w:space="0" w:color="auto"/>
            <w:left w:val="none" w:sz="0" w:space="0" w:color="auto"/>
            <w:bottom w:val="none" w:sz="0" w:space="0" w:color="auto"/>
            <w:right w:val="none" w:sz="0" w:space="0" w:color="auto"/>
          </w:divBdr>
        </w:div>
        <w:div w:id="1277130814">
          <w:marLeft w:val="0"/>
          <w:marRight w:val="0"/>
          <w:marTop w:val="120"/>
          <w:marBottom w:val="120"/>
          <w:divBdr>
            <w:top w:val="none" w:sz="0" w:space="0" w:color="auto"/>
            <w:left w:val="none" w:sz="0" w:space="0" w:color="auto"/>
            <w:bottom w:val="none" w:sz="0" w:space="0" w:color="auto"/>
            <w:right w:val="none" w:sz="0" w:space="0" w:color="auto"/>
          </w:divBdr>
        </w:div>
        <w:div w:id="442500610">
          <w:marLeft w:val="0"/>
          <w:marRight w:val="0"/>
          <w:marTop w:val="120"/>
          <w:marBottom w:val="120"/>
          <w:divBdr>
            <w:top w:val="none" w:sz="0" w:space="0" w:color="auto"/>
            <w:left w:val="none" w:sz="0" w:space="0" w:color="auto"/>
            <w:bottom w:val="none" w:sz="0" w:space="0" w:color="auto"/>
            <w:right w:val="none" w:sz="0" w:space="0" w:color="auto"/>
          </w:divBdr>
        </w:div>
        <w:div w:id="1937597587">
          <w:marLeft w:val="0"/>
          <w:marRight w:val="0"/>
          <w:marTop w:val="120"/>
          <w:marBottom w:val="120"/>
          <w:divBdr>
            <w:top w:val="none" w:sz="0" w:space="0" w:color="auto"/>
            <w:left w:val="none" w:sz="0" w:space="0" w:color="auto"/>
            <w:bottom w:val="none" w:sz="0" w:space="0" w:color="auto"/>
            <w:right w:val="none" w:sz="0" w:space="0" w:color="auto"/>
          </w:divBdr>
        </w:div>
        <w:div w:id="210072518">
          <w:marLeft w:val="0"/>
          <w:marRight w:val="0"/>
          <w:marTop w:val="120"/>
          <w:marBottom w:val="120"/>
          <w:divBdr>
            <w:top w:val="none" w:sz="0" w:space="0" w:color="auto"/>
            <w:left w:val="none" w:sz="0" w:space="0" w:color="auto"/>
            <w:bottom w:val="none" w:sz="0" w:space="0" w:color="auto"/>
            <w:right w:val="none" w:sz="0" w:space="0" w:color="auto"/>
          </w:divBdr>
        </w:div>
        <w:div w:id="760443365">
          <w:marLeft w:val="0"/>
          <w:marRight w:val="0"/>
          <w:marTop w:val="120"/>
          <w:marBottom w:val="120"/>
          <w:divBdr>
            <w:top w:val="none" w:sz="0" w:space="0" w:color="auto"/>
            <w:left w:val="none" w:sz="0" w:space="0" w:color="auto"/>
            <w:bottom w:val="none" w:sz="0" w:space="0" w:color="auto"/>
            <w:right w:val="none" w:sz="0" w:space="0" w:color="auto"/>
          </w:divBdr>
        </w:div>
        <w:div w:id="118766940">
          <w:marLeft w:val="0"/>
          <w:marRight w:val="0"/>
          <w:marTop w:val="120"/>
          <w:marBottom w:val="120"/>
          <w:divBdr>
            <w:top w:val="none" w:sz="0" w:space="0" w:color="auto"/>
            <w:left w:val="none" w:sz="0" w:space="0" w:color="auto"/>
            <w:bottom w:val="none" w:sz="0" w:space="0" w:color="auto"/>
            <w:right w:val="none" w:sz="0" w:space="0" w:color="auto"/>
          </w:divBdr>
        </w:div>
        <w:div w:id="181475289">
          <w:marLeft w:val="0"/>
          <w:marRight w:val="0"/>
          <w:marTop w:val="120"/>
          <w:marBottom w:val="120"/>
          <w:divBdr>
            <w:top w:val="none" w:sz="0" w:space="0" w:color="auto"/>
            <w:left w:val="none" w:sz="0" w:space="0" w:color="auto"/>
            <w:bottom w:val="none" w:sz="0" w:space="0" w:color="auto"/>
            <w:right w:val="none" w:sz="0" w:space="0" w:color="auto"/>
          </w:divBdr>
        </w:div>
        <w:div w:id="1749843661">
          <w:marLeft w:val="0"/>
          <w:marRight w:val="0"/>
          <w:marTop w:val="120"/>
          <w:marBottom w:val="120"/>
          <w:divBdr>
            <w:top w:val="none" w:sz="0" w:space="0" w:color="auto"/>
            <w:left w:val="none" w:sz="0" w:space="0" w:color="auto"/>
            <w:bottom w:val="none" w:sz="0" w:space="0" w:color="auto"/>
            <w:right w:val="none" w:sz="0" w:space="0" w:color="auto"/>
          </w:divBdr>
        </w:div>
        <w:div w:id="909386576">
          <w:marLeft w:val="0"/>
          <w:marRight w:val="0"/>
          <w:marTop w:val="120"/>
          <w:marBottom w:val="120"/>
          <w:divBdr>
            <w:top w:val="none" w:sz="0" w:space="0" w:color="auto"/>
            <w:left w:val="none" w:sz="0" w:space="0" w:color="auto"/>
            <w:bottom w:val="none" w:sz="0" w:space="0" w:color="auto"/>
            <w:right w:val="none" w:sz="0" w:space="0" w:color="auto"/>
          </w:divBdr>
        </w:div>
        <w:div w:id="1371569853">
          <w:marLeft w:val="0"/>
          <w:marRight w:val="0"/>
          <w:marTop w:val="120"/>
          <w:marBottom w:val="120"/>
          <w:divBdr>
            <w:top w:val="none" w:sz="0" w:space="0" w:color="auto"/>
            <w:left w:val="none" w:sz="0" w:space="0" w:color="auto"/>
            <w:bottom w:val="none" w:sz="0" w:space="0" w:color="auto"/>
            <w:right w:val="none" w:sz="0" w:space="0" w:color="auto"/>
          </w:divBdr>
        </w:div>
        <w:div w:id="1021513528">
          <w:marLeft w:val="0"/>
          <w:marRight w:val="0"/>
          <w:marTop w:val="120"/>
          <w:marBottom w:val="120"/>
          <w:divBdr>
            <w:top w:val="none" w:sz="0" w:space="0" w:color="auto"/>
            <w:left w:val="none" w:sz="0" w:space="0" w:color="auto"/>
            <w:bottom w:val="none" w:sz="0" w:space="0" w:color="auto"/>
            <w:right w:val="none" w:sz="0" w:space="0" w:color="auto"/>
          </w:divBdr>
        </w:div>
        <w:div w:id="1448502202">
          <w:marLeft w:val="0"/>
          <w:marRight w:val="0"/>
          <w:marTop w:val="120"/>
          <w:marBottom w:val="120"/>
          <w:divBdr>
            <w:top w:val="none" w:sz="0" w:space="0" w:color="auto"/>
            <w:left w:val="none" w:sz="0" w:space="0" w:color="auto"/>
            <w:bottom w:val="none" w:sz="0" w:space="0" w:color="auto"/>
            <w:right w:val="none" w:sz="0" w:space="0" w:color="auto"/>
          </w:divBdr>
        </w:div>
        <w:div w:id="1930693748">
          <w:marLeft w:val="0"/>
          <w:marRight w:val="0"/>
          <w:marTop w:val="120"/>
          <w:marBottom w:val="120"/>
          <w:divBdr>
            <w:top w:val="none" w:sz="0" w:space="0" w:color="auto"/>
            <w:left w:val="none" w:sz="0" w:space="0" w:color="auto"/>
            <w:bottom w:val="none" w:sz="0" w:space="0" w:color="auto"/>
            <w:right w:val="none" w:sz="0" w:space="0" w:color="auto"/>
          </w:divBdr>
        </w:div>
        <w:div w:id="1496847728">
          <w:marLeft w:val="0"/>
          <w:marRight w:val="0"/>
          <w:marTop w:val="120"/>
          <w:marBottom w:val="120"/>
          <w:divBdr>
            <w:top w:val="none" w:sz="0" w:space="0" w:color="auto"/>
            <w:left w:val="none" w:sz="0" w:space="0" w:color="auto"/>
            <w:bottom w:val="none" w:sz="0" w:space="0" w:color="auto"/>
            <w:right w:val="none" w:sz="0" w:space="0" w:color="auto"/>
          </w:divBdr>
        </w:div>
        <w:div w:id="1811557498">
          <w:marLeft w:val="0"/>
          <w:marRight w:val="0"/>
          <w:marTop w:val="120"/>
          <w:marBottom w:val="120"/>
          <w:divBdr>
            <w:top w:val="none" w:sz="0" w:space="0" w:color="auto"/>
            <w:left w:val="none" w:sz="0" w:space="0" w:color="auto"/>
            <w:bottom w:val="none" w:sz="0" w:space="0" w:color="auto"/>
            <w:right w:val="none" w:sz="0" w:space="0" w:color="auto"/>
          </w:divBdr>
        </w:div>
      </w:divsChild>
    </w:div>
    <w:div w:id="1388841629">
      <w:bodyDiv w:val="1"/>
      <w:marLeft w:val="0"/>
      <w:marRight w:val="0"/>
      <w:marTop w:val="0"/>
      <w:marBottom w:val="0"/>
      <w:divBdr>
        <w:top w:val="none" w:sz="0" w:space="0" w:color="auto"/>
        <w:left w:val="none" w:sz="0" w:space="0" w:color="auto"/>
        <w:bottom w:val="none" w:sz="0" w:space="0" w:color="auto"/>
        <w:right w:val="none" w:sz="0" w:space="0" w:color="auto"/>
      </w:divBdr>
    </w:div>
    <w:div w:id="165186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969</Words>
  <Characters>5526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Narantsatsralt Ganbaatar (2124049)</dc:creator>
  <cp:keywords/>
  <dc:description/>
  <cp:lastModifiedBy>Narantsatsralt Ganbaatar (2124049)</cp:lastModifiedBy>
  <cp:revision>3</cp:revision>
  <dcterms:created xsi:type="dcterms:W3CDTF">2025-12-03T23:01:00Z</dcterms:created>
  <dcterms:modified xsi:type="dcterms:W3CDTF">2025-12-04T00:11:00Z</dcterms:modified>
</cp:coreProperties>
</file>