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E0CC2C" w14:textId="7FF9A489" w:rsidR="000B243B" w:rsidRDefault="000B243B" w:rsidP="000B243B">
      <w:pPr>
        <w:rPr>
          <w:rFonts w:ascii="Arial" w:hAnsi="Arial" w:cs="Arial"/>
          <w:sz w:val="24"/>
          <w:szCs w:val="24"/>
        </w:rPr>
      </w:pPr>
      <w:r w:rsidRPr="003604DB">
        <w:rPr>
          <w:rFonts w:ascii="Arial" w:hAnsi="Arial" w:cs="Arial"/>
          <w:sz w:val="24"/>
          <w:szCs w:val="24"/>
        </w:rPr>
        <w:t xml:space="preserve">The most serious common law offence in England and Wales murder is defined by Coke in a book from the seventeenth century. Therefore, over a decade ago the Law Commission labelled it as a </w:t>
      </w:r>
      <w:r w:rsidR="004E24E1">
        <w:rPr>
          <w:rFonts w:ascii="Arial" w:hAnsi="Arial" w:cs="Arial"/>
          <w:sz w:val="24"/>
          <w:szCs w:val="24"/>
        </w:rPr>
        <w:t>‘</w:t>
      </w:r>
      <w:r w:rsidR="007E3048">
        <w:rPr>
          <w:rFonts w:ascii="Arial" w:hAnsi="Arial" w:cs="Arial"/>
          <w:sz w:val="24"/>
          <w:szCs w:val="24"/>
        </w:rPr>
        <w:t>‘</w:t>
      </w:r>
      <w:r w:rsidRPr="003604DB">
        <w:rPr>
          <w:rFonts w:ascii="Arial" w:hAnsi="Arial" w:cs="Arial"/>
          <w:sz w:val="24"/>
          <w:szCs w:val="24"/>
        </w:rPr>
        <w:t>rickety structure set upon shaky foundations’</w:t>
      </w:r>
      <w:r w:rsidR="004E24E1">
        <w:rPr>
          <w:rFonts w:ascii="Arial" w:hAnsi="Arial" w:cs="Arial"/>
          <w:sz w:val="24"/>
          <w:szCs w:val="24"/>
        </w:rPr>
        <w:t>’</w:t>
      </w:r>
      <w:r w:rsidRPr="003604DB">
        <w:rPr>
          <w:rFonts w:ascii="Arial" w:hAnsi="Arial" w:cs="Arial"/>
          <w:sz w:val="24"/>
          <w:szCs w:val="24"/>
        </w:rPr>
        <w:t xml:space="preserve"> and created </w:t>
      </w:r>
      <w:r w:rsidR="00DF407A">
        <w:rPr>
          <w:rFonts w:ascii="Arial" w:hAnsi="Arial" w:cs="Arial"/>
          <w:sz w:val="24"/>
          <w:szCs w:val="24"/>
        </w:rPr>
        <w:t>reform proposals</w:t>
      </w:r>
      <w:r w:rsidRPr="003604DB">
        <w:rPr>
          <w:rFonts w:ascii="Arial" w:hAnsi="Arial" w:cs="Arial"/>
          <w:sz w:val="24"/>
          <w:szCs w:val="24"/>
        </w:rPr>
        <w:t xml:space="preserve"> which led to government consideration of legislative changes (Ormerod and Laird, 2018, p.503). Homicide covers different categories including murder, manslaughter, infanticide and some specific offences such as corporate homicide or causing death while driving (Herring, 2022, p.221). </w:t>
      </w:r>
      <w:r w:rsidR="00F230A9">
        <w:rPr>
          <w:rFonts w:ascii="Arial" w:hAnsi="Arial" w:cs="Arial"/>
          <w:sz w:val="24"/>
          <w:szCs w:val="24"/>
        </w:rPr>
        <w:t>Its</w:t>
      </w:r>
      <w:r w:rsidR="0034305D">
        <w:rPr>
          <w:rFonts w:ascii="Arial" w:hAnsi="Arial" w:cs="Arial"/>
          <w:sz w:val="24"/>
          <w:szCs w:val="24"/>
        </w:rPr>
        <w:t xml:space="preserve"> spectrum is</w:t>
      </w:r>
      <w:r w:rsidRPr="003604DB">
        <w:rPr>
          <w:rFonts w:ascii="Arial" w:hAnsi="Arial" w:cs="Arial"/>
          <w:sz w:val="24"/>
          <w:szCs w:val="24"/>
        </w:rPr>
        <w:t xml:space="preserve"> too wide</w:t>
      </w:r>
      <w:r>
        <w:rPr>
          <w:rFonts w:ascii="Arial" w:hAnsi="Arial" w:cs="Arial"/>
          <w:sz w:val="24"/>
          <w:szCs w:val="24"/>
        </w:rPr>
        <w:t>.</w:t>
      </w:r>
      <w:r w:rsidR="00AC1A3F" w:rsidRPr="00AC1A3F">
        <w:rPr>
          <w:rFonts w:ascii="Arial" w:hAnsi="Arial" w:cs="Arial"/>
          <w:sz w:val="24"/>
          <w:szCs w:val="24"/>
        </w:rPr>
        <w:t xml:space="preserve"> </w:t>
      </w:r>
      <w:r w:rsidR="00AC1A3F">
        <w:rPr>
          <w:rFonts w:ascii="Arial" w:hAnsi="Arial" w:cs="Arial"/>
          <w:sz w:val="24"/>
          <w:szCs w:val="24"/>
        </w:rPr>
        <w:t xml:space="preserve">At one end are </w:t>
      </w:r>
      <w:r w:rsidR="00AC1A3F" w:rsidRPr="003604DB">
        <w:rPr>
          <w:rFonts w:ascii="Arial" w:hAnsi="Arial" w:cs="Arial"/>
          <w:sz w:val="24"/>
          <w:szCs w:val="24"/>
        </w:rPr>
        <w:t>terrorist attacks, serial killings, and sexually motivated or child murders but at the other are mercy killings, battered women who killed their abusive or medics who caused death to their patients unintentionally</w:t>
      </w:r>
      <w:r w:rsidR="00657D02" w:rsidRPr="00657D02">
        <w:rPr>
          <w:rFonts w:ascii="Arial" w:hAnsi="Arial" w:cs="Arial"/>
          <w:sz w:val="24"/>
          <w:szCs w:val="24"/>
        </w:rPr>
        <w:t xml:space="preserve"> </w:t>
      </w:r>
      <w:r w:rsidR="005F3591">
        <w:rPr>
          <w:rFonts w:ascii="Arial" w:hAnsi="Arial" w:cs="Arial"/>
          <w:sz w:val="24"/>
          <w:szCs w:val="24"/>
        </w:rPr>
        <w:t>(</w:t>
      </w:r>
      <w:r w:rsidR="00657D02">
        <w:rPr>
          <w:rFonts w:ascii="Arial" w:hAnsi="Arial" w:cs="Arial"/>
          <w:sz w:val="24"/>
          <w:szCs w:val="24"/>
        </w:rPr>
        <w:t>Macdonald</w:t>
      </w:r>
      <w:r w:rsidR="005F3591">
        <w:rPr>
          <w:rFonts w:ascii="Arial" w:hAnsi="Arial" w:cs="Arial"/>
          <w:sz w:val="24"/>
          <w:szCs w:val="24"/>
        </w:rPr>
        <w:t xml:space="preserve">, </w:t>
      </w:r>
      <w:r w:rsidR="00657D02">
        <w:rPr>
          <w:rFonts w:ascii="Arial" w:hAnsi="Arial" w:cs="Arial"/>
          <w:sz w:val="24"/>
          <w:szCs w:val="24"/>
        </w:rPr>
        <w:t>2018, p.121)</w:t>
      </w:r>
      <w:r w:rsidR="00AC1A3F">
        <w:rPr>
          <w:rFonts w:ascii="Arial" w:hAnsi="Arial" w:cs="Arial"/>
          <w:sz w:val="24"/>
          <w:szCs w:val="24"/>
        </w:rPr>
        <w:t xml:space="preserve">. </w:t>
      </w:r>
      <w:r w:rsidR="00B169C5">
        <w:rPr>
          <w:rFonts w:ascii="Arial" w:hAnsi="Arial" w:cs="Arial"/>
          <w:sz w:val="24"/>
          <w:szCs w:val="24"/>
        </w:rPr>
        <w:t>Moreover</w:t>
      </w:r>
      <w:r>
        <w:rPr>
          <w:rFonts w:ascii="Arial" w:hAnsi="Arial" w:cs="Arial"/>
          <w:sz w:val="24"/>
          <w:szCs w:val="24"/>
        </w:rPr>
        <w:t xml:space="preserve">, </w:t>
      </w:r>
      <w:r w:rsidR="000A7B68">
        <w:rPr>
          <w:rFonts w:ascii="Arial" w:hAnsi="Arial" w:cs="Arial"/>
          <w:sz w:val="24"/>
          <w:szCs w:val="24"/>
        </w:rPr>
        <w:t xml:space="preserve">the </w:t>
      </w:r>
      <w:r>
        <w:rPr>
          <w:rFonts w:ascii="Arial" w:hAnsi="Arial" w:cs="Arial"/>
          <w:sz w:val="24"/>
          <w:szCs w:val="24"/>
        </w:rPr>
        <w:t>k</w:t>
      </w:r>
      <w:r w:rsidRPr="003604DB">
        <w:rPr>
          <w:rFonts w:ascii="Arial" w:hAnsi="Arial" w:cs="Arial"/>
          <w:sz w:val="24"/>
          <w:szCs w:val="24"/>
        </w:rPr>
        <w:t>illing can be lawful where it is justified and unlawful, including murder, voluntary and involuntary manslaughter (Monaghan, 2018, p.96). The focus of this writing will be unlawful homicide</w:t>
      </w:r>
      <w:r w:rsidR="00DF3B16">
        <w:rPr>
          <w:rFonts w:ascii="Arial" w:hAnsi="Arial" w:cs="Arial"/>
          <w:sz w:val="24"/>
          <w:szCs w:val="24"/>
        </w:rPr>
        <w:t xml:space="preserve"> </w:t>
      </w:r>
      <w:r w:rsidR="0057607E">
        <w:rPr>
          <w:rFonts w:ascii="Arial" w:hAnsi="Arial" w:cs="Arial"/>
          <w:sz w:val="24"/>
          <w:szCs w:val="24"/>
        </w:rPr>
        <w:t xml:space="preserve">and </w:t>
      </w:r>
      <w:r w:rsidR="0016278E">
        <w:rPr>
          <w:rFonts w:ascii="Arial" w:hAnsi="Arial" w:cs="Arial"/>
          <w:sz w:val="24"/>
          <w:szCs w:val="24"/>
        </w:rPr>
        <w:t xml:space="preserve">the reform which was carried out by the government </w:t>
      </w:r>
      <w:r w:rsidR="00227A3E">
        <w:rPr>
          <w:rFonts w:ascii="Arial" w:hAnsi="Arial" w:cs="Arial"/>
          <w:sz w:val="24"/>
          <w:szCs w:val="24"/>
        </w:rPr>
        <w:t>with a suggestion of whether this area</w:t>
      </w:r>
      <w:r w:rsidR="00D22A5E">
        <w:rPr>
          <w:rFonts w:ascii="Arial" w:hAnsi="Arial" w:cs="Arial"/>
          <w:sz w:val="24"/>
          <w:szCs w:val="24"/>
        </w:rPr>
        <w:t xml:space="preserve"> of</w:t>
      </w:r>
      <w:r w:rsidR="00227A3E">
        <w:rPr>
          <w:rFonts w:ascii="Arial" w:hAnsi="Arial" w:cs="Arial"/>
          <w:sz w:val="24"/>
          <w:szCs w:val="24"/>
        </w:rPr>
        <w:t xml:space="preserve"> law needs further changes</w:t>
      </w:r>
      <w:r w:rsidR="008909FD">
        <w:rPr>
          <w:rFonts w:ascii="Arial" w:hAnsi="Arial" w:cs="Arial"/>
          <w:sz w:val="24"/>
          <w:szCs w:val="24"/>
        </w:rPr>
        <w:t>.</w:t>
      </w:r>
    </w:p>
    <w:p w14:paraId="4F05A93F" w14:textId="4674116A" w:rsidR="000B243B" w:rsidRDefault="006047A6" w:rsidP="000B243B">
      <w:pPr>
        <w:rPr>
          <w:rFonts w:ascii="Arial" w:hAnsi="Arial" w:cs="Arial"/>
          <w:sz w:val="24"/>
          <w:szCs w:val="24"/>
        </w:rPr>
      </w:pPr>
      <w:r>
        <w:rPr>
          <w:rFonts w:ascii="Arial" w:hAnsi="Arial" w:cs="Arial"/>
          <w:sz w:val="24"/>
          <w:szCs w:val="24"/>
        </w:rPr>
        <w:t>Turning now to</w:t>
      </w:r>
      <w:r w:rsidRPr="003604DB">
        <w:rPr>
          <w:rFonts w:ascii="Arial" w:hAnsi="Arial" w:cs="Arial"/>
          <w:sz w:val="24"/>
          <w:szCs w:val="24"/>
        </w:rPr>
        <w:t xml:space="preserve"> murder, Coke defined actus rea of the offence as an unlawful killing </w:t>
      </w:r>
      <w:r w:rsidR="000B243B" w:rsidRPr="003604DB">
        <w:rPr>
          <w:rFonts w:ascii="Arial" w:hAnsi="Arial" w:cs="Arial"/>
          <w:sz w:val="24"/>
          <w:szCs w:val="24"/>
        </w:rPr>
        <w:t>of another person in the King’s peace. It is important to note that the victim must be a person who is born and alive when the murder is conducted. Additionally, actus rea in murder is present if an unborn baby who is injured while in the womb is born alive but dies from the injury later (Herrings, 2022, p. 222). Furthermore, the death must be caused by the defendant, and he can be responsible for the death only if both the factual and legal causation of murder are satisfied (Louise, 2018, p.56)</w:t>
      </w:r>
      <w:r w:rsidR="000B243B">
        <w:rPr>
          <w:rFonts w:ascii="Arial" w:hAnsi="Arial" w:cs="Arial"/>
          <w:sz w:val="24"/>
          <w:szCs w:val="24"/>
        </w:rPr>
        <w:t>,</w:t>
      </w:r>
      <w:r w:rsidR="000B243B" w:rsidRPr="003604DB">
        <w:rPr>
          <w:rFonts w:ascii="Arial" w:hAnsi="Arial" w:cs="Arial"/>
          <w:sz w:val="24"/>
          <w:szCs w:val="24"/>
        </w:rPr>
        <w:t xml:space="preserve"> confirmed by the Supreme Court in the following cases </w:t>
      </w:r>
      <w:r w:rsidR="000B243B">
        <w:rPr>
          <w:rFonts w:ascii="Arial" w:hAnsi="Arial" w:cs="Arial"/>
          <w:sz w:val="24"/>
          <w:szCs w:val="24"/>
        </w:rPr>
        <w:t>‘</w:t>
      </w:r>
      <w:r w:rsidR="000B243B" w:rsidRPr="003604DB">
        <w:rPr>
          <w:rFonts w:ascii="Arial" w:hAnsi="Arial" w:cs="Arial"/>
          <w:i/>
          <w:iCs/>
          <w:sz w:val="24"/>
          <w:szCs w:val="24"/>
        </w:rPr>
        <w:t>R v Hugies</w:t>
      </w:r>
      <w:r w:rsidR="000B243B">
        <w:rPr>
          <w:rFonts w:ascii="Arial" w:hAnsi="Arial" w:cs="Arial"/>
          <w:i/>
          <w:iCs/>
          <w:sz w:val="24"/>
          <w:szCs w:val="24"/>
        </w:rPr>
        <w:t>’</w:t>
      </w:r>
      <w:r w:rsidR="000B243B" w:rsidRPr="003604DB">
        <w:rPr>
          <w:rFonts w:ascii="Arial" w:hAnsi="Arial" w:cs="Arial"/>
          <w:sz w:val="24"/>
          <w:szCs w:val="24"/>
        </w:rPr>
        <w:t xml:space="preserve"> (2013) and </w:t>
      </w:r>
      <w:r w:rsidR="000B243B">
        <w:rPr>
          <w:rFonts w:ascii="Arial" w:hAnsi="Arial" w:cs="Arial"/>
          <w:sz w:val="24"/>
          <w:szCs w:val="24"/>
        </w:rPr>
        <w:t>‘</w:t>
      </w:r>
      <w:r w:rsidR="000B243B" w:rsidRPr="003604DB">
        <w:rPr>
          <w:rFonts w:ascii="Arial" w:hAnsi="Arial" w:cs="Arial"/>
          <w:i/>
          <w:iCs/>
          <w:sz w:val="24"/>
          <w:szCs w:val="24"/>
        </w:rPr>
        <w:t>R v Taylor</w:t>
      </w:r>
      <w:r w:rsidR="000B243B">
        <w:rPr>
          <w:rFonts w:ascii="Arial" w:hAnsi="Arial" w:cs="Arial"/>
          <w:i/>
          <w:iCs/>
          <w:sz w:val="24"/>
          <w:szCs w:val="24"/>
        </w:rPr>
        <w:t>’</w:t>
      </w:r>
      <w:r w:rsidR="000B243B" w:rsidRPr="003604DB">
        <w:rPr>
          <w:rFonts w:ascii="Arial" w:hAnsi="Arial" w:cs="Arial"/>
          <w:sz w:val="24"/>
          <w:szCs w:val="24"/>
        </w:rPr>
        <w:t xml:space="preserve"> (2016). If the killing is made during a war or battle, it is not a homicide offence. Authentically, men’s rea has been described as ‘malice aforethought’ but it is not in use</w:t>
      </w:r>
      <w:r w:rsidR="000B243B">
        <w:rPr>
          <w:rFonts w:ascii="Arial" w:hAnsi="Arial" w:cs="Arial"/>
          <w:sz w:val="24"/>
          <w:szCs w:val="24"/>
        </w:rPr>
        <w:t xml:space="preserve"> </w:t>
      </w:r>
      <w:r w:rsidR="000B243B" w:rsidRPr="003604DB">
        <w:rPr>
          <w:rFonts w:ascii="Arial" w:hAnsi="Arial" w:cs="Arial"/>
          <w:sz w:val="24"/>
          <w:szCs w:val="24"/>
        </w:rPr>
        <w:t>by the courts anymore. The men’s rea of murder as a product of common law can be satisfied either with the intention to kill or cause serious bodily harm to the victim proved in</w:t>
      </w:r>
      <w:r w:rsidR="000B243B" w:rsidRPr="003604DB">
        <w:rPr>
          <w:rFonts w:ascii="Arial" w:hAnsi="Arial" w:cs="Arial"/>
          <w:i/>
          <w:iCs/>
          <w:color w:val="333333"/>
          <w:sz w:val="24"/>
          <w:szCs w:val="24"/>
          <w:shd w:val="clear" w:color="auto" w:fill="FFFFFF"/>
        </w:rPr>
        <w:t xml:space="preserve"> ‘R. v. </w:t>
      </w:r>
      <w:r w:rsidR="000B243B">
        <w:rPr>
          <w:rFonts w:ascii="Arial" w:hAnsi="Arial" w:cs="Arial"/>
          <w:i/>
          <w:iCs/>
          <w:color w:val="333333"/>
          <w:sz w:val="24"/>
          <w:szCs w:val="24"/>
          <w:shd w:val="clear" w:color="auto" w:fill="FFFFFF"/>
        </w:rPr>
        <w:t>Vickers’</w:t>
      </w:r>
      <w:r w:rsidR="000B243B" w:rsidRPr="003604DB">
        <w:rPr>
          <w:rFonts w:ascii="Arial" w:hAnsi="Arial" w:cs="Arial"/>
          <w:color w:val="333333"/>
          <w:sz w:val="24"/>
          <w:szCs w:val="24"/>
          <w:shd w:val="clear" w:color="auto" w:fill="FFFFFF"/>
        </w:rPr>
        <w:t> (1957), ‘</w:t>
      </w:r>
      <w:r w:rsidR="000B243B" w:rsidRPr="003604DB">
        <w:rPr>
          <w:rFonts w:ascii="Arial" w:hAnsi="Arial" w:cs="Arial"/>
          <w:i/>
          <w:iCs/>
          <w:color w:val="333333"/>
          <w:sz w:val="24"/>
          <w:szCs w:val="24"/>
          <w:shd w:val="clear" w:color="auto" w:fill="FFFFFF"/>
        </w:rPr>
        <w:t xml:space="preserve">Hyam v. </w:t>
      </w:r>
      <w:r w:rsidR="000B243B">
        <w:rPr>
          <w:rFonts w:ascii="Arial" w:hAnsi="Arial" w:cs="Arial"/>
          <w:i/>
          <w:iCs/>
          <w:color w:val="333333"/>
          <w:sz w:val="24"/>
          <w:szCs w:val="24"/>
          <w:shd w:val="clear" w:color="auto" w:fill="FFFFFF"/>
        </w:rPr>
        <w:t>DPP</w:t>
      </w:r>
      <w:r w:rsidR="000B243B" w:rsidRPr="003604DB">
        <w:rPr>
          <w:rFonts w:ascii="Arial" w:hAnsi="Arial" w:cs="Arial"/>
          <w:color w:val="333333"/>
          <w:sz w:val="24"/>
          <w:szCs w:val="24"/>
          <w:shd w:val="clear" w:color="auto" w:fill="FFFFFF"/>
        </w:rPr>
        <w:t> (1975) and </w:t>
      </w:r>
      <w:r w:rsidR="000B243B">
        <w:rPr>
          <w:rFonts w:ascii="Arial" w:hAnsi="Arial" w:cs="Arial"/>
          <w:color w:val="333333"/>
          <w:sz w:val="24"/>
          <w:szCs w:val="24"/>
          <w:shd w:val="clear" w:color="auto" w:fill="FFFFFF"/>
        </w:rPr>
        <w:t>‘</w:t>
      </w:r>
      <w:r w:rsidR="000B243B" w:rsidRPr="003604DB">
        <w:rPr>
          <w:rFonts w:ascii="Arial" w:hAnsi="Arial" w:cs="Arial"/>
          <w:i/>
          <w:iCs/>
          <w:color w:val="333333"/>
          <w:sz w:val="24"/>
          <w:szCs w:val="24"/>
          <w:shd w:val="clear" w:color="auto" w:fill="FFFFFF"/>
        </w:rPr>
        <w:t xml:space="preserve">R. v. </w:t>
      </w:r>
      <w:r w:rsidR="000B243B">
        <w:rPr>
          <w:rFonts w:ascii="Arial" w:hAnsi="Arial" w:cs="Arial"/>
          <w:i/>
          <w:iCs/>
          <w:color w:val="333333"/>
          <w:sz w:val="24"/>
          <w:szCs w:val="24"/>
          <w:shd w:val="clear" w:color="auto" w:fill="FFFFFF"/>
        </w:rPr>
        <w:t>Cunningham’</w:t>
      </w:r>
      <w:r w:rsidR="000B243B" w:rsidRPr="003604DB">
        <w:rPr>
          <w:rFonts w:ascii="Arial" w:hAnsi="Arial" w:cs="Arial"/>
          <w:color w:val="333333"/>
          <w:sz w:val="24"/>
          <w:szCs w:val="24"/>
          <w:shd w:val="clear" w:color="auto" w:fill="FFFFFF"/>
        </w:rPr>
        <w:t> (1982)</w:t>
      </w:r>
      <w:r w:rsidR="000B243B" w:rsidRPr="003604DB">
        <w:rPr>
          <w:rFonts w:ascii="Arial" w:hAnsi="Arial" w:cs="Arial"/>
          <w:sz w:val="24"/>
          <w:szCs w:val="24"/>
        </w:rPr>
        <w:t xml:space="preserve">. The intention can be direct or indirect and is based on what the jury believes the defendant intended and predicted as a result of the crime. This test can be subjective only and the objective one considered earlier by the House of Lords in </w:t>
      </w:r>
      <w:r w:rsidR="000B243B">
        <w:rPr>
          <w:rFonts w:ascii="Arial" w:hAnsi="Arial" w:cs="Arial"/>
          <w:sz w:val="24"/>
          <w:szCs w:val="24"/>
        </w:rPr>
        <w:t>‘</w:t>
      </w:r>
      <w:r w:rsidR="000B243B" w:rsidRPr="000D37FB">
        <w:rPr>
          <w:rFonts w:ascii="Arial" w:hAnsi="Arial" w:cs="Arial"/>
          <w:i/>
          <w:iCs/>
          <w:sz w:val="24"/>
          <w:szCs w:val="24"/>
        </w:rPr>
        <w:t>D</w:t>
      </w:r>
      <w:r w:rsidR="000B243B">
        <w:rPr>
          <w:rFonts w:ascii="Arial" w:hAnsi="Arial" w:cs="Arial"/>
          <w:i/>
          <w:iCs/>
          <w:sz w:val="24"/>
          <w:szCs w:val="24"/>
        </w:rPr>
        <w:t>PP</w:t>
      </w:r>
      <w:r w:rsidR="000B243B" w:rsidRPr="000D37FB">
        <w:rPr>
          <w:rFonts w:ascii="Arial" w:hAnsi="Arial" w:cs="Arial"/>
          <w:i/>
          <w:iCs/>
          <w:sz w:val="24"/>
          <w:szCs w:val="24"/>
        </w:rPr>
        <w:t xml:space="preserve"> v Smith</w:t>
      </w:r>
      <w:r w:rsidR="000B243B">
        <w:rPr>
          <w:rFonts w:ascii="Arial" w:hAnsi="Arial" w:cs="Arial"/>
          <w:sz w:val="24"/>
          <w:szCs w:val="24"/>
        </w:rPr>
        <w:t>’ (1961)</w:t>
      </w:r>
      <w:r w:rsidR="000B243B" w:rsidRPr="003604DB">
        <w:rPr>
          <w:rFonts w:ascii="Arial" w:hAnsi="Arial" w:cs="Arial"/>
          <w:sz w:val="24"/>
          <w:szCs w:val="24"/>
        </w:rPr>
        <w:t xml:space="preserve"> does not apply anymore as it was changed in s. 8 of the Criminal Justice Act 1967 (Louise, 2018, p.62). Additionally, men’s rea of murder is outlined in section 1 of the Homicide Act 1957. Recently, the law doctrine showed that it is controversial whether grievous bodily harm (GBH) intention is sufficient for men’s rea for murder as some critics think that nothing less than an intention to kill should serve. In difficult cases where the defendant may not act with the purpose of serious bodily harm or kill the victim, the jury should be given Woollin’s direction </w:t>
      </w:r>
      <w:r w:rsidR="003A515E">
        <w:rPr>
          <w:rFonts w:ascii="Arial" w:hAnsi="Arial" w:cs="Arial"/>
          <w:sz w:val="24"/>
          <w:szCs w:val="24"/>
        </w:rPr>
        <w:t xml:space="preserve">established in </w:t>
      </w:r>
      <w:r w:rsidR="007F47F2">
        <w:rPr>
          <w:rFonts w:ascii="Arial" w:hAnsi="Arial" w:cs="Arial"/>
          <w:i/>
          <w:iCs/>
          <w:sz w:val="24"/>
          <w:szCs w:val="24"/>
        </w:rPr>
        <w:t>‘</w:t>
      </w:r>
      <w:r w:rsidR="007F47F2" w:rsidRPr="00B55A02">
        <w:rPr>
          <w:rFonts w:ascii="Arial" w:hAnsi="Arial" w:cs="Arial"/>
          <w:i/>
          <w:iCs/>
          <w:sz w:val="24"/>
          <w:szCs w:val="24"/>
        </w:rPr>
        <w:t xml:space="preserve">R v </w:t>
      </w:r>
      <w:r w:rsidR="007F47F2">
        <w:rPr>
          <w:rFonts w:ascii="Arial" w:hAnsi="Arial" w:cs="Arial"/>
          <w:i/>
          <w:iCs/>
          <w:sz w:val="24"/>
          <w:szCs w:val="24"/>
        </w:rPr>
        <w:t xml:space="preserve">Woollin’ </w:t>
      </w:r>
      <w:r w:rsidR="007F47F2" w:rsidRPr="004D0437">
        <w:rPr>
          <w:rFonts w:ascii="Arial" w:hAnsi="Arial" w:cs="Arial"/>
          <w:sz w:val="24"/>
          <w:szCs w:val="24"/>
        </w:rPr>
        <w:t>(19</w:t>
      </w:r>
      <w:r w:rsidR="007F47F2">
        <w:rPr>
          <w:rFonts w:ascii="Arial" w:hAnsi="Arial" w:cs="Arial"/>
          <w:sz w:val="24"/>
          <w:szCs w:val="24"/>
        </w:rPr>
        <w:t>99</w:t>
      </w:r>
      <w:r w:rsidR="007F47F2" w:rsidRPr="004D0437">
        <w:rPr>
          <w:rFonts w:ascii="Arial" w:hAnsi="Arial" w:cs="Arial"/>
          <w:sz w:val="24"/>
          <w:szCs w:val="24"/>
        </w:rPr>
        <w:t>)</w:t>
      </w:r>
      <w:r w:rsidR="007F47F2">
        <w:rPr>
          <w:rFonts w:ascii="Arial" w:hAnsi="Arial" w:cs="Arial"/>
          <w:sz w:val="24"/>
          <w:szCs w:val="24"/>
        </w:rPr>
        <w:t xml:space="preserve"> </w:t>
      </w:r>
      <w:r w:rsidR="000B243B" w:rsidRPr="003604DB">
        <w:rPr>
          <w:rFonts w:ascii="Arial" w:hAnsi="Arial" w:cs="Arial"/>
          <w:sz w:val="24"/>
          <w:szCs w:val="24"/>
        </w:rPr>
        <w:t xml:space="preserve">where they may find intention only if the death or grievous bodily harm of the victim is </w:t>
      </w:r>
      <w:r w:rsidR="000B243B">
        <w:rPr>
          <w:rFonts w:ascii="Arial" w:hAnsi="Arial" w:cs="Arial"/>
          <w:sz w:val="24"/>
          <w:szCs w:val="24"/>
        </w:rPr>
        <w:t xml:space="preserve">a </w:t>
      </w:r>
      <w:r w:rsidR="000B243B" w:rsidRPr="003604DB">
        <w:rPr>
          <w:rFonts w:ascii="Arial" w:hAnsi="Arial" w:cs="Arial"/>
          <w:sz w:val="24"/>
          <w:szCs w:val="24"/>
        </w:rPr>
        <w:t>direct vertical result by defendant’s auction and the defendant realised so</w:t>
      </w:r>
      <w:r w:rsidR="00662DB4">
        <w:rPr>
          <w:rFonts w:ascii="Arial" w:hAnsi="Arial" w:cs="Arial"/>
          <w:sz w:val="24"/>
          <w:szCs w:val="24"/>
        </w:rPr>
        <w:t xml:space="preserve"> </w:t>
      </w:r>
      <w:r w:rsidR="00662DB4">
        <w:rPr>
          <w:rFonts w:ascii="Arial" w:hAnsi="Arial" w:cs="Arial"/>
          <w:sz w:val="24"/>
          <w:szCs w:val="24"/>
        </w:rPr>
        <w:t>(House of Lords, 1998)</w:t>
      </w:r>
      <w:r w:rsidR="000B243B" w:rsidRPr="003604DB">
        <w:rPr>
          <w:rFonts w:ascii="Arial" w:hAnsi="Arial" w:cs="Arial"/>
          <w:sz w:val="24"/>
          <w:szCs w:val="24"/>
        </w:rPr>
        <w:t xml:space="preserve">. </w:t>
      </w:r>
      <w:r w:rsidR="008D626B">
        <w:rPr>
          <w:rFonts w:ascii="Arial" w:hAnsi="Arial" w:cs="Arial"/>
          <w:sz w:val="24"/>
          <w:szCs w:val="24"/>
        </w:rPr>
        <w:t>Moreover</w:t>
      </w:r>
      <w:r w:rsidR="000B243B" w:rsidRPr="003604DB">
        <w:rPr>
          <w:rFonts w:ascii="Arial" w:hAnsi="Arial" w:cs="Arial"/>
          <w:sz w:val="24"/>
          <w:szCs w:val="24"/>
        </w:rPr>
        <w:t xml:space="preserve">, the </w:t>
      </w:r>
      <w:r w:rsidR="008F24FE">
        <w:rPr>
          <w:rFonts w:ascii="Arial" w:hAnsi="Arial" w:cs="Arial"/>
          <w:sz w:val="24"/>
          <w:szCs w:val="24"/>
        </w:rPr>
        <w:t>murder conviction</w:t>
      </w:r>
      <w:r w:rsidR="000B243B" w:rsidRPr="003604DB">
        <w:rPr>
          <w:rFonts w:ascii="Arial" w:hAnsi="Arial" w:cs="Arial"/>
          <w:sz w:val="24"/>
          <w:szCs w:val="24"/>
        </w:rPr>
        <w:t xml:space="preserve"> can be imposed on someone who intends to kill one person but kills another because the defendant will be guilty of murder when applying the doctrine of transferred men’s rea (Herring, 2022, pp. 222- 223). House of Lords (1997) described it as a ‘misleading label’ but stressed that it is too entrenched in law practice to be removed.</w:t>
      </w:r>
    </w:p>
    <w:p w14:paraId="273AB9FE" w14:textId="5D5FE7AD" w:rsidR="000B243B" w:rsidRDefault="000B243B" w:rsidP="000B243B">
      <w:pPr>
        <w:rPr>
          <w:rFonts w:ascii="Arial" w:hAnsi="Arial" w:cs="Arial"/>
          <w:sz w:val="24"/>
          <w:szCs w:val="24"/>
        </w:rPr>
      </w:pPr>
      <w:r w:rsidRPr="003604DB">
        <w:rPr>
          <w:rFonts w:ascii="Arial" w:hAnsi="Arial" w:cs="Arial"/>
          <w:sz w:val="24"/>
          <w:szCs w:val="24"/>
        </w:rPr>
        <w:lastRenderedPageBreak/>
        <w:t>Last century the penalty for murder was death but this was abolished by s.1(1) of the Murder (Abolition of the Death Penalty) Act 1965.  Recently, when the defendant is convicted of murder the judge will impose a mandatory sentence of life imprisonment and a discretionary life sentence for manslaughter (Monaghan, 2018, pp.97-98). This does not necessarily mean that the rest of the offender’s life will be in prison, eventually in most cases will not. The court can set sentencing for murder between 15 and a whole life term,</w:t>
      </w:r>
      <w:r w:rsidR="0043714C">
        <w:rPr>
          <w:rFonts w:ascii="Arial" w:hAnsi="Arial" w:cs="Arial"/>
          <w:sz w:val="24"/>
          <w:szCs w:val="24"/>
        </w:rPr>
        <w:t xml:space="preserve"> </w:t>
      </w:r>
      <w:r w:rsidRPr="003604DB">
        <w:rPr>
          <w:rFonts w:ascii="Arial" w:hAnsi="Arial" w:cs="Arial"/>
          <w:sz w:val="24"/>
          <w:szCs w:val="24"/>
        </w:rPr>
        <w:t>also known as the tariff period. At the end of it, a Parole board decides whether the defendant should stay in prison or be released depending on the risk existing to a particular person or the public. Even though there are a lot of criticisms and attitudes towards the mandatory life sentence, it is unlikely to be reformed, therefore it was not considered by the Law Commission in the</w:t>
      </w:r>
      <w:r>
        <w:rPr>
          <w:rFonts w:ascii="Arial" w:hAnsi="Arial" w:cs="Arial"/>
          <w:sz w:val="24"/>
          <w:szCs w:val="24"/>
        </w:rPr>
        <w:t>ir</w:t>
      </w:r>
      <w:r w:rsidRPr="003604DB">
        <w:rPr>
          <w:rFonts w:ascii="Arial" w:hAnsi="Arial" w:cs="Arial"/>
          <w:sz w:val="24"/>
          <w:szCs w:val="24"/>
        </w:rPr>
        <w:t xml:space="preserve"> review of murder</w:t>
      </w:r>
      <w:r>
        <w:rPr>
          <w:rFonts w:ascii="Arial" w:hAnsi="Arial" w:cs="Arial"/>
          <w:sz w:val="24"/>
          <w:szCs w:val="24"/>
        </w:rPr>
        <w:t xml:space="preserve"> </w:t>
      </w:r>
      <w:r w:rsidRPr="003604DB">
        <w:rPr>
          <w:rFonts w:ascii="Arial" w:hAnsi="Arial" w:cs="Arial"/>
          <w:sz w:val="24"/>
          <w:szCs w:val="24"/>
        </w:rPr>
        <w:t>(Child and Ormerod, 2017, p. 156).</w:t>
      </w:r>
    </w:p>
    <w:p w14:paraId="12FE1287" w14:textId="563DC4B9" w:rsidR="000B243B" w:rsidRDefault="000B243B" w:rsidP="000B243B">
      <w:pPr>
        <w:rPr>
          <w:rFonts w:ascii="Arial" w:hAnsi="Arial" w:cs="Arial"/>
          <w:sz w:val="24"/>
          <w:szCs w:val="24"/>
        </w:rPr>
      </w:pPr>
      <w:r w:rsidRPr="003604DB">
        <w:rPr>
          <w:rFonts w:ascii="Arial" w:hAnsi="Arial" w:cs="Arial"/>
          <w:sz w:val="24"/>
          <w:szCs w:val="24"/>
        </w:rPr>
        <w:t>On 29 November 2006</w:t>
      </w:r>
      <w:r>
        <w:rPr>
          <w:rFonts w:ascii="Arial" w:hAnsi="Arial" w:cs="Arial"/>
          <w:sz w:val="24"/>
          <w:szCs w:val="24"/>
        </w:rPr>
        <w:t>,</w:t>
      </w:r>
      <w:r w:rsidRPr="003604DB">
        <w:rPr>
          <w:rFonts w:ascii="Arial" w:hAnsi="Arial" w:cs="Arial"/>
          <w:sz w:val="24"/>
          <w:szCs w:val="24"/>
        </w:rPr>
        <w:t xml:space="preserve"> Law Commission</w:t>
      </w:r>
      <w:r>
        <w:rPr>
          <w:rFonts w:ascii="Arial" w:hAnsi="Arial" w:cs="Arial"/>
          <w:sz w:val="24"/>
          <w:szCs w:val="24"/>
        </w:rPr>
        <w:t xml:space="preserve"> </w:t>
      </w:r>
      <w:r w:rsidRPr="003604DB">
        <w:rPr>
          <w:rFonts w:ascii="Arial" w:hAnsi="Arial" w:cs="Arial"/>
          <w:sz w:val="24"/>
          <w:szCs w:val="24"/>
        </w:rPr>
        <w:t xml:space="preserve">published proposals to provide a better and clearer structure for charging </w:t>
      </w:r>
      <w:r w:rsidR="008A42B5">
        <w:rPr>
          <w:rFonts w:ascii="Arial" w:hAnsi="Arial" w:cs="Arial"/>
          <w:sz w:val="24"/>
          <w:szCs w:val="24"/>
        </w:rPr>
        <w:t>homicide</w:t>
      </w:r>
      <w:r w:rsidRPr="003604DB">
        <w:rPr>
          <w:rFonts w:ascii="Arial" w:hAnsi="Arial" w:cs="Arial"/>
          <w:sz w:val="24"/>
          <w:szCs w:val="24"/>
        </w:rPr>
        <w:t xml:space="preserve">. Their report ‘Murder, Manslaughter and Infanticide’ recommended a replacement of the two-tier structure of the homicide offence consisting of murder and manslaughter into a three-tier structure </w:t>
      </w:r>
      <w:r w:rsidR="00FF7DA3">
        <w:rPr>
          <w:rFonts w:ascii="Arial" w:hAnsi="Arial" w:cs="Arial"/>
          <w:sz w:val="24"/>
          <w:szCs w:val="24"/>
        </w:rPr>
        <w:t>include</w:t>
      </w:r>
      <w:r w:rsidR="008A0C82">
        <w:rPr>
          <w:rFonts w:ascii="Arial" w:hAnsi="Arial" w:cs="Arial"/>
          <w:sz w:val="24"/>
          <w:szCs w:val="24"/>
        </w:rPr>
        <w:t>d</w:t>
      </w:r>
      <w:r w:rsidRPr="003604DB">
        <w:rPr>
          <w:rFonts w:ascii="Arial" w:hAnsi="Arial" w:cs="Arial"/>
          <w:sz w:val="24"/>
          <w:szCs w:val="24"/>
        </w:rPr>
        <w:t xml:space="preserve"> first-degree murder, where mandatory life sentences apply, second-degree murder and manslaughter both ending with conviction of discretionary life sentence</w:t>
      </w:r>
      <w:r>
        <w:rPr>
          <w:rFonts w:ascii="Arial" w:hAnsi="Arial" w:cs="Arial"/>
          <w:sz w:val="24"/>
          <w:szCs w:val="24"/>
        </w:rPr>
        <w:t xml:space="preserve">. However, the government has decided to reject these proposals and leave the current structure of homicide. Furthermore, the Law Commission suggested other changes to the law of homicide regarding provocation, diminished responsibility and complicity which will be discussed below </w:t>
      </w:r>
      <w:r w:rsidRPr="003604DB">
        <w:rPr>
          <w:rFonts w:ascii="Arial" w:hAnsi="Arial" w:cs="Arial"/>
          <w:sz w:val="24"/>
          <w:szCs w:val="24"/>
        </w:rPr>
        <w:t xml:space="preserve">(Law Commission, </w:t>
      </w:r>
      <w:r w:rsidR="00674144">
        <w:rPr>
          <w:rFonts w:ascii="Arial" w:hAnsi="Arial" w:cs="Arial"/>
          <w:sz w:val="24"/>
          <w:szCs w:val="24"/>
        </w:rPr>
        <w:t>2006</w:t>
      </w:r>
      <w:r w:rsidRPr="003604DB">
        <w:rPr>
          <w:rFonts w:ascii="Arial" w:hAnsi="Arial" w:cs="Arial"/>
          <w:sz w:val="24"/>
          <w:szCs w:val="24"/>
        </w:rPr>
        <w:t>)</w:t>
      </w:r>
      <w:r>
        <w:rPr>
          <w:rFonts w:ascii="Arial" w:hAnsi="Arial" w:cs="Arial"/>
          <w:sz w:val="24"/>
          <w:szCs w:val="24"/>
        </w:rPr>
        <w:t>.</w:t>
      </w:r>
    </w:p>
    <w:p w14:paraId="381982EF" w14:textId="7BB059C9" w:rsidR="000B243B" w:rsidRPr="003604DB" w:rsidRDefault="006B45C1" w:rsidP="000B243B">
      <w:pPr>
        <w:rPr>
          <w:rFonts w:ascii="Arial" w:hAnsi="Arial" w:cs="Arial"/>
          <w:sz w:val="24"/>
          <w:szCs w:val="24"/>
        </w:rPr>
      </w:pPr>
      <w:r>
        <w:rPr>
          <w:rFonts w:ascii="Arial" w:hAnsi="Arial" w:cs="Arial"/>
          <w:sz w:val="24"/>
          <w:szCs w:val="24"/>
        </w:rPr>
        <w:t xml:space="preserve">Next, </w:t>
      </w:r>
      <w:r w:rsidR="005842B2">
        <w:rPr>
          <w:rFonts w:ascii="Arial" w:hAnsi="Arial" w:cs="Arial"/>
          <w:sz w:val="24"/>
          <w:szCs w:val="24"/>
        </w:rPr>
        <w:t>manslaughter</w:t>
      </w:r>
      <w:r w:rsidR="000B243B">
        <w:rPr>
          <w:rFonts w:ascii="Arial" w:hAnsi="Arial" w:cs="Arial"/>
          <w:sz w:val="24"/>
          <w:szCs w:val="24"/>
        </w:rPr>
        <w:t xml:space="preserve"> </w:t>
      </w:r>
      <w:r w:rsidR="000B243B" w:rsidRPr="003604DB">
        <w:rPr>
          <w:rFonts w:ascii="Arial" w:hAnsi="Arial" w:cs="Arial"/>
          <w:sz w:val="24"/>
          <w:szCs w:val="24"/>
        </w:rPr>
        <w:t xml:space="preserve">is a common law offence </w:t>
      </w:r>
      <w:r w:rsidR="005842B2">
        <w:rPr>
          <w:rFonts w:ascii="Arial" w:hAnsi="Arial" w:cs="Arial"/>
          <w:sz w:val="24"/>
          <w:szCs w:val="24"/>
        </w:rPr>
        <w:t>which</w:t>
      </w:r>
      <w:r w:rsidR="000B243B" w:rsidRPr="003604DB">
        <w:rPr>
          <w:rFonts w:ascii="Arial" w:hAnsi="Arial" w:cs="Arial"/>
          <w:sz w:val="24"/>
          <w:szCs w:val="24"/>
        </w:rPr>
        <w:t xml:space="preserve"> can be voluntary or involuntary depending on the ways it is committed. The one, which corresponds to voluntary manslaughter, defines killing with the intention to commit murder or GBH, but partial defences apply including loss of control, diminished responsibility or killing </w:t>
      </w:r>
      <w:r w:rsidR="00F01FF4">
        <w:rPr>
          <w:rFonts w:ascii="Arial" w:hAnsi="Arial" w:cs="Arial"/>
          <w:sz w:val="24"/>
          <w:szCs w:val="24"/>
        </w:rPr>
        <w:t>under</w:t>
      </w:r>
      <w:r w:rsidR="000B243B" w:rsidRPr="003604DB">
        <w:rPr>
          <w:rFonts w:ascii="Arial" w:hAnsi="Arial" w:cs="Arial"/>
          <w:sz w:val="24"/>
          <w:szCs w:val="24"/>
        </w:rPr>
        <w:t xml:space="preserve"> a suicide pact (Crown Prosecution Service, 2022).  It occurs, where the act of the defendant has the necessary actus rea and men’s rea for murder, but there are circumstances which mitigate the criminal liability of the defendant because a partial defence applied. This area of law was criticised </w:t>
      </w:r>
      <w:r w:rsidR="000B243B">
        <w:rPr>
          <w:rFonts w:ascii="Arial" w:hAnsi="Arial" w:cs="Arial"/>
          <w:sz w:val="24"/>
          <w:szCs w:val="24"/>
        </w:rPr>
        <w:t xml:space="preserve">a lot </w:t>
      </w:r>
      <w:r w:rsidR="000B243B" w:rsidRPr="003604DB">
        <w:rPr>
          <w:rFonts w:ascii="Arial" w:hAnsi="Arial" w:cs="Arial"/>
          <w:sz w:val="24"/>
          <w:szCs w:val="24"/>
        </w:rPr>
        <w:t>in the past, leading to a major reform</w:t>
      </w:r>
      <w:r w:rsidR="000B243B">
        <w:rPr>
          <w:rFonts w:ascii="Arial" w:hAnsi="Arial" w:cs="Arial"/>
          <w:sz w:val="24"/>
          <w:szCs w:val="24"/>
        </w:rPr>
        <w:t xml:space="preserve"> mentioned above</w:t>
      </w:r>
      <w:r w:rsidR="000B243B" w:rsidRPr="003604DB">
        <w:rPr>
          <w:rFonts w:ascii="Arial" w:hAnsi="Arial" w:cs="Arial"/>
          <w:sz w:val="24"/>
          <w:szCs w:val="24"/>
        </w:rPr>
        <w:t xml:space="preserve"> made by the Government in the Coroners and Justice Act (CJA) 2009. After the research was carried out by the Law Commission and the Ministry of Justice, the Government replaced the old defence of provocation under s. 3 of the Homicide Act (HA) 1957 with the defence of loss of control under ss.54 and 55 of the CJA  2009(Louise, 2018, p. 79). This defence applies only if the following exists: the defendant loses self-control (subjective test); the self-control had a qualifying trigger- fear trigger or anger trigger; and a person with the same characteristics, in the same situation, would act in the same or similar way, known as an objective test (Monaghan, 2018, p.130), stated under s. 54 of the CJA 2009. The term ‘qualifying trigger’ of the defence of loss of control under s. 55 of the CJA 2009 is a new edition in the law after the reform which replaced the provoking words and/or conduct consisting in the old common law defence of provocation. The anger trigger corresponds to words and act</w:t>
      </w:r>
      <w:r w:rsidR="000B243B">
        <w:rPr>
          <w:rFonts w:ascii="Arial" w:hAnsi="Arial" w:cs="Arial"/>
          <w:sz w:val="24"/>
          <w:szCs w:val="24"/>
        </w:rPr>
        <w:t>s described as</w:t>
      </w:r>
      <w:r w:rsidR="000B243B" w:rsidRPr="003604DB">
        <w:rPr>
          <w:rFonts w:ascii="Arial" w:hAnsi="Arial" w:cs="Arial"/>
          <w:sz w:val="24"/>
          <w:szCs w:val="24"/>
        </w:rPr>
        <w:t xml:space="preserve"> ‘extremely grave character</w:t>
      </w:r>
      <w:r w:rsidR="000B243B">
        <w:rPr>
          <w:rFonts w:ascii="Arial" w:hAnsi="Arial" w:cs="Arial"/>
          <w:sz w:val="24"/>
          <w:szCs w:val="24"/>
        </w:rPr>
        <w:t>’</w:t>
      </w:r>
      <w:r w:rsidR="000B243B" w:rsidRPr="003604DB">
        <w:rPr>
          <w:rFonts w:ascii="Arial" w:hAnsi="Arial" w:cs="Arial"/>
          <w:sz w:val="24"/>
          <w:szCs w:val="24"/>
        </w:rPr>
        <w:t xml:space="preserve"> and caused the defendant’s ‘justifiable sense of being seriously wronged’</w:t>
      </w:r>
      <w:r w:rsidR="000B243B">
        <w:rPr>
          <w:rFonts w:ascii="Arial" w:hAnsi="Arial" w:cs="Arial"/>
          <w:sz w:val="24"/>
          <w:szCs w:val="24"/>
        </w:rPr>
        <w:t xml:space="preserve">. The fact is that these issues are not determined, and they are at the judge’s or the jury’s </w:t>
      </w:r>
      <w:r w:rsidR="000B243B">
        <w:rPr>
          <w:rFonts w:ascii="Arial" w:hAnsi="Arial" w:cs="Arial"/>
          <w:sz w:val="24"/>
          <w:szCs w:val="24"/>
        </w:rPr>
        <w:lastRenderedPageBreak/>
        <w:t>consideration to be defined, proved in ‘</w:t>
      </w:r>
      <w:r w:rsidR="000B243B" w:rsidRPr="00BE39A9">
        <w:rPr>
          <w:rFonts w:ascii="Arial" w:hAnsi="Arial" w:cs="Arial"/>
          <w:i/>
          <w:iCs/>
          <w:sz w:val="24"/>
          <w:szCs w:val="24"/>
        </w:rPr>
        <w:t>Dawes; Hatter; Bowyer</w:t>
      </w:r>
      <w:r w:rsidR="000B243B">
        <w:rPr>
          <w:rFonts w:ascii="Arial" w:hAnsi="Arial" w:cs="Arial"/>
          <w:sz w:val="24"/>
          <w:szCs w:val="24"/>
        </w:rPr>
        <w:t xml:space="preserve"> </w:t>
      </w:r>
      <w:r w:rsidR="000B243B" w:rsidRPr="00595378">
        <w:rPr>
          <w:rFonts w:ascii="Arial" w:hAnsi="Arial" w:cs="Arial"/>
          <w:i/>
          <w:iCs/>
          <w:sz w:val="24"/>
          <w:szCs w:val="24"/>
        </w:rPr>
        <w:t>v R</w:t>
      </w:r>
      <w:r w:rsidR="000B243B">
        <w:rPr>
          <w:rFonts w:ascii="Arial" w:hAnsi="Arial" w:cs="Arial"/>
          <w:i/>
          <w:iCs/>
          <w:sz w:val="24"/>
          <w:szCs w:val="24"/>
        </w:rPr>
        <w:t>’</w:t>
      </w:r>
      <w:r w:rsidR="000B243B">
        <w:rPr>
          <w:rFonts w:ascii="Arial" w:hAnsi="Arial" w:cs="Arial"/>
          <w:sz w:val="24"/>
          <w:szCs w:val="24"/>
        </w:rPr>
        <w:t xml:space="preserve"> (2013), meaning that this area of the law leaves uncertain and needs further clarity (Monaghan, 2018, pp. 112-113). Regarding diminished responsibility, most of the Law Commission’s proposals are retained, although the proposal for ‘development immaturity’ for the child defendant has been eliminated. </w:t>
      </w:r>
      <w:r w:rsidR="000B243B" w:rsidRPr="003604DB">
        <w:rPr>
          <w:rFonts w:ascii="Arial" w:hAnsi="Arial" w:cs="Arial"/>
          <w:sz w:val="24"/>
          <w:szCs w:val="24"/>
        </w:rPr>
        <w:t>Furthermore, the new legislation provides the defence of diminished responsibility with a clear definition</w:t>
      </w:r>
      <w:r w:rsidR="000B243B">
        <w:rPr>
          <w:rFonts w:ascii="Arial" w:hAnsi="Arial" w:cs="Arial"/>
          <w:sz w:val="24"/>
          <w:szCs w:val="24"/>
        </w:rPr>
        <w:t xml:space="preserve">. </w:t>
      </w:r>
      <w:r w:rsidR="000B243B" w:rsidRPr="003604DB">
        <w:rPr>
          <w:rFonts w:ascii="Arial" w:hAnsi="Arial" w:cs="Arial"/>
          <w:sz w:val="24"/>
          <w:szCs w:val="24"/>
        </w:rPr>
        <w:t>This defence occurs when the defendants kill because they suffer from mental illness which is medically recognised and their ability to understand their conduct is s</w:t>
      </w:r>
      <w:r w:rsidR="000B243B">
        <w:rPr>
          <w:rFonts w:ascii="Arial" w:hAnsi="Arial" w:cs="Arial"/>
          <w:sz w:val="24"/>
          <w:szCs w:val="24"/>
        </w:rPr>
        <w:t>ignificantly</w:t>
      </w:r>
      <w:r w:rsidR="000B243B" w:rsidRPr="003604DB">
        <w:rPr>
          <w:rFonts w:ascii="Arial" w:hAnsi="Arial" w:cs="Arial"/>
          <w:sz w:val="24"/>
          <w:szCs w:val="24"/>
        </w:rPr>
        <w:t xml:space="preserve"> impaired, as stated under s. 2 of the HA 1957, amended by s.52 of the CJA 2009.  Additionally, the defence of participating in a suicide pact under s. 4 of the HA 1957 applies when defendants plan to commit suicide and die with the victim but in the end, survive. </w:t>
      </w:r>
      <w:bookmarkStart w:id="0" w:name="_Hlk138481242"/>
      <w:r w:rsidR="000B243B" w:rsidRPr="003604DB">
        <w:rPr>
          <w:rFonts w:ascii="Arial" w:hAnsi="Arial" w:cs="Arial"/>
          <w:sz w:val="24"/>
          <w:szCs w:val="24"/>
        </w:rPr>
        <w:t>Unlike voluntary manslaughter, the men’s rea in involuntary does not exist and this is the main difference between both types (Louise, 2018, pp. 79-80). The term involuntary manslaughter involved three main types: killing because of gross negligence</w:t>
      </w:r>
      <w:r w:rsidR="000B243B">
        <w:rPr>
          <w:rFonts w:ascii="Arial" w:hAnsi="Arial" w:cs="Arial"/>
          <w:sz w:val="24"/>
          <w:szCs w:val="24"/>
        </w:rPr>
        <w:t xml:space="preserve"> </w:t>
      </w:r>
      <w:r w:rsidR="000B243B" w:rsidRPr="007E324F">
        <w:rPr>
          <w:rFonts w:ascii="Arial" w:hAnsi="Arial" w:cs="Arial"/>
          <w:i/>
          <w:iCs/>
          <w:sz w:val="24"/>
          <w:szCs w:val="24"/>
        </w:rPr>
        <w:t>Adomako</w:t>
      </w:r>
      <w:r w:rsidR="000B243B">
        <w:rPr>
          <w:rFonts w:ascii="Arial" w:hAnsi="Arial" w:cs="Arial"/>
          <w:sz w:val="24"/>
          <w:szCs w:val="24"/>
        </w:rPr>
        <w:t xml:space="preserve"> (1995)</w:t>
      </w:r>
      <w:r w:rsidR="000B243B" w:rsidRPr="003604DB">
        <w:rPr>
          <w:rFonts w:ascii="Arial" w:hAnsi="Arial" w:cs="Arial"/>
          <w:sz w:val="24"/>
          <w:szCs w:val="24"/>
        </w:rPr>
        <w:t>; conduct of unlawful act which leads to dangerous harm and death of the victim</w:t>
      </w:r>
      <w:r w:rsidR="000B243B" w:rsidRPr="007E324F">
        <w:rPr>
          <w:rFonts w:ascii="Arial" w:hAnsi="Arial" w:cs="Arial"/>
          <w:sz w:val="24"/>
          <w:szCs w:val="24"/>
        </w:rPr>
        <w:t xml:space="preserve"> </w:t>
      </w:r>
      <w:r w:rsidR="000B243B" w:rsidRPr="003604DB">
        <w:rPr>
          <w:rFonts w:ascii="Arial" w:hAnsi="Arial" w:cs="Arial"/>
          <w:sz w:val="24"/>
          <w:szCs w:val="24"/>
        </w:rPr>
        <w:t xml:space="preserve">set out by the House of Lords in the case of </w:t>
      </w:r>
      <w:r w:rsidR="000B243B">
        <w:rPr>
          <w:rFonts w:ascii="Arial" w:hAnsi="Arial" w:cs="Arial"/>
          <w:sz w:val="24"/>
          <w:szCs w:val="24"/>
        </w:rPr>
        <w:t>‘</w:t>
      </w:r>
      <w:r w:rsidR="000B243B" w:rsidRPr="003604DB">
        <w:rPr>
          <w:rFonts w:ascii="Arial" w:hAnsi="Arial" w:cs="Arial"/>
          <w:i/>
          <w:iCs/>
          <w:sz w:val="24"/>
          <w:szCs w:val="24"/>
        </w:rPr>
        <w:t xml:space="preserve">DPP v Newbury and Jones </w:t>
      </w:r>
      <w:r w:rsidR="000B243B">
        <w:rPr>
          <w:rFonts w:ascii="Arial" w:hAnsi="Arial" w:cs="Arial"/>
          <w:sz w:val="24"/>
          <w:szCs w:val="24"/>
        </w:rPr>
        <w:t>(</w:t>
      </w:r>
      <w:r w:rsidR="000B243B" w:rsidRPr="003604DB">
        <w:rPr>
          <w:rFonts w:ascii="Arial" w:hAnsi="Arial" w:cs="Arial"/>
          <w:sz w:val="24"/>
          <w:szCs w:val="24"/>
        </w:rPr>
        <w:t>1977</w:t>
      </w:r>
      <w:r w:rsidR="000B243B">
        <w:rPr>
          <w:rFonts w:ascii="Arial" w:hAnsi="Arial" w:cs="Arial"/>
          <w:sz w:val="24"/>
          <w:szCs w:val="24"/>
        </w:rPr>
        <w:t>)’</w:t>
      </w:r>
      <w:r w:rsidR="000B243B" w:rsidRPr="003604DB">
        <w:rPr>
          <w:rFonts w:ascii="Arial" w:hAnsi="Arial" w:cs="Arial"/>
          <w:sz w:val="24"/>
          <w:szCs w:val="24"/>
        </w:rPr>
        <w:t xml:space="preserve"> and </w:t>
      </w:r>
      <w:r w:rsidR="000B243B">
        <w:rPr>
          <w:rFonts w:ascii="Arial" w:hAnsi="Arial" w:cs="Arial"/>
          <w:sz w:val="24"/>
          <w:szCs w:val="24"/>
        </w:rPr>
        <w:t>the last type is</w:t>
      </w:r>
      <w:r w:rsidR="000B243B" w:rsidRPr="003604DB">
        <w:rPr>
          <w:rFonts w:ascii="Arial" w:hAnsi="Arial" w:cs="Arial"/>
          <w:sz w:val="24"/>
          <w:szCs w:val="24"/>
        </w:rPr>
        <w:t xml:space="preserve"> subjectively reckless manslaughter</w:t>
      </w:r>
      <w:r w:rsidR="000B243B">
        <w:rPr>
          <w:rFonts w:ascii="Arial" w:hAnsi="Arial" w:cs="Arial"/>
          <w:sz w:val="24"/>
          <w:szCs w:val="24"/>
        </w:rPr>
        <w:t xml:space="preserve">, a precedent set by the Court of Appeal in 1999 in the unreported ‘case of </w:t>
      </w:r>
      <w:r w:rsidR="000B243B" w:rsidRPr="004B6A2B">
        <w:rPr>
          <w:rFonts w:ascii="Arial" w:hAnsi="Arial" w:cs="Arial"/>
          <w:i/>
          <w:iCs/>
          <w:sz w:val="24"/>
          <w:szCs w:val="24"/>
        </w:rPr>
        <w:t>Lidar</w:t>
      </w:r>
      <w:r w:rsidR="000B243B">
        <w:rPr>
          <w:rFonts w:ascii="Arial" w:hAnsi="Arial" w:cs="Arial"/>
          <w:sz w:val="24"/>
          <w:szCs w:val="24"/>
        </w:rPr>
        <w:t>’</w:t>
      </w:r>
      <w:r w:rsidR="000B243B" w:rsidRPr="003604DB">
        <w:rPr>
          <w:rFonts w:ascii="Arial" w:hAnsi="Arial" w:cs="Arial"/>
          <w:sz w:val="24"/>
          <w:szCs w:val="24"/>
        </w:rPr>
        <w:t>(Monaghan, 2018, p.</w:t>
      </w:r>
      <w:r w:rsidR="001D3DE0">
        <w:rPr>
          <w:rFonts w:ascii="Arial" w:hAnsi="Arial" w:cs="Arial"/>
          <w:sz w:val="24"/>
          <w:szCs w:val="24"/>
        </w:rPr>
        <w:t xml:space="preserve"> </w:t>
      </w:r>
      <w:r w:rsidR="000B243B" w:rsidRPr="003604DB">
        <w:rPr>
          <w:rFonts w:ascii="Arial" w:hAnsi="Arial" w:cs="Arial"/>
          <w:sz w:val="24"/>
          <w:szCs w:val="24"/>
        </w:rPr>
        <w:t>135</w:t>
      </w:r>
      <w:r w:rsidR="000B243B">
        <w:rPr>
          <w:rFonts w:ascii="Arial" w:hAnsi="Arial" w:cs="Arial"/>
          <w:sz w:val="24"/>
          <w:szCs w:val="24"/>
        </w:rPr>
        <w:t xml:space="preserve"> -158</w:t>
      </w:r>
      <w:r w:rsidR="000B243B" w:rsidRPr="003604DB">
        <w:rPr>
          <w:rFonts w:ascii="Arial" w:hAnsi="Arial" w:cs="Arial"/>
          <w:sz w:val="24"/>
          <w:szCs w:val="24"/>
        </w:rPr>
        <w:t xml:space="preserve">). </w:t>
      </w:r>
      <w:bookmarkEnd w:id="0"/>
    </w:p>
    <w:p w14:paraId="45C0E603" w14:textId="5011A690" w:rsidR="000B243B" w:rsidRDefault="00A23A16" w:rsidP="000B243B">
      <w:pPr>
        <w:rPr>
          <w:rFonts w:ascii="Arial" w:hAnsi="Arial" w:cs="Arial"/>
          <w:sz w:val="24"/>
          <w:szCs w:val="24"/>
        </w:rPr>
      </w:pPr>
      <w:r>
        <w:rPr>
          <w:rFonts w:ascii="Arial" w:hAnsi="Arial" w:cs="Arial"/>
          <w:sz w:val="24"/>
          <w:szCs w:val="24"/>
        </w:rPr>
        <w:t>In summary</w:t>
      </w:r>
      <w:r w:rsidR="000B243B">
        <w:rPr>
          <w:rFonts w:ascii="Arial" w:hAnsi="Arial" w:cs="Arial"/>
          <w:sz w:val="24"/>
          <w:szCs w:val="24"/>
        </w:rPr>
        <w:t>, on one hand, homicide</w:t>
      </w:r>
      <w:r w:rsidR="000B243B" w:rsidRPr="003604DB">
        <w:rPr>
          <w:rFonts w:ascii="Arial" w:hAnsi="Arial" w:cs="Arial"/>
          <w:sz w:val="24"/>
          <w:szCs w:val="24"/>
        </w:rPr>
        <w:t xml:space="preserve"> is the most serious offence which affects the defendant’s freedom causing serious restrictions and on the other, it forms the state’s obligation to protect people’s life under Art. 2</w:t>
      </w:r>
      <w:r w:rsidR="008535FC">
        <w:rPr>
          <w:rFonts w:ascii="Arial" w:hAnsi="Arial" w:cs="Arial"/>
          <w:sz w:val="24"/>
          <w:szCs w:val="24"/>
        </w:rPr>
        <w:t xml:space="preserve"> </w:t>
      </w:r>
      <w:r w:rsidR="000B243B" w:rsidRPr="003604DB">
        <w:rPr>
          <w:rFonts w:ascii="Arial" w:hAnsi="Arial" w:cs="Arial"/>
          <w:sz w:val="24"/>
          <w:szCs w:val="24"/>
        </w:rPr>
        <w:t>H</w:t>
      </w:r>
      <w:r w:rsidR="00862614">
        <w:rPr>
          <w:rFonts w:ascii="Arial" w:hAnsi="Arial" w:cs="Arial"/>
          <w:sz w:val="24"/>
          <w:szCs w:val="24"/>
        </w:rPr>
        <w:t xml:space="preserve">uman </w:t>
      </w:r>
      <w:r w:rsidR="000B243B" w:rsidRPr="003604DB">
        <w:rPr>
          <w:rFonts w:ascii="Arial" w:hAnsi="Arial" w:cs="Arial"/>
          <w:sz w:val="24"/>
          <w:szCs w:val="24"/>
        </w:rPr>
        <w:t>R</w:t>
      </w:r>
      <w:r w:rsidR="00862614">
        <w:rPr>
          <w:rFonts w:ascii="Arial" w:hAnsi="Arial" w:cs="Arial"/>
          <w:sz w:val="24"/>
          <w:szCs w:val="24"/>
        </w:rPr>
        <w:t>ights</w:t>
      </w:r>
      <w:r w:rsidR="008535FC">
        <w:rPr>
          <w:rFonts w:ascii="Arial" w:hAnsi="Arial" w:cs="Arial"/>
          <w:sz w:val="24"/>
          <w:szCs w:val="24"/>
        </w:rPr>
        <w:t xml:space="preserve"> Act 1998</w:t>
      </w:r>
      <w:r w:rsidR="000B243B">
        <w:rPr>
          <w:rFonts w:ascii="Arial" w:hAnsi="Arial" w:cs="Arial"/>
          <w:sz w:val="24"/>
          <w:szCs w:val="24"/>
        </w:rPr>
        <w:t xml:space="preserve">. </w:t>
      </w:r>
      <w:r w:rsidR="00A057FF">
        <w:rPr>
          <w:rFonts w:ascii="Arial" w:hAnsi="Arial" w:cs="Arial"/>
          <w:sz w:val="24"/>
          <w:szCs w:val="24"/>
        </w:rPr>
        <w:t>All in all, t</w:t>
      </w:r>
      <w:r w:rsidR="000B243B">
        <w:rPr>
          <w:rFonts w:ascii="Arial" w:hAnsi="Arial" w:cs="Arial"/>
          <w:sz w:val="24"/>
          <w:szCs w:val="24"/>
        </w:rPr>
        <w:t xml:space="preserve">he </w:t>
      </w:r>
      <w:r w:rsidR="001D3DE0">
        <w:rPr>
          <w:rFonts w:ascii="Arial" w:hAnsi="Arial" w:cs="Arial"/>
          <w:sz w:val="24"/>
          <w:szCs w:val="24"/>
        </w:rPr>
        <w:t xml:space="preserve">government’s </w:t>
      </w:r>
      <w:r w:rsidR="000B243B">
        <w:rPr>
          <w:rFonts w:ascii="Arial" w:hAnsi="Arial" w:cs="Arial"/>
          <w:sz w:val="24"/>
          <w:szCs w:val="24"/>
        </w:rPr>
        <w:t>h</w:t>
      </w:r>
      <w:r w:rsidR="000B243B" w:rsidRPr="003604DB">
        <w:rPr>
          <w:rFonts w:ascii="Arial" w:hAnsi="Arial" w:cs="Arial"/>
          <w:sz w:val="24"/>
          <w:szCs w:val="24"/>
        </w:rPr>
        <w:t xml:space="preserve">omicide law reform </w:t>
      </w:r>
      <w:r w:rsidR="000B243B">
        <w:rPr>
          <w:rFonts w:ascii="Arial" w:hAnsi="Arial" w:cs="Arial"/>
          <w:sz w:val="24"/>
          <w:szCs w:val="24"/>
        </w:rPr>
        <w:t xml:space="preserve">has not satisfied desired changes. The </w:t>
      </w:r>
      <w:r w:rsidR="005F06DC">
        <w:rPr>
          <w:rFonts w:ascii="Arial" w:hAnsi="Arial" w:cs="Arial"/>
          <w:sz w:val="24"/>
          <w:szCs w:val="24"/>
        </w:rPr>
        <w:t xml:space="preserve">fact is that </w:t>
      </w:r>
      <w:r w:rsidR="000B243B">
        <w:rPr>
          <w:rFonts w:ascii="Arial" w:hAnsi="Arial" w:cs="Arial"/>
          <w:sz w:val="24"/>
          <w:szCs w:val="24"/>
        </w:rPr>
        <w:t>only part</w:t>
      </w:r>
      <w:r w:rsidR="002E2D4E">
        <w:rPr>
          <w:rFonts w:ascii="Arial" w:hAnsi="Arial" w:cs="Arial"/>
          <w:sz w:val="24"/>
          <w:szCs w:val="24"/>
        </w:rPr>
        <w:t>s</w:t>
      </w:r>
      <w:r w:rsidR="000B243B">
        <w:rPr>
          <w:rFonts w:ascii="Arial" w:hAnsi="Arial" w:cs="Arial"/>
          <w:sz w:val="24"/>
          <w:szCs w:val="24"/>
        </w:rPr>
        <w:t xml:space="preserve"> of the Law Commission’s proposals</w:t>
      </w:r>
      <w:r w:rsidR="004F20EF">
        <w:rPr>
          <w:rFonts w:ascii="Arial" w:hAnsi="Arial" w:cs="Arial"/>
          <w:sz w:val="24"/>
          <w:szCs w:val="24"/>
        </w:rPr>
        <w:t xml:space="preserve"> </w:t>
      </w:r>
      <w:r w:rsidR="002E2D4E">
        <w:rPr>
          <w:rFonts w:ascii="Arial" w:hAnsi="Arial" w:cs="Arial"/>
          <w:sz w:val="24"/>
          <w:szCs w:val="24"/>
        </w:rPr>
        <w:t>were</w:t>
      </w:r>
      <w:r w:rsidR="004F20EF">
        <w:rPr>
          <w:rFonts w:ascii="Arial" w:hAnsi="Arial" w:cs="Arial"/>
          <w:sz w:val="24"/>
          <w:szCs w:val="24"/>
        </w:rPr>
        <w:t xml:space="preserve"> taken into </w:t>
      </w:r>
      <w:r w:rsidR="0023534E">
        <w:rPr>
          <w:rFonts w:ascii="Arial" w:hAnsi="Arial" w:cs="Arial"/>
          <w:sz w:val="24"/>
          <w:szCs w:val="24"/>
        </w:rPr>
        <w:t>consideration</w:t>
      </w:r>
      <w:r w:rsidR="000B243B">
        <w:rPr>
          <w:rFonts w:ascii="Arial" w:hAnsi="Arial" w:cs="Arial"/>
          <w:sz w:val="24"/>
          <w:szCs w:val="24"/>
        </w:rPr>
        <w:t xml:space="preserve"> and others</w:t>
      </w:r>
      <w:r w:rsidR="0023534E">
        <w:rPr>
          <w:rFonts w:ascii="Arial" w:hAnsi="Arial" w:cs="Arial"/>
          <w:sz w:val="24"/>
          <w:szCs w:val="24"/>
        </w:rPr>
        <w:t xml:space="preserve"> were rejected</w:t>
      </w:r>
      <w:r w:rsidR="000B243B">
        <w:rPr>
          <w:rFonts w:ascii="Arial" w:hAnsi="Arial" w:cs="Arial"/>
          <w:sz w:val="24"/>
          <w:szCs w:val="24"/>
        </w:rPr>
        <w:t xml:space="preserve"> </w:t>
      </w:r>
      <w:r w:rsidR="002E2D4E">
        <w:rPr>
          <w:rFonts w:ascii="Arial" w:hAnsi="Arial" w:cs="Arial"/>
          <w:sz w:val="24"/>
          <w:szCs w:val="24"/>
        </w:rPr>
        <w:t>leading</w:t>
      </w:r>
      <w:r w:rsidR="000B243B">
        <w:rPr>
          <w:rFonts w:ascii="Arial" w:hAnsi="Arial" w:cs="Arial"/>
          <w:sz w:val="24"/>
          <w:szCs w:val="24"/>
        </w:rPr>
        <w:t xml:space="preserve"> to huge problems in the practice and law. For instance, partial defences of provocation and diminished responsibility were created to reduce first-degree murder to second-degree, moreover, the range of the mandatory life sentence for murder was much smaller in the Law Commission’s scheme meaning that they do not correspond to the structure they were created for. Additionally, the new partial defence of loss of control has </w:t>
      </w:r>
      <w:r w:rsidR="00EA40A5">
        <w:rPr>
          <w:rFonts w:ascii="Arial" w:hAnsi="Arial" w:cs="Arial"/>
          <w:sz w:val="24"/>
          <w:szCs w:val="24"/>
        </w:rPr>
        <w:t>appeared to be</w:t>
      </w:r>
      <w:r w:rsidR="000B243B">
        <w:rPr>
          <w:rFonts w:ascii="Arial" w:hAnsi="Arial" w:cs="Arial"/>
          <w:sz w:val="24"/>
          <w:szCs w:val="24"/>
        </w:rPr>
        <w:t xml:space="preserve"> an accessible defence for women victims of domestic violence.</w:t>
      </w:r>
      <w:r w:rsidR="00926BFD">
        <w:rPr>
          <w:rFonts w:ascii="Arial" w:hAnsi="Arial" w:cs="Arial"/>
          <w:sz w:val="24"/>
          <w:szCs w:val="24"/>
        </w:rPr>
        <w:t xml:space="preserve"> </w:t>
      </w:r>
      <w:r w:rsidR="00572A50">
        <w:rPr>
          <w:rFonts w:ascii="Arial" w:hAnsi="Arial" w:cs="Arial"/>
          <w:sz w:val="24"/>
          <w:szCs w:val="24"/>
        </w:rPr>
        <w:t>Likewise</w:t>
      </w:r>
      <w:r w:rsidR="00926BFD">
        <w:rPr>
          <w:rFonts w:ascii="Arial" w:hAnsi="Arial" w:cs="Arial"/>
          <w:sz w:val="24"/>
          <w:szCs w:val="24"/>
        </w:rPr>
        <w:t xml:space="preserve">, the </w:t>
      </w:r>
      <w:r w:rsidR="001E6EAF">
        <w:rPr>
          <w:rFonts w:ascii="Arial" w:hAnsi="Arial" w:cs="Arial"/>
          <w:sz w:val="24"/>
          <w:szCs w:val="24"/>
        </w:rPr>
        <w:t>intended</w:t>
      </w:r>
      <w:r w:rsidR="0008303C">
        <w:rPr>
          <w:rFonts w:ascii="Arial" w:hAnsi="Arial" w:cs="Arial"/>
          <w:sz w:val="24"/>
          <w:szCs w:val="24"/>
        </w:rPr>
        <w:t xml:space="preserve"> diminished responsibility for children had been completely</w:t>
      </w:r>
      <w:r w:rsidR="00513BF6">
        <w:rPr>
          <w:rFonts w:ascii="Arial" w:hAnsi="Arial" w:cs="Arial"/>
          <w:sz w:val="24"/>
          <w:szCs w:val="24"/>
        </w:rPr>
        <w:t xml:space="preserve"> lost.</w:t>
      </w:r>
      <w:r w:rsidR="0008303C">
        <w:rPr>
          <w:rFonts w:ascii="Arial" w:hAnsi="Arial" w:cs="Arial"/>
          <w:sz w:val="24"/>
          <w:szCs w:val="24"/>
        </w:rPr>
        <w:t xml:space="preserve"> </w:t>
      </w:r>
      <w:r w:rsidR="000B243B">
        <w:rPr>
          <w:rFonts w:ascii="Arial" w:hAnsi="Arial" w:cs="Arial"/>
          <w:sz w:val="24"/>
          <w:szCs w:val="24"/>
        </w:rPr>
        <w:t xml:space="preserve">Without a doubt, there is a dire need for extensive reform of the homicide law to be carried out by the government </w:t>
      </w:r>
      <w:r w:rsidR="00D078CE">
        <w:rPr>
          <w:rFonts w:ascii="Arial" w:hAnsi="Arial" w:cs="Arial"/>
          <w:sz w:val="24"/>
          <w:szCs w:val="24"/>
        </w:rPr>
        <w:t>to</w:t>
      </w:r>
      <w:r w:rsidR="000B243B">
        <w:rPr>
          <w:rFonts w:ascii="Arial" w:hAnsi="Arial" w:cs="Arial"/>
          <w:sz w:val="24"/>
          <w:szCs w:val="24"/>
        </w:rPr>
        <w:t xml:space="preserve"> keep justice</w:t>
      </w:r>
      <w:r w:rsidR="000B243B" w:rsidRPr="003604DB">
        <w:rPr>
          <w:rFonts w:ascii="Arial" w:hAnsi="Arial" w:cs="Arial"/>
          <w:sz w:val="24"/>
          <w:szCs w:val="24"/>
        </w:rPr>
        <w:t xml:space="preserve"> (Justice</w:t>
      </w:r>
      <w:r w:rsidR="000B243B">
        <w:rPr>
          <w:rFonts w:ascii="Arial" w:hAnsi="Arial" w:cs="Arial"/>
          <w:sz w:val="24"/>
          <w:szCs w:val="24"/>
        </w:rPr>
        <w:t>, no date</w:t>
      </w:r>
      <w:r w:rsidR="000B243B" w:rsidRPr="003604DB">
        <w:rPr>
          <w:rFonts w:ascii="Arial" w:hAnsi="Arial" w:cs="Arial"/>
          <w:sz w:val="24"/>
          <w:szCs w:val="24"/>
        </w:rPr>
        <w:t>).</w:t>
      </w:r>
    </w:p>
    <w:p w14:paraId="30E30A62" w14:textId="77777777" w:rsidR="000B243B" w:rsidRDefault="000B243B" w:rsidP="000B243B">
      <w:pPr>
        <w:rPr>
          <w:rFonts w:ascii="Arial" w:hAnsi="Arial" w:cs="Arial"/>
          <w:sz w:val="24"/>
          <w:szCs w:val="24"/>
        </w:rPr>
      </w:pPr>
    </w:p>
    <w:p w14:paraId="45929EED" w14:textId="720BE18C" w:rsidR="00DB1125" w:rsidRDefault="00DB1125" w:rsidP="000B243B">
      <w:pPr>
        <w:rPr>
          <w:rFonts w:ascii="Arial" w:hAnsi="Arial" w:cs="Arial"/>
          <w:sz w:val="24"/>
          <w:szCs w:val="24"/>
        </w:rPr>
      </w:pPr>
      <w:r>
        <w:rPr>
          <w:rFonts w:ascii="Arial" w:hAnsi="Arial" w:cs="Arial"/>
          <w:sz w:val="24"/>
          <w:szCs w:val="24"/>
        </w:rPr>
        <w:t>16</w:t>
      </w:r>
      <w:r w:rsidR="0099414D">
        <w:rPr>
          <w:rFonts w:ascii="Arial" w:hAnsi="Arial" w:cs="Arial"/>
          <w:sz w:val="24"/>
          <w:szCs w:val="24"/>
        </w:rPr>
        <w:t>48</w:t>
      </w:r>
      <w:r>
        <w:rPr>
          <w:rFonts w:ascii="Arial" w:hAnsi="Arial" w:cs="Arial"/>
          <w:sz w:val="24"/>
          <w:szCs w:val="24"/>
        </w:rPr>
        <w:t xml:space="preserve"> words</w:t>
      </w:r>
    </w:p>
    <w:p w14:paraId="79E2868A" w14:textId="77777777" w:rsidR="00CB6F6D" w:rsidRDefault="00CB6F6D" w:rsidP="000B243B">
      <w:pPr>
        <w:rPr>
          <w:rFonts w:ascii="Arial" w:hAnsi="Arial" w:cs="Arial"/>
          <w:sz w:val="24"/>
          <w:szCs w:val="24"/>
        </w:rPr>
      </w:pPr>
    </w:p>
    <w:p w14:paraId="162CC6FF" w14:textId="77777777" w:rsidR="004D41D2" w:rsidRDefault="004D41D2" w:rsidP="000B243B">
      <w:pPr>
        <w:rPr>
          <w:rFonts w:ascii="Arial" w:hAnsi="Arial" w:cs="Arial"/>
          <w:sz w:val="24"/>
          <w:szCs w:val="24"/>
        </w:rPr>
      </w:pPr>
    </w:p>
    <w:p w14:paraId="3B65706F" w14:textId="77777777" w:rsidR="004D41D2" w:rsidRDefault="004D41D2" w:rsidP="000B243B">
      <w:pPr>
        <w:rPr>
          <w:rFonts w:ascii="Arial" w:hAnsi="Arial" w:cs="Arial"/>
          <w:sz w:val="24"/>
          <w:szCs w:val="24"/>
        </w:rPr>
      </w:pPr>
    </w:p>
    <w:p w14:paraId="6A66A5DC" w14:textId="77777777" w:rsidR="004D41D2" w:rsidRDefault="004D41D2" w:rsidP="000B243B">
      <w:pPr>
        <w:rPr>
          <w:rFonts w:ascii="Arial" w:hAnsi="Arial" w:cs="Arial"/>
          <w:sz w:val="24"/>
          <w:szCs w:val="24"/>
        </w:rPr>
      </w:pPr>
    </w:p>
    <w:p w14:paraId="39709425" w14:textId="77777777" w:rsidR="004D41D2" w:rsidRDefault="004D41D2" w:rsidP="000B243B">
      <w:pPr>
        <w:rPr>
          <w:rFonts w:ascii="Arial" w:hAnsi="Arial" w:cs="Arial"/>
          <w:sz w:val="24"/>
          <w:szCs w:val="24"/>
        </w:rPr>
      </w:pPr>
    </w:p>
    <w:p w14:paraId="6099F5A4" w14:textId="77777777" w:rsidR="004D41D2" w:rsidRDefault="004D41D2" w:rsidP="000B243B">
      <w:pPr>
        <w:rPr>
          <w:rFonts w:ascii="Arial" w:hAnsi="Arial" w:cs="Arial"/>
          <w:sz w:val="24"/>
          <w:szCs w:val="24"/>
        </w:rPr>
      </w:pPr>
    </w:p>
    <w:p w14:paraId="29A6244D" w14:textId="51E6A5EC" w:rsidR="004D41D2" w:rsidRDefault="004D41D2" w:rsidP="000B243B">
      <w:pPr>
        <w:rPr>
          <w:rFonts w:ascii="Arial" w:hAnsi="Arial" w:cs="Arial"/>
          <w:sz w:val="24"/>
          <w:szCs w:val="24"/>
        </w:rPr>
      </w:pPr>
      <w:r>
        <w:rPr>
          <w:rFonts w:ascii="Arial" w:hAnsi="Arial" w:cs="Arial"/>
          <w:sz w:val="24"/>
          <w:szCs w:val="24"/>
        </w:rPr>
        <w:lastRenderedPageBreak/>
        <w:t>Reference list</w:t>
      </w:r>
      <w:r w:rsidR="001453C7">
        <w:rPr>
          <w:rFonts w:ascii="Arial" w:hAnsi="Arial" w:cs="Arial"/>
          <w:sz w:val="24"/>
          <w:szCs w:val="24"/>
        </w:rPr>
        <w:t>:</w:t>
      </w:r>
    </w:p>
    <w:p w14:paraId="42B6FC31" w14:textId="77777777" w:rsidR="004D41D2" w:rsidRDefault="004D41D2" w:rsidP="004D41D2">
      <w:pPr>
        <w:rPr>
          <w:rFonts w:ascii="Arial" w:hAnsi="Arial" w:cs="Arial"/>
          <w:sz w:val="24"/>
          <w:szCs w:val="24"/>
        </w:rPr>
      </w:pPr>
      <w:r>
        <w:rPr>
          <w:rFonts w:ascii="Arial" w:hAnsi="Arial" w:cs="Arial"/>
          <w:sz w:val="24"/>
          <w:szCs w:val="24"/>
        </w:rPr>
        <w:t xml:space="preserve">Child, J. and Ormerod, D. (2017) </w:t>
      </w:r>
      <w:r w:rsidRPr="008F1A6D">
        <w:rPr>
          <w:rFonts w:ascii="Arial" w:hAnsi="Arial" w:cs="Arial"/>
          <w:i/>
          <w:iCs/>
          <w:sz w:val="24"/>
          <w:szCs w:val="24"/>
        </w:rPr>
        <w:t>Smith, Hogan and Ormerod’s</w:t>
      </w:r>
      <w:r>
        <w:rPr>
          <w:rFonts w:ascii="Arial" w:hAnsi="Arial" w:cs="Arial"/>
          <w:sz w:val="24"/>
          <w:szCs w:val="24"/>
        </w:rPr>
        <w:t xml:space="preserve"> </w:t>
      </w:r>
      <w:r w:rsidRPr="0055180C">
        <w:rPr>
          <w:rFonts w:ascii="Arial" w:hAnsi="Arial" w:cs="Arial"/>
          <w:i/>
          <w:iCs/>
          <w:sz w:val="24"/>
          <w:szCs w:val="24"/>
        </w:rPr>
        <w:t>Essentials of Criminal Law</w:t>
      </w:r>
      <w:r>
        <w:rPr>
          <w:rFonts w:ascii="Arial" w:hAnsi="Arial" w:cs="Arial"/>
          <w:i/>
          <w:iCs/>
          <w:sz w:val="24"/>
          <w:szCs w:val="24"/>
        </w:rPr>
        <w:t>.</w:t>
      </w:r>
      <w:r>
        <w:rPr>
          <w:rFonts w:ascii="Arial" w:hAnsi="Arial" w:cs="Arial"/>
          <w:sz w:val="24"/>
          <w:szCs w:val="24"/>
        </w:rPr>
        <w:t xml:space="preserve"> 2</w:t>
      </w:r>
      <w:r w:rsidRPr="005D131E">
        <w:rPr>
          <w:rFonts w:ascii="Arial" w:hAnsi="Arial" w:cs="Arial"/>
          <w:sz w:val="24"/>
          <w:szCs w:val="24"/>
          <w:vertAlign w:val="superscript"/>
        </w:rPr>
        <w:t>nd</w:t>
      </w:r>
      <w:r>
        <w:rPr>
          <w:rFonts w:ascii="Arial" w:hAnsi="Arial" w:cs="Arial"/>
          <w:sz w:val="24"/>
          <w:szCs w:val="24"/>
        </w:rPr>
        <w:t xml:space="preserve"> Ed.</w:t>
      </w:r>
      <w:r w:rsidRPr="00EC076E">
        <w:rPr>
          <w:rFonts w:ascii="Arial" w:hAnsi="Arial" w:cs="Arial"/>
          <w:sz w:val="24"/>
          <w:szCs w:val="24"/>
        </w:rPr>
        <w:t xml:space="preserve"> </w:t>
      </w:r>
      <w:r>
        <w:rPr>
          <w:rFonts w:ascii="Arial" w:hAnsi="Arial" w:cs="Arial"/>
          <w:sz w:val="24"/>
          <w:szCs w:val="24"/>
        </w:rPr>
        <w:t>Oxford: Oxford University Press.</w:t>
      </w:r>
    </w:p>
    <w:p w14:paraId="00F5A990" w14:textId="77777777" w:rsidR="004D41D2" w:rsidRDefault="004D41D2" w:rsidP="004D41D2">
      <w:pPr>
        <w:rPr>
          <w:rFonts w:ascii="Arial" w:hAnsi="Arial" w:cs="Arial"/>
          <w:sz w:val="24"/>
          <w:szCs w:val="24"/>
        </w:rPr>
      </w:pPr>
      <w:r>
        <w:rPr>
          <w:rFonts w:ascii="Arial" w:hAnsi="Arial" w:cs="Arial"/>
          <w:sz w:val="24"/>
          <w:szCs w:val="24"/>
        </w:rPr>
        <w:t xml:space="preserve">Coroners and Justice Act 2009, c.1. Available at: </w:t>
      </w:r>
      <w:r w:rsidRPr="0009314A">
        <w:rPr>
          <w:rFonts w:ascii="Arial" w:hAnsi="Arial" w:cs="Arial"/>
          <w:sz w:val="24"/>
          <w:szCs w:val="24"/>
        </w:rPr>
        <w:t>https://www.legislation.gov.uk/ukpga/2009/25/part/2/chapter/1</w:t>
      </w:r>
      <w:r>
        <w:rPr>
          <w:rFonts w:ascii="Arial" w:hAnsi="Arial" w:cs="Arial"/>
          <w:sz w:val="24"/>
          <w:szCs w:val="24"/>
        </w:rPr>
        <w:t xml:space="preserve"> (Accessed: 11</w:t>
      </w:r>
      <w:r w:rsidRPr="00D634A7">
        <w:rPr>
          <w:rFonts w:ascii="Arial" w:hAnsi="Arial" w:cs="Arial"/>
          <w:sz w:val="24"/>
          <w:szCs w:val="24"/>
          <w:vertAlign w:val="superscript"/>
        </w:rPr>
        <w:t>th</w:t>
      </w:r>
      <w:r>
        <w:rPr>
          <w:rFonts w:ascii="Arial" w:hAnsi="Arial" w:cs="Arial"/>
          <w:sz w:val="24"/>
          <w:szCs w:val="24"/>
        </w:rPr>
        <w:t xml:space="preserve"> June 2023).</w:t>
      </w:r>
    </w:p>
    <w:p w14:paraId="6B76B0E8" w14:textId="77777777" w:rsidR="004D41D2" w:rsidRDefault="004D41D2" w:rsidP="004D41D2">
      <w:pPr>
        <w:rPr>
          <w:rFonts w:ascii="Arial" w:hAnsi="Arial" w:cs="Arial"/>
          <w:sz w:val="24"/>
          <w:szCs w:val="24"/>
        </w:rPr>
      </w:pPr>
      <w:r>
        <w:rPr>
          <w:rFonts w:ascii="Arial" w:hAnsi="Arial" w:cs="Arial"/>
          <w:sz w:val="24"/>
          <w:szCs w:val="24"/>
        </w:rPr>
        <w:t xml:space="preserve">Criminal Justice Act 1967, c.80. Available at: </w:t>
      </w:r>
      <w:r w:rsidRPr="000202B0">
        <w:rPr>
          <w:rFonts w:ascii="Arial" w:hAnsi="Arial" w:cs="Arial"/>
          <w:sz w:val="24"/>
          <w:szCs w:val="24"/>
        </w:rPr>
        <w:t>https://www.legislation.gov.uk/ukpga/1967/80</w:t>
      </w:r>
      <w:r>
        <w:rPr>
          <w:rFonts w:ascii="Arial" w:hAnsi="Arial" w:cs="Arial"/>
          <w:sz w:val="24"/>
          <w:szCs w:val="24"/>
        </w:rPr>
        <w:t xml:space="preserve"> (Accessed: 18</w:t>
      </w:r>
      <w:r w:rsidRPr="00D634A7">
        <w:rPr>
          <w:rFonts w:ascii="Arial" w:hAnsi="Arial" w:cs="Arial"/>
          <w:sz w:val="24"/>
          <w:szCs w:val="24"/>
          <w:vertAlign w:val="superscript"/>
        </w:rPr>
        <w:t>th</w:t>
      </w:r>
      <w:r>
        <w:rPr>
          <w:rFonts w:ascii="Arial" w:hAnsi="Arial" w:cs="Arial"/>
          <w:sz w:val="24"/>
          <w:szCs w:val="24"/>
        </w:rPr>
        <w:t xml:space="preserve"> June 2023).</w:t>
      </w:r>
    </w:p>
    <w:p w14:paraId="436DABF1" w14:textId="77777777" w:rsidR="004D41D2" w:rsidRDefault="004D41D2" w:rsidP="004D41D2">
      <w:pPr>
        <w:rPr>
          <w:rFonts w:ascii="Arial" w:hAnsi="Arial" w:cs="Arial"/>
          <w:sz w:val="24"/>
          <w:szCs w:val="24"/>
        </w:rPr>
      </w:pPr>
      <w:r w:rsidRPr="00DA1911">
        <w:rPr>
          <w:rFonts w:ascii="Arial" w:hAnsi="Arial" w:cs="Arial"/>
          <w:sz w:val="24"/>
          <w:szCs w:val="24"/>
        </w:rPr>
        <w:t>Crown Prosecution Service (2019)</w:t>
      </w:r>
      <w:r>
        <w:rPr>
          <w:rFonts w:ascii="Lato" w:eastAsia="Times New Roman" w:hAnsi="Lato" w:cs="Times New Roman"/>
          <w:b/>
          <w:bCs/>
          <w:kern w:val="36"/>
          <w:sz w:val="46"/>
          <w:szCs w:val="46"/>
          <w:lang w:eastAsia="en-GB"/>
          <w14:ligatures w14:val="none"/>
        </w:rPr>
        <w:t xml:space="preserve"> </w:t>
      </w:r>
      <w:r w:rsidRPr="00DA1911">
        <w:rPr>
          <w:rFonts w:ascii="Arial" w:eastAsia="Times New Roman" w:hAnsi="Arial" w:cs="Arial"/>
          <w:i/>
          <w:iCs/>
          <w:kern w:val="36"/>
          <w:sz w:val="24"/>
          <w:szCs w:val="24"/>
          <w:lang w:eastAsia="en-GB"/>
          <w14:ligatures w14:val="none"/>
        </w:rPr>
        <w:t>Homicide: Murder and Manslaughter</w:t>
      </w:r>
      <w:r>
        <w:rPr>
          <w:rFonts w:ascii="Arial" w:eastAsia="Times New Roman" w:hAnsi="Arial" w:cs="Arial"/>
          <w:i/>
          <w:iCs/>
          <w:kern w:val="36"/>
          <w:sz w:val="24"/>
          <w:szCs w:val="24"/>
          <w:lang w:eastAsia="en-GB"/>
          <w14:ligatures w14:val="none"/>
        </w:rPr>
        <w:t xml:space="preserve">. </w:t>
      </w:r>
      <w:r>
        <w:rPr>
          <w:rFonts w:ascii="Arial" w:eastAsia="Times New Roman" w:hAnsi="Arial" w:cs="Arial"/>
          <w:kern w:val="36"/>
          <w:sz w:val="24"/>
          <w:szCs w:val="24"/>
          <w:lang w:eastAsia="en-GB"/>
          <w14:ligatures w14:val="none"/>
        </w:rPr>
        <w:t xml:space="preserve">Available at: </w:t>
      </w:r>
      <w:r w:rsidRPr="00A8520E">
        <w:rPr>
          <w:rFonts w:ascii="Arial" w:hAnsi="Arial" w:cs="Arial"/>
          <w:sz w:val="24"/>
          <w:szCs w:val="24"/>
        </w:rPr>
        <w:t>https://www.cps.gov.uk/legal-guidance/homicide-murder-and-manslaughter#definition</w:t>
      </w:r>
      <w:r>
        <w:rPr>
          <w:rFonts w:ascii="Arial" w:hAnsi="Arial" w:cs="Arial"/>
          <w:sz w:val="24"/>
          <w:szCs w:val="24"/>
        </w:rPr>
        <w:t xml:space="preserve"> </w:t>
      </w:r>
      <w:bookmarkStart w:id="1" w:name="_Hlk139026259"/>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June 2023).</w:t>
      </w:r>
      <w:bookmarkEnd w:id="1"/>
    </w:p>
    <w:p w14:paraId="616A2513" w14:textId="77777777" w:rsidR="004D41D2" w:rsidRDefault="004D41D2" w:rsidP="004D41D2">
      <w:pPr>
        <w:rPr>
          <w:rFonts w:ascii="Arial" w:hAnsi="Arial" w:cs="Arial"/>
          <w:sz w:val="24"/>
          <w:szCs w:val="24"/>
        </w:rPr>
      </w:pPr>
      <w:r w:rsidRPr="00672295">
        <w:rPr>
          <w:rFonts w:ascii="Arial" w:hAnsi="Arial" w:cs="Arial"/>
          <w:i/>
          <w:iCs/>
          <w:sz w:val="24"/>
          <w:szCs w:val="24"/>
        </w:rPr>
        <w:t>‘</w:t>
      </w:r>
      <w:r w:rsidRPr="00BE39A9">
        <w:rPr>
          <w:rFonts w:ascii="Arial" w:hAnsi="Arial" w:cs="Arial"/>
          <w:i/>
          <w:iCs/>
          <w:sz w:val="24"/>
          <w:szCs w:val="24"/>
        </w:rPr>
        <w:t>Dawes; Hatter; Bowyer</w:t>
      </w:r>
      <w:r>
        <w:rPr>
          <w:rFonts w:ascii="Arial" w:hAnsi="Arial" w:cs="Arial"/>
          <w:sz w:val="24"/>
          <w:szCs w:val="24"/>
        </w:rPr>
        <w:t xml:space="preserve"> </w:t>
      </w:r>
      <w:r w:rsidRPr="00595378">
        <w:rPr>
          <w:rFonts w:ascii="Arial" w:hAnsi="Arial" w:cs="Arial"/>
          <w:i/>
          <w:iCs/>
          <w:sz w:val="24"/>
          <w:szCs w:val="24"/>
        </w:rPr>
        <w:t>v R</w:t>
      </w:r>
      <w:r w:rsidRPr="00672295">
        <w:rPr>
          <w:rFonts w:ascii="Arial" w:hAnsi="Arial" w:cs="Arial"/>
          <w:i/>
          <w:iCs/>
          <w:sz w:val="24"/>
          <w:szCs w:val="24"/>
        </w:rPr>
        <w:t>’</w:t>
      </w:r>
      <w:r>
        <w:rPr>
          <w:rFonts w:ascii="Arial" w:hAnsi="Arial" w:cs="Arial"/>
          <w:sz w:val="24"/>
          <w:szCs w:val="24"/>
        </w:rPr>
        <w:t xml:space="preserve"> (2013) Court of Appeal (Criminal Division), case 322. </w:t>
      </w:r>
      <w:r>
        <w:rPr>
          <w:rFonts w:ascii="Arial" w:hAnsi="Arial" w:cs="Arial"/>
          <w:i/>
          <w:iCs/>
          <w:sz w:val="24"/>
          <w:szCs w:val="24"/>
        </w:rPr>
        <w:t xml:space="preserve">Judiciary </w:t>
      </w:r>
      <w:r>
        <w:rPr>
          <w:rFonts w:ascii="Arial" w:hAnsi="Arial" w:cs="Arial"/>
          <w:sz w:val="24"/>
          <w:szCs w:val="24"/>
        </w:rPr>
        <w:t xml:space="preserve">[online] Available at: </w:t>
      </w:r>
      <w:r w:rsidRPr="00CE6E1E">
        <w:rPr>
          <w:rFonts w:ascii="Arial" w:hAnsi="Arial" w:cs="Arial"/>
          <w:sz w:val="24"/>
          <w:szCs w:val="24"/>
        </w:rPr>
        <w:t>https://www.judiciary.uk/wp-content/uploads/JCO/Documents/Judgments/dawes-hatter-bowyer-v-r.pdf</w:t>
      </w:r>
      <w:r>
        <w:rPr>
          <w:rFonts w:ascii="Arial" w:hAnsi="Arial" w:cs="Arial"/>
          <w:sz w:val="24"/>
          <w:szCs w:val="24"/>
        </w:rPr>
        <w:t xml:space="preserve"> </w:t>
      </w:r>
      <w:bookmarkStart w:id="2" w:name="_Hlk139006980"/>
      <w:r>
        <w:rPr>
          <w:rFonts w:ascii="Arial" w:hAnsi="Arial" w:cs="Arial"/>
          <w:sz w:val="24"/>
          <w:szCs w:val="24"/>
        </w:rPr>
        <w:t>(Accessed: 20</w:t>
      </w:r>
      <w:r w:rsidRPr="00D634A7">
        <w:rPr>
          <w:rFonts w:ascii="Arial" w:hAnsi="Arial" w:cs="Arial"/>
          <w:sz w:val="24"/>
          <w:szCs w:val="24"/>
          <w:vertAlign w:val="superscript"/>
        </w:rPr>
        <w:t>th</w:t>
      </w:r>
      <w:r>
        <w:rPr>
          <w:rFonts w:ascii="Arial" w:hAnsi="Arial" w:cs="Arial"/>
          <w:sz w:val="24"/>
          <w:szCs w:val="24"/>
        </w:rPr>
        <w:t xml:space="preserve"> June 2023).</w:t>
      </w:r>
      <w:bookmarkEnd w:id="2"/>
    </w:p>
    <w:p w14:paraId="401D32A7" w14:textId="77777777" w:rsidR="004D41D2" w:rsidRDefault="004D41D2" w:rsidP="004D41D2">
      <w:pPr>
        <w:rPr>
          <w:rFonts w:ascii="Arial" w:hAnsi="Arial" w:cs="Arial"/>
          <w:sz w:val="24"/>
          <w:szCs w:val="24"/>
        </w:rPr>
      </w:pPr>
      <w:r>
        <w:rPr>
          <w:rFonts w:ascii="Arial" w:hAnsi="Arial" w:cs="Arial"/>
          <w:i/>
          <w:iCs/>
          <w:sz w:val="24"/>
          <w:szCs w:val="24"/>
        </w:rPr>
        <w:t>‘DPP v Newbury and Jones</w:t>
      </w:r>
      <w:r w:rsidRPr="00672295">
        <w:rPr>
          <w:rFonts w:ascii="Arial" w:hAnsi="Arial" w:cs="Arial"/>
          <w:i/>
          <w:iCs/>
          <w:sz w:val="24"/>
          <w:szCs w:val="24"/>
        </w:rPr>
        <w:t>’</w:t>
      </w:r>
      <w:r>
        <w:rPr>
          <w:rFonts w:ascii="Arial" w:hAnsi="Arial" w:cs="Arial"/>
          <w:sz w:val="24"/>
          <w:szCs w:val="24"/>
        </w:rPr>
        <w:t xml:space="preserve"> (1977) House of Lords, case 500. </w:t>
      </w:r>
      <w:r w:rsidRPr="00EC5025">
        <w:rPr>
          <w:rFonts w:ascii="Arial" w:hAnsi="Arial" w:cs="Arial"/>
          <w:i/>
          <w:iCs/>
          <w:color w:val="1A202C"/>
          <w:sz w:val="24"/>
          <w:szCs w:val="24"/>
          <w:shd w:val="clear" w:color="auto" w:fill="FFFFFF"/>
        </w:rPr>
        <w:t>Incorporated Council of Law Reporting</w:t>
      </w:r>
      <w:r>
        <w:rPr>
          <w:rFonts w:ascii="Arial" w:hAnsi="Arial" w:cs="Arial"/>
          <w:sz w:val="24"/>
          <w:szCs w:val="24"/>
        </w:rPr>
        <w:t xml:space="preserve"> [online] Available at: </w:t>
      </w:r>
      <w:r w:rsidRPr="001B5B79">
        <w:rPr>
          <w:rFonts w:ascii="Arial" w:hAnsi="Arial" w:cs="Arial"/>
          <w:sz w:val="24"/>
          <w:szCs w:val="24"/>
        </w:rPr>
        <w:t xml:space="preserve">https://www.iclr.co.uk/document/1971001188/casereport_15071/html </w:t>
      </w:r>
      <w:r>
        <w:rPr>
          <w:rFonts w:ascii="Arial" w:hAnsi="Arial" w:cs="Arial"/>
          <w:sz w:val="24"/>
          <w:szCs w:val="24"/>
        </w:rPr>
        <w:t>(Accessed: 20</w:t>
      </w:r>
      <w:r w:rsidRPr="00D634A7">
        <w:rPr>
          <w:rFonts w:ascii="Arial" w:hAnsi="Arial" w:cs="Arial"/>
          <w:sz w:val="24"/>
          <w:szCs w:val="24"/>
          <w:vertAlign w:val="superscript"/>
        </w:rPr>
        <w:t>th</w:t>
      </w:r>
      <w:r>
        <w:rPr>
          <w:rFonts w:ascii="Arial" w:hAnsi="Arial" w:cs="Arial"/>
          <w:sz w:val="24"/>
          <w:szCs w:val="24"/>
        </w:rPr>
        <w:t xml:space="preserve"> June 2023).</w:t>
      </w:r>
    </w:p>
    <w:p w14:paraId="3B2D07F6" w14:textId="77777777" w:rsidR="004D41D2" w:rsidRDefault="004D41D2" w:rsidP="004D41D2">
      <w:pPr>
        <w:rPr>
          <w:rFonts w:ascii="Arial" w:hAnsi="Arial" w:cs="Arial"/>
          <w:sz w:val="24"/>
          <w:szCs w:val="24"/>
        </w:rPr>
      </w:pPr>
      <w:r>
        <w:rPr>
          <w:rFonts w:ascii="Arial" w:hAnsi="Arial" w:cs="Arial"/>
          <w:i/>
          <w:iCs/>
          <w:sz w:val="24"/>
          <w:szCs w:val="24"/>
        </w:rPr>
        <w:t>‘DPP v Smith’</w:t>
      </w:r>
      <w:r w:rsidRPr="00672295">
        <w:rPr>
          <w:rFonts w:ascii="Arial" w:hAnsi="Arial" w:cs="Arial"/>
          <w:i/>
          <w:iCs/>
          <w:sz w:val="24"/>
          <w:szCs w:val="24"/>
        </w:rPr>
        <w:t>’</w:t>
      </w:r>
      <w:r>
        <w:rPr>
          <w:rFonts w:ascii="Arial" w:hAnsi="Arial" w:cs="Arial"/>
          <w:sz w:val="24"/>
          <w:szCs w:val="24"/>
        </w:rPr>
        <w:t xml:space="preserve"> (1961) House of Lords, case 290. </w:t>
      </w:r>
      <w:r>
        <w:rPr>
          <w:rFonts w:ascii="Arial" w:hAnsi="Arial" w:cs="Arial"/>
          <w:i/>
          <w:iCs/>
          <w:sz w:val="24"/>
          <w:szCs w:val="24"/>
        </w:rPr>
        <w:t>Lexis + UK</w:t>
      </w:r>
      <w:r>
        <w:rPr>
          <w:rFonts w:ascii="Arial" w:hAnsi="Arial" w:cs="Arial"/>
          <w:sz w:val="24"/>
          <w:szCs w:val="24"/>
        </w:rPr>
        <w:t xml:space="preserve"> [online] Available at: </w:t>
      </w:r>
      <w:r w:rsidRPr="00F62BEB">
        <w:rPr>
          <w:rFonts w:ascii="Arial" w:hAnsi="Arial" w:cs="Arial"/>
          <w:sz w:val="24"/>
          <w:szCs w:val="24"/>
        </w:rPr>
        <w:t>https://plus-lexis-com.ezproxy.uwtsd.ac.uk/uk/cases-uk/director-of-public-prosecutions-appellant-and_6?crid=15c9721d-cb0e-4e01-bf3f-816d48ac6dca&amp;pdproductcontenttypeid=urn:pct:285&amp;pdiskwicview=false&amp;pdpinpoint=</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4997334C" w14:textId="77777777" w:rsidR="004D41D2" w:rsidRDefault="004D41D2" w:rsidP="004D41D2">
      <w:pPr>
        <w:rPr>
          <w:rFonts w:ascii="Arial" w:hAnsi="Arial" w:cs="Arial"/>
          <w:sz w:val="24"/>
          <w:szCs w:val="24"/>
        </w:rPr>
      </w:pPr>
      <w:r w:rsidRPr="00CB6C33">
        <w:rPr>
          <w:rFonts w:ascii="Arial" w:hAnsi="Arial" w:cs="Arial"/>
          <w:sz w:val="24"/>
          <w:szCs w:val="24"/>
        </w:rPr>
        <w:t>Herring, J. (2022)</w:t>
      </w:r>
      <w:r w:rsidRPr="00CD6809">
        <w:rPr>
          <w:rFonts w:ascii="Arial" w:hAnsi="Arial" w:cs="Arial"/>
          <w:i/>
          <w:iCs/>
          <w:sz w:val="24"/>
          <w:szCs w:val="24"/>
        </w:rPr>
        <w:t xml:space="preserve"> </w:t>
      </w:r>
      <w:bookmarkStart w:id="3" w:name="_Hlk137271540"/>
      <w:r w:rsidRPr="00CD6809">
        <w:rPr>
          <w:rFonts w:ascii="Arial" w:hAnsi="Arial" w:cs="Arial"/>
          <w:i/>
          <w:iCs/>
          <w:sz w:val="24"/>
          <w:szCs w:val="24"/>
        </w:rPr>
        <w:t xml:space="preserve">Criminal law </w:t>
      </w:r>
      <w:bookmarkEnd w:id="3"/>
      <w:r w:rsidRPr="00CD6809">
        <w:rPr>
          <w:rFonts w:ascii="Arial" w:hAnsi="Arial" w:cs="Arial"/>
          <w:i/>
          <w:iCs/>
          <w:sz w:val="24"/>
          <w:szCs w:val="24"/>
        </w:rPr>
        <w:t xml:space="preserve">Text, cases and materials. </w:t>
      </w:r>
      <w:r w:rsidRPr="00CB6C33">
        <w:rPr>
          <w:rFonts w:ascii="Arial" w:hAnsi="Arial" w:cs="Arial"/>
          <w:sz w:val="24"/>
          <w:szCs w:val="24"/>
        </w:rPr>
        <w:t>10</w:t>
      </w:r>
      <w:r w:rsidRPr="00CB6C33">
        <w:rPr>
          <w:rFonts w:ascii="Arial" w:hAnsi="Arial" w:cs="Arial"/>
          <w:sz w:val="24"/>
          <w:szCs w:val="24"/>
          <w:vertAlign w:val="superscript"/>
        </w:rPr>
        <w:t>th</w:t>
      </w:r>
      <w:r w:rsidRPr="00CB6C33">
        <w:rPr>
          <w:rFonts w:ascii="Arial" w:hAnsi="Arial" w:cs="Arial"/>
          <w:sz w:val="24"/>
          <w:szCs w:val="24"/>
        </w:rPr>
        <w:t xml:space="preserve"> Ed. Oxford: </w:t>
      </w:r>
      <w:bookmarkStart w:id="4" w:name="_Hlk137271591"/>
      <w:r w:rsidRPr="00CB6C33">
        <w:rPr>
          <w:rFonts w:ascii="Arial" w:hAnsi="Arial" w:cs="Arial"/>
          <w:sz w:val="24"/>
          <w:szCs w:val="24"/>
        </w:rPr>
        <w:t>Oxford University Press</w:t>
      </w:r>
      <w:r>
        <w:rPr>
          <w:rFonts w:ascii="Arial" w:hAnsi="Arial" w:cs="Arial"/>
          <w:sz w:val="24"/>
          <w:szCs w:val="24"/>
        </w:rPr>
        <w:t>.</w:t>
      </w:r>
    </w:p>
    <w:p w14:paraId="4897B6A9" w14:textId="77777777" w:rsidR="004D41D2" w:rsidRDefault="004D41D2" w:rsidP="004D41D2">
      <w:pPr>
        <w:rPr>
          <w:rFonts w:ascii="Arial" w:hAnsi="Arial" w:cs="Arial"/>
          <w:sz w:val="24"/>
          <w:szCs w:val="24"/>
        </w:rPr>
      </w:pPr>
      <w:r>
        <w:rPr>
          <w:rFonts w:ascii="Arial" w:hAnsi="Arial" w:cs="Arial"/>
          <w:sz w:val="24"/>
          <w:szCs w:val="24"/>
        </w:rPr>
        <w:t xml:space="preserve">Homicide Act 1957, c.11. Available at: </w:t>
      </w:r>
      <w:r w:rsidRPr="009D45B2">
        <w:rPr>
          <w:rFonts w:ascii="Arial" w:hAnsi="Arial" w:cs="Arial"/>
          <w:sz w:val="24"/>
          <w:szCs w:val="24"/>
        </w:rPr>
        <w:t>https://www.legislation.gov.uk/ukpga/Eliz2/5-6/11/section/1</w:t>
      </w:r>
      <w:r>
        <w:rPr>
          <w:rFonts w:ascii="Arial" w:hAnsi="Arial" w:cs="Arial"/>
          <w:sz w:val="24"/>
          <w:szCs w:val="24"/>
        </w:rPr>
        <w:t xml:space="preserve"> (Accessed: 11</w:t>
      </w:r>
      <w:r w:rsidRPr="00D634A7">
        <w:rPr>
          <w:rFonts w:ascii="Arial" w:hAnsi="Arial" w:cs="Arial"/>
          <w:sz w:val="24"/>
          <w:szCs w:val="24"/>
          <w:vertAlign w:val="superscript"/>
        </w:rPr>
        <w:t>th</w:t>
      </w:r>
      <w:r>
        <w:rPr>
          <w:rFonts w:ascii="Arial" w:hAnsi="Arial" w:cs="Arial"/>
          <w:sz w:val="24"/>
          <w:szCs w:val="24"/>
        </w:rPr>
        <w:t xml:space="preserve"> June 2023).</w:t>
      </w:r>
    </w:p>
    <w:p w14:paraId="7F47593E" w14:textId="77777777" w:rsidR="004D41D2" w:rsidRDefault="004D41D2" w:rsidP="004D41D2">
      <w:pPr>
        <w:rPr>
          <w:rFonts w:ascii="Arial" w:hAnsi="Arial" w:cs="Arial"/>
          <w:sz w:val="24"/>
          <w:szCs w:val="24"/>
        </w:rPr>
      </w:pPr>
      <w:r>
        <w:rPr>
          <w:rFonts w:ascii="Arial" w:hAnsi="Arial" w:cs="Arial"/>
          <w:sz w:val="24"/>
          <w:szCs w:val="24"/>
        </w:rPr>
        <w:t xml:space="preserve">House of Lords (1994) </w:t>
      </w:r>
      <w:r w:rsidRPr="005C138E">
        <w:rPr>
          <w:rFonts w:ascii="Arial" w:hAnsi="Arial" w:cs="Arial"/>
          <w:i/>
          <w:iCs/>
          <w:color w:val="333333"/>
          <w:sz w:val="24"/>
          <w:szCs w:val="24"/>
          <w:shd w:val="clear" w:color="auto" w:fill="FFFFFF"/>
        </w:rPr>
        <w:t>Judgments - Attorney General's Reference No. 3 of 1994</w:t>
      </w:r>
      <w:r>
        <w:rPr>
          <w:rFonts w:ascii="Arial" w:hAnsi="Arial" w:cs="Arial"/>
          <w:sz w:val="24"/>
          <w:szCs w:val="24"/>
        </w:rPr>
        <w:t xml:space="preserve">. Available at: </w:t>
      </w:r>
      <w:r w:rsidRPr="00331FAA">
        <w:rPr>
          <w:rFonts w:ascii="Arial" w:hAnsi="Arial" w:cs="Arial"/>
          <w:sz w:val="24"/>
          <w:szCs w:val="24"/>
        </w:rPr>
        <w:t>https://publications.parliament.uk/pa/ld199798/ldjudgmt/jd970724/gneral01.htm</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6F379648" w14:textId="77777777" w:rsidR="004D41D2" w:rsidRDefault="004D41D2" w:rsidP="004D41D2">
      <w:pPr>
        <w:rPr>
          <w:rFonts w:ascii="Arial" w:hAnsi="Arial" w:cs="Arial"/>
          <w:sz w:val="24"/>
          <w:szCs w:val="24"/>
        </w:rPr>
      </w:pPr>
      <w:r>
        <w:rPr>
          <w:rFonts w:ascii="Arial" w:hAnsi="Arial" w:cs="Arial"/>
          <w:sz w:val="24"/>
          <w:szCs w:val="24"/>
        </w:rPr>
        <w:t xml:space="preserve">House of Lords (1998) </w:t>
      </w:r>
      <w:r>
        <w:rPr>
          <w:rFonts w:ascii="Arial" w:hAnsi="Arial" w:cs="Arial"/>
          <w:i/>
          <w:iCs/>
          <w:sz w:val="24"/>
          <w:szCs w:val="24"/>
        </w:rPr>
        <w:t>Judgements- Regina v Woollin.</w:t>
      </w:r>
      <w:r>
        <w:rPr>
          <w:rFonts w:ascii="Arial" w:hAnsi="Arial" w:cs="Arial"/>
          <w:sz w:val="24"/>
          <w:szCs w:val="24"/>
        </w:rPr>
        <w:t xml:space="preserve"> Available at: </w:t>
      </w:r>
      <w:r w:rsidRPr="00253957">
        <w:rPr>
          <w:rFonts w:ascii="Arial" w:hAnsi="Arial" w:cs="Arial"/>
          <w:sz w:val="24"/>
          <w:szCs w:val="24"/>
        </w:rPr>
        <w:t>https://publications.parliament.uk/pa/ld199798/ldjudgmt/jd980722/wool.htm</w:t>
      </w:r>
      <w:r>
        <w:rPr>
          <w:rFonts w:ascii="Arial" w:hAnsi="Arial" w:cs="Arial"/>
          <w:sz w:val="24"/>
          <w:szCs w:val="24"/>
        </w:rPr>
        <w:t xml:space="preserve"> </w:t>
      </w:r>
      <w:bookmarkStart w:id="5" w:name="_Hlk139040943"/>
      <w:r>
        <w:rPr>
          <w:rFonts w:ascii="Arial" w:hAnsi="Arial" w:cs="Arial"/>
          <w:sz w:val="24"/>
          <w:szCs w:val="24"/>
        </w:rPr>
        <w:t>(Accessed: 19</w:t>
      </w:r>
      <w:r w:rsidRPr="00D634A7">
        <w:rPr>
          <w:rFonts w:ascii="Arial" w:hAnsi="Arial" w:cs="Arial"/>
          <w:sz w:val="24"/>
          <w:szCs w:val="24"/>
          <w:vertAlign w:val="superscript"/>
        </w:rPr>
        <w:t>th</w:t>
      </w:r>
      <w:r>
        <w:rPr>
          <w:rFonts w:ascii="Arial" w:hAnsi="Arial" w:cs="Arial"/>
          <w:sz w:val="24"/>
          <w:szCs w:val="24"/>
        </w:rPr>
        <w:t xml:space="preserve"> June 2023).</w:t>
      </w:r>
      <w:bookmarkEnd w:id="5"/>
    </w:p>
    <w:p w14:paraId="428D449D" w14:textId="77777777" w:rsidR="004D41D2" w:rsidRDefault="004D41D2" w:rsidP="004D41D2">
      <w:pPr>
        <w:rPr>
          <w:rFonts w:ascii="Arial" w:hAnsi="Arial" w:cs="Arial"/>
          <w:sz w:val="24"/>
          <w:szCs w:val="24"/>
        </w:rPr>
      </w:pPr>
      <w:r>
        <w:rPr>
          <w:rFonts w:ascii="Arial" w:hAnsi="Arial" w:cs="Arial"/>
          <w:sz w:val="24"/>
          <w:szCs w:val="24"/>
        </w:rPr>
        <w:t xml:space="preserve">Human Rights Act 1998, c.42. Available at: </w:t>
      </w:r>
      <w:r w:rsidRPr="00505DB1">
        <w:rPr>
          <w:rFonts w:ascii="Arial" w:hAnsi="Arial" w:cs="Arial"/>
          <w:sz w:val="24"/>
          <w:szCs w:val="24"/>
        </w:rPr>
        <w:t>https://www.legislation.gov.uk/ukpga/1998/42/schedule/1</w:t>
      </w:r>
      <w:r>
        <w:rPr>
          <w:rFonts w:ascii="Arial" w:hAnsi="Arial" w:cs="Arial"/>
          <w:sz w:val="24"/>
          <w:szCs w:val="24"/>
        </w:rPr>
        <w:t xml:space="preserve"> (Accessed: 25</w:t>
      </w:r>
      <w:r w:rsidRPr="00D634A7">
        <w:rPr>
          <w:rFonts w:ascii="Arial" w:hAnsi="Arial" w:cs="Arial"/>
          <w:sz w:val="24"/>
          <w:szCs w:val="24"/>
          <w:vertAlign w:val="superscript"/>
        </w:rPr>
        <w:t>th</w:t>
      </w:r>
      <w:r>
        <w:rPr>
          <w:rFonts w:ascii="Arial" w:hAnsi="Arial" w:cs="Arial"/>
          <w:sz w:val="24"/>
          <w:szCs w:val="24"/>
        </w:rPr>
        <w:t xml:space="preserve"> June 2023).</w:t>
      </w:r>
    </w:p>
    <w:p w14:paraId="408E09A3" w14:textId="77777777" w:rsidR="004D41D2" w:rsidRDefault="004D41D2" w:rsidP="004D41D2">
      <w:pPr>
        <w:rPr>
          <w:rFonts w:ascii="Arial" w:hAnsi="Arial" w:cs="Arial"/>
          <w:sz w:val="24"/>
          <w:szCs w:val="24"/>
        </w:rPr>
      </w:pPr>
      <w:r w:rsidRPr="00672295">
        <w:rPr>
          <w:rFonts w:ascii="Arial" w:hAnsi="Arial" w:cs="Arial"/>
          <w:i/>
          <w:iCs/>
          <w:sz w:val="24"/>
          <w:szCs w:val="24"/>
        </w:rPr>
        <w:lastRenderedPageBreak/>
        <w:t>‘</w:t>
      </w:r>
      <w:r>
        <w:rPr>
          <w:rFonts w:ascii="Arial" w:hAnsi="Arial" w:cs="Arial"/>
          <w:i/>
          <w:iCs/>
          <w:sz w:val="24"/>
          <w:szCs w:val="24"/>
        </w:rPr>
        <w:t>Hyam v DPP</w:t>
      </w:r>
      <w:r w:rsidRPr="00672295">
        <w:rPr>
          <w:rFonts w:ascii="Arial" w:hAnsi="Arial" w:cs="Arial"/>
          <w:i/>
          <w:iCs/>
          <w:sz w:val="24"/>
          <w:szCs w:val="24"/>
        </w:rPr>
        <w:t>’</w:t>
      </w:r>
      <w:r>
        <w:rPr>
          <w:rFonts w:ascii="Arial" w:hAnsi="Arial" w:cs="Arial"/>
          <w:sz w:val="24"/>
          <w:szCs w:val="24"/>
        </w:rPr>
        <w:t xml:space="preserve"> </w:t>
      </w:r>
      <w:bookmarkStart w:id="6" w:name="_Hlk139011632"/>
      <w:r>
        <w:rPr>
          <w:rFonts w:ascii="Arial" w:hAnsi="Arial" w:cs="Arial"/>
          <w:sz w:val="24"/>
          <w:szCs w:val="24"/>
        </w:rPr>
        <w:t xml:space="preserve">(1975) House of Lords, case 55. </w:t>
      </w:r>
      <w:r>
        <w:rPr>
          <w:rFonts w:ascii="Arial" w:hAnsi="Arial" w:cs="Arial"/>
          <w:i/>
          <w:iCs/>
          <w:sz w:val="24"/>
          <w:szCs w:val="24"/>
        </w:rPr>
        <w:t>Lexis + UK</w:t>
      </w:r>
      <w:r>
        <w:rPr>
          <w:rFonts w:ascii="Arial" w:hAnsi="Arial" w:cs="Arial"/>
          <w:sz w:val="24"/>
          <w:szCs w:val="24"/>
        </w:rPr>
        <w:t xml:space="preserve"> [online] Available at: </w:t>
      </w:r>
      <w:bookmarkEnd w:id="6"/>
      <w:r w:rsidRPr="00F1005E">
        <w:rPr>
          <w:rFonts w:ascii="Arial" w:hAnsi="Arial" w:cs="Arial"/>
          <w:sz w:val="24"/>
          <w:szCs w:val="24"/>
        </w:rPr>
        <w:t>https://plus-lexis-com.ezproxy.uwtsd.ac.uk/uk/cases-uk/hyam-appellant-and-director-of-public-prosecu_2?crid=fcd93e72-5540-4b86-b529-a68f778fa681&amp;pdproductcontenttypeid=urn:pct:285&amp;pdiskwicview=false&amp;pdpinpoint=</w:t>
      </w:r>
      <w:bookmarkStart w:id="7" w:name="_Hlk139011713"/>
      <w:r>
        <w:rPr>
          <w:rFonts w:ascii="Arial" w:hAnsi="Arial" w:cs="Arial"/>
          <w:sz w:val="24"/>
          <w:szCs w:val="24"/>
        </w:rPr>
        <w:t>(Accessed: 19</w:t>
      </w:r>
      <w:r w:rsidRPr="00D634A7">
        <w:rPr>
          <w:rFonts w:ascii="Arial" w:hAnsi="Arial" w:cs="Arial"/>
          <w:sz w:val="24"/>
          <w:szCs w:val="24"/>
          <w:vertAlign w:val="superscript"/>
        </w:rPr>
        <w:t>th</w:t>
      </w:r>
      <w:r>
        <w:rPr>
          <w:rFonts w:ascii="Arial" w:hAnsi="Arial" w:cs="Arial"/>
          <w:sz w:val="24"/>
          <w:szCs w:val="24"/>
        </w:rPr>
        <w:t xml:space="preserve"> June 2023).</w:t>
      </w:r>
      <w:bookmarkEnd w:id="7"/>
    </w:p>
    <w:p w14:paraId="24147A73" w14:textId="77777777" w:rsidR="004D41D2" w:rsidRDefault="004D41D2" w:rsidP="004D41D2">
      <w:pPr>
        <w:rPr>
          <w:rFonts w:ascii="Arial" w:hAnsi="Arial" w:cs="Arial"/>
          <w:sz w:val="24"/>
          <w:szCs w:val="24"/>
        </w:rPr>
      </w:pPr>
      <w:r>
        <w:rPr>
          <w:rFonts w:ascii="Arial" w:hAnsi="Arial" w:cs="Arial"/>
          <w:sz w:val="24"/>
          <w:szCs w:val="24"/>
        </w:rPr>
        <w:t xml:space="preserve">Justice (no date) </w:t>
      </w:r>
      <w:r w:rsidRPr="001A3FAD">
        <w:rPr>
          <w:rFonts w:ascii="Arial" w:hAnsi="Arial" w:cs="Arial"/>
          <w:i/>
          <w:iCs/>
          <w:sz w:val="24"/>
          <w:szCs w:val="24"/>
        </w:rPr>
        <w:t xml:space="preserve">Homicide </w:t>
      </w:r>
      <w:r>
        <w:rPr>
          <w:rFonts w:ascii="Arial" w:hAnsi="Arial" w:cs="Arial"/>
          <w:i/>
          <w:iCs/>
          <w:sz w:val="24"/>
          <w:szCs w:val="24"/>
        </w:rPr>
        <w:t>Law</w:t>
      </w:r>
      <w:r w:rsidRPr="001A3FAD">
        <w:rPr>
          <w:rFonts w:ascii="Arial" w:hAnsi="Arial" w:cs="Arial"/>
          <w:i/>
          <w:iCs/>
          <w:sz w:val="24"/>
          <w:szCs w:val="24"/>
        </w:rPr>
        <w:t xml:space="preserve"> Reform</w:t>
      </w:r>
      <w:r>
        <w:t xml:space="preserve">. </w:t>
      </w:r>
      <w:r>
        <w:rPr>
          <w:rFonts w:ascii="Arial" w:hAnsi="Arial" w:cs="Arial"/>
          <w:sz w:val="24"/>
          <w:szCs w:val="24"/>
        </w:rPr>
        <w:t xml:space="preserve">Available at: </w:t>
      </w:r>
      <w:r w:rsidRPr="00047C67">
        <w:rPr>
          <w:rFonts w:ascii="Arial" w:hAnsi="Arial" w:cs="Arial"/>
          <w:sz w:val="24"/>
          <w:szCs w:val="24"/>
        </w:rPr>
        <w:t xml:space="preserve">https://justice.org.uk/homicide-law-reform/ </w:t>
      </w:r>
      <w:r>
        <w:rPr>
          <w:rFonts w:ascii="Arial" w:hAnsi="Arial" w:cs="Arial"/>
          <w:sz w:val="24"/>
          <w:szCs w:val="24"/>
        </w:rPr>
        <w:t>(Accessed: 11</w:t>
      </w:r>
      <w:r w:rsidRPr="00D634A7">
        <w:rPr>
          <w:rFonts w:ascii="Arial" w:hAnsi="Arial" w:cs="Arial"/>
          <w:sz w:val="24"/>
          <w:szCs w:val="24"/>
          <w:vertAlign w:val="superscript"/>
        </w:rPr>
        <w:t>th</w:t>
      </w:r>
      <w:r>
        <w:rPr>
          <w:rFonts w:ascii="Arial" w:hAnsi="Arial" w:cs="Arial"/>
          <w:sz w:val="24"/>
          <w:szCs w:val="24"/>
        </w:rPr>
        <w:t xml:space="preserve"> June 2023).</w:t>
      </w:r>
    </w:p>
    <w:p w14:paraId="40AA4526" w14:textId="77777777" w:rsidR="004D41D2" w:rsidRDefault="004D41D2" w:rsidP="004D41D2">
      <w:pPr>
        <w:rPr>
          <w:rFonts w:ascii="Arial" w:hAnsi="Arial" w:cs="Arial"/>
          <w:sz w:val="24"/>
          <w:szCs w:val="24"/>
        </w:rPr>
      </w:pPr>
      <w:r>
        <w:rPr>
          <w:rFonts w:ascii="Arial" w:hAnsi="Arial" w:cs="Arial"/>
          <w:sz w:val="24"/>
          <w:szCs w:val="24"/>
        </w:rPr>
        <w:t xml:space="preserve">Law Commission (no date) </w:t>
      </w:r>
      <w:r w:rsidRPr="000B2E02">
        <w:rPr>
          <w:rFonts w:ascii="Arial" w:hAnsi="Arial" w:cs="Arial"/>
          <w:i/>
          <w:iCs/>
          <w:sz w:val="24"/>
          <w:szCs w:val="24"/>
        </w:rPr>
        <w:t>Murder</w:t>
      </w:r>
      <w:r>
        <w:rPr>
          <w:rFonts w:ascii="Arial" w:hAnsi="Arial" w:cs="Arial"/>
          <w:i/>
          <w:iCs/>
          <w:sz w:val="24"/>
          <w:szCs w:val="24"/>
        </w:rPr>
        <w:t xml:space="preserve">. </w:t>
      </w:r>
      <w:bookmarkStart w:id="8" w:name="_Hlk139041465"/>
      <w:r>
        <w:rPr>
          <w:rFonts w:ascii="Arial" w:hAnsi="Arial" w:cs="Arial"/>
          <w:sz w:val="24"/>
          <w:szCs w:val="24"/>
        </w:rPr>
        <w:t xml:space="preserve">Available at: </w:t>
      </w:r>
      <w:r w:rsidRPr="005D6B90">
        <w:rPr>
          <w:rFonts w:ascii="Arial" w:hAnsi="Arial" w:cs="Arial"/>
          <w:sz w:val="24"/>
          <w:szCs w:val="24"/>
        </w:rPr>
        <w:t>https://www.lawcom.gov.uk/project/murder/</w:t>
      </w:r>
      <w:bookmarkStart w:id="9" w:name="_Hlk139039820"/>
      <w:r>
        <w:rPr>
          <w:rFonts w:ascii="Arial" w:hAnsi="Arial" w:cs="Arial"/>
          <w:sz w:val="24"/>
          <w:szCs w:val="24"/>
        </w:rPr>
        <w:t>(Accessed: 10</w:t>
      </w:r>
      <w:r w:rsidRPr="00D634A7">
        <w:rPr>
          <w:rFonts w:ascii="Arial" w:hAnsi="Arial" w:cs="Arial"/>
          <w:sz w:val="24"/>
          <w:szCs w:val="24"/>
          <w:vertAlign w:val="superscript"/>
        </w:rPr>
        <w:t>th</w:t>
      </w:r>
      <w:r>
        <w:rPr>
          <w:rFonts w:ascii="Arial" w:hAnsi="Arial" w:cs="Arial"/>
          <w:sz w:val="24"/>
          <w:szCs w:val="24"/>
        </w:rPr>
        <w:t xml:space="preserve"> June 2023).</w:t>
      </w:r>
      <w:bookmarkEnd w:id="9"/>
    </w:p>
    <w:p w14:paraId="5F2BA58F" w14:textId="77777777" w:rsidR="004D41D2" w:rsidRDefault="004D41D2" w:rsidP="004D41D2">
      <w:pPr>
        <w:rPr>
          <w:rFonts w:ascii="Arial" w:hAnsi="Arial" w:cs="Arial"/>
          <w:sz w:val="24"/>
          <w:szCs w:val="24"/>
        </w:rPr>
      </w:pPr>
      <w:r>
        <w:rPr>
          <w:rFonts w:ascii="Arial" w:hAnsi="Arial" w:cs="Arial"/>
          <w:sz w:val="24"/>
          <w:szCs w:val="24"/>
        </w:rPr>
        <w:t xml:space="preserve">Law Commission (2006) </w:t>
      </w:r>
      <w:r w:rsidRPr="003604DB">
        <w:rPr>
          <w:rFonts w:ascii="Arial" w:hAnsi="Arial" w:cs="Arial"/>
          <w:sz w:val="24"/>
          <w:szCs w:val="24"/>
        </w:rPr>
        <w:t>‘Murder, Manslaughter and Infanticide’</w:t>
      </w:r>
      <w:r>
        <w:rPr>
          <w:rFonts w:ascii="Arial" w:hAnsi="Arial" w:cs="Arial"/>
          <w:sz w:val="24"/>
          <w:szCs w:val="24"/>
        </w:rPr>
        <w:t xml:space="preserve"> Available at: </w:t>
      </w:r>
      <w:r w:rsidRPr="001276C7">
        <w:rPr>
          <w:rFonts w:ascii="Arial" w:hAnsi="Arial" w:cs="Arial"/>
          <w:sz w:val="24"/>
          <w:szCs w:val="24"/>
        </w:rPr>
        <w:t>https://www.lawcom.gov.uk/app/uploads/2015/03/lc304_Murder_Manslaughter_and_Infanticide_Report.pdf</w:t>
      </w:r>
      <w:r>
        <w:rPr>
          <w:rFonts w:ascii="Arial" w:hAnsi="Arial" w:cs="Arial"/>
          <w:sz w:val="24"/>
          <w:szCs w:val="24"/>
        </w:rPr>
        <w:t xml:space="preserve"> (Accessed: 7</w:t>
      </w:r>
      <w:r w:rsidRPr="00D634A7">
        <w:rPr>
          <w:rFonts w:ascii="Arial" w:hAnsi="Arial" w:cs="Arial"/>
          <w:sz w:val="24"/>
          <w:szCs w:val="24"/>
          <w:vertAlign w:val="superscript"/>
        </w:rPr>
        <w:t>th</w:t>
      </w:r>
      <w:r>
        <w:rPr>
          <w:rFonts w:ascii="Arial" w:hAnsi="Arial" w:cs="Arial"/>
          <w:sz w:val="24"/>
          <w:szCs w:val="24"/>
        </w:rPr>
        <w:t xml:space="preserve"> June 2023).</w:t>
      </w:r>
    </w:p>
    <w:bookmarkEnd w:id="8"/>
    <w:p w14:paraId="287B483A" w14:textId="77777777" w:rsidR="004D41D2" w:rsidRDefault="004D41D2" w:rsidP="004D41D2">
      <w:pPr>
        <w:rPr>
          <w:rFonts w:ascii="Arial" w:hAnsi="Arial" w:cs="Arial"/>
          <w:sz w:val="24"/>
          <w:szCs w:val="24"/>
        </w:rPr>
      </w:pPr>
      <w:r>
        <w:rPr>
          <w:rFonts w:ascii="Arial" w:hAnsi="Arial" w:cs="Arial"/>
          <w:sz w:val="24"/>
          <w:szCs w:val="24"/>
        </w:rPr>
        <w:t xml:space="preserve">Louise, T. (2018) </w:t>
      </w:r>
      <w:r w:rsidRPr="008B21E0">
        <w:rPr>
          <w:rFonts w:ascii="Arial" w:hAnsi="Arial" w:cs="Arial"/>
          <w:i/>
          <w:iCs/>
          <w:sz w:val="24"/>
          <w:szCs w:val="24"/>
        </w:rPr>
        <w:t>Ellio</w:t>
      </w:r>
      <w:r>
        <w:rPr>
          <w:rFonts w:ascii="Arial" w:hAnsi="Arial" w:cs="Arial"/>
          <w:i/>
          <w:iCs/>
          <w:sz w:val="24"/>
          <w:szCs w:val="24"/>
        </w:rPr>
        <w:t>t</w:t>
      </w:r>
      <w:r w:rsidRPr="008B21E0">
        <w:rPr>
          <w:rFonts w:ascii="Arial" w:hAnsi="Arial" w:cs="Arial"/>
          <w:i/>
          <w:iCs/>
          <w:sz w:val="24"/>
          <w:szCs w:val="24"/>
        </w:rPr>
        <w:t>t and Quinn’s criminal law</w:t>
      </w:r>
      <w:r>
        <w:rPr>
          <w:rFonts w:ascii="Arial" w:hAnsi="Arial" w:cs="Arial"/>
          <w:i/>
          <w:iCs/>
          <w:sz w:val="24"/>
          <w:szCs w:val="24"/>
        </w:rPr>
        <w:t>.</w:t>
      </w:r>
      <w:r>
        <w:rPr>
          <w:rFonts w:ascii="Arial" w:hAnsi="Arial" w:cs="Arial"/>
          <w:sz w:val="24"/>
          <w:szCs w:val="24"/>
        </w:rPr>
        <w:t xml:space="preserve"> 12 Ed.</w:t>
      </w:r>
      <w:r w:rsidRPr="008343FE">
        <w:rPr>
          <w:rFonts w:ascii="Arial" w:hAnsi="Arial" w:cs="Arial"/>
          <w:sz w:val="24"/>
          <w:szCs w:val="24"/>
        </w:rPr>
        <w:t xml:space="preserve"> </w:t>
      </w:r>
      <w:r>
        <w:rPr>
          <w:rFonts w:ascii="Arial" w:hAnsi="Arial" w:cs="Arial"/>
          <w:sz w:val="24"/>
          <w:szCs w:val="24"/>
        </w:rPr>
        <w:t xml:space="preserve">Harlow: Pearson Education. </w:t>
      </w:r>
    </w:p>
    <w:p w14:paraId="1C8E946A" w14:textId="77777777" w:rsidR="004D41D2" w:rsidRPr="00B80CAD" w:rsidRDefault="004D41D2" w:rsidP="004D41D2">
      <w:pPr>
        <w:rPr>
          <w:rFonts w:ascii="Arial" w:hAnsi="Arial" w:cs="Arial"/>
          <w:sz w:val="24"/>
          <w:szCs w:val="24"/>
        </w:rPr>
      </w:pPr>
      <w:r>
        <w:rPr>
          <w:rFonts w:ascii="Arial" w:hAnsi="Arial" w:cs="Arial"/>
          <w:sz w:val="24"/>
          <w:szCs w:val="24"/>
        </w:rPr>
        <w:t xml:space="preserve">Macdonald, S. (2018) </w:t>
      </w:r>
      <w:r w:rsidRPr="00B80CAD">
        <w:rPr>
          <w:rFonts w:ascii="Arial" w:hAnsi="Arial" w:cs="Arial"/>
          <w:i/>
          <w:iCs/>
          <w:sz w:val="24"/>
          <w:szCs w:val="24"/>
        </w:rPr>
        <w:t>Text, cases and materials on criminal law.</w:t>
      </w:r>
      <w:r>
        <w:rPr>
          <w:rFonts w:ascii="Arial" w:hAnsi="Arial" w:cs="Arial"/>
          <w:sz w:val="24"/>
          <w:szCs w:val="24"/>
        </w:rPr>
        <w:t xml:space="preserve"> 2</w:t>
      </w:r>
      <w:r w:rsidRPr="00B80CAD">
        <w:rPr>
          <w:rFonts w:ascii="Arial" w:hAnsi="Arial" w:cs="Arial"/>
          <w:sz w:val="24"/>
          <w:szCs w:val="24"/>
          <w:vertAlign w:val="superscript"/>
        </w:rPr>
        <w:t>nd</w:t>
      </w:r>
      <w:r>
        <w:rPr>
          <w:rFonts w:ascii="Arial" w:hAnsi="Arial" w:cs="Arial"/>
          <w:sz w:val="24"/>
          <w:szCs w:val="24"/>
        </w:rPr>
        <w:t xml:space="preserve"> Ed. Harlow: Pearson Education. </w:t>
      </w:r>
    </w:p>
    <w:bookmarkEnd w:id="4"/>
    <w:p w14:paraId="24E07AF4" w14:textId="77777777" w:rsidR="004D41D2" w:rsidRDefault="004D41D2" w:rsidP="004D41D2">
      <w:pPr>
        <w:rPr>
          <w:rFonts w:ascii="Arial" w:hAnsi="Arial" w:cs="Arial"/>
          <w:sz w:val="24"/>
          <w:szCs w:val="24"/>
        </w:rPr>
      </w:pPr>
      <w:r>
        <w:rPr>
          <w:rFonts w:ascii="Arial" w:hAnsi="Arial" w:cs="Arial"/>
          <w:sz w:val="24"/>
          <w:szCs w:val="24"/>
        </w:rPr>
        <w:t xml:space="preserve">Monaghan, N. (2018) </w:t>
      </w:r>
      <w:r w:rsidRPr="006C63F3">
        <w:rPr>
          <w:rFonts w:ascii="Arial" w:hAnsi="Arial" w:cs="Arial"/>
          <w:i/>
          <w:iCs/>
          <w:sz w:val="24"/>
          <w:szCs w:val="24"/>
        </w:rPr>
        <w:t>Criminal law</w:t>
      </w:r>
      <w:r>
        <w:rPr>
          <w:rFonts w:ascii="Arial" w:hAnsi="Arial" w:cs="Arial"/>
          <w:sz w:val="24"/>
          <w:szCs w:val="24"/>
        </w:rPr>
        <w:t>. 5</w:t>
      </w:r>
      <w:r w:rsidRPr="00654936">
        <w:rPr>
          <w:rFonts w:ascii="Arial" w:hAnsi="Arial" w:cs="Arial"/>
          <w:sz w:val="24"/>
          <w:szCs w:val="24"/>
          <w:vertAlign w:val="superscript"/>
        </w:rPr>
        <w:t>th</w:t>
      </w:r>
      <w:r>
        <w:rPr>
          <w:rFonts w:ascii="Arial" w:hAnsi="Arial" w:cs="Arial"/>
          <w:sz w:val="24"/>
          <w:szCs w:val="24"/>
        </w:rPr>
        <w:t xml:space="preserve"> Ed. Oxford: Oxford University Press.</w:t>
      </w:r>
    </w:p>
    <w:p w14:paraId="52D9B151" w14:textId="77777777" w:rsidR="004D41D2" w:rsidRDefault="004D41D2" w:rsidP="004D41D2">
      <w:pPr>
        <w:rPr>
          <w:rFonts w:ascii="Arial" w:hAnsi="Arial" w:cs="Arial"/>
          <w:sz w:val="24"/>
          <w:szCs w:val="24"/>
        </w:rPr>
      </w:pPr>
      <w:r w:rsidRPr="003604DB">
        <w:rPr>
          <w:rFonts w:ascii="Arial" w:hAnsi="Arial" w:cs="Arial"/>
          <w:sz w:val="24"/>
          <w:szCs w:val="24"/>
        </w:rPr>
        <w:t>Murder (Abolition of the Death Penalty) Act</w:t>
      </w:r>
      <w:r>
        <w:rPr>
          <w:rFonts w:ascii="Arial" w:hAnsi="Arial" w:cs="Arial"/>
          <w:sz w:val="24"/>
          <w:szCs w:val="24"/>
        </w:rPr>
        <w:t xml:space="preserve"> </w:t>
      </w:r>
      <w:r w:rsidRPr="003604DB">
        <w:rPr>
          <w:rFonts w:ascii="Arial" w:hAnsi="Arial" w:cs="Arial"/>
          <w:sz w:val="24"/>
          <w:szCs w:val="24"/>
        </w:rPr>
        <w:t>1965</w:t>
      </w:r>
      <w:r>
        <w:rPr>
          <w:rFonts w:ascii="Arial" w:hAnsi="Arial" w:cs="Arial"/>
          <w:sz w:val="24"/>
          <w:szCs w:val="24"/>
        </w:rPr>
        <w:t xml:space="preserve">, c. 71. Available at: </w:t>
      </w:r>
      <w:r w:rsidRPr="000A4CD3">
        <w:rPr>
          <w:rFonts w:ascii="Arial" w:hAnsi="Arial" w:cs="Arial"/>
          <w:sz w:val="24"/>
          <w:szCs w:val="24"/>
        </w:rPr>
        <w:t>https://www.legislation.gov.uk/ukpga/1965/71</w:t>
      </w:r>
      <w:r>
        <w:rPr>
          <w:rFonts w:ascii="Arial" w:hAnsi="Arial" w:cs="Arial"/>
          <w:sz w:val="24"/>
          <w:szCs w:val="24"/>
        </w:rPr>
        <w:t>(Accessed: 13</w:t>
      </w:r>
      <w:r w:rsidRPr="00D634A7">
        <w:rPr>
          <w:rFonts w:ascii="Arial" w:hAnsi="Arial" w:cs="Arial"/>
          <w:sz w:val="24"/>
          <w:szCs w:val="24"/>
          <w:vertAlign w:val="superscript"/>
        </w:rPr>
        <w:t>th</w:t>
      </w:r>
      <w:r>
        <w:rPr>
          <w:rFonts w:ascii="Arial" w:hAnsi="Arial" w:cs="Arial"/>
          <w:sz w:val="24"/>
          <w:szCs w:val="24"/>
        </w:rPr>
        <w:t xml:space="preserve"> June 2023). </w:t>
      </w:r>
    </w:p>
    <w:p w14:paraId="04743FA1" w14:textId="77777777" w:rsidR="004D41D2" w:rsidRDefault="004D41D2" w:rsidP="004D41D2">
      <w:pPr>
        <w:rPr>
          <w:rFonts w:ascii="Arial" w:hAnsi="Arial" w:cs="Arial"/>
          <w:sz w:val="24"/>
          <w:szCs w:val="24"/>
        </w:rPr>
      </w:pPr>
      <w:r>
        <w:rPr>
          <w:rFonts w:ascii="Arial" w:hAnsi="Arial" w:cs="Arial"/>
          <w:sz w:val="24"/>
          <w:szCs w:val="24"/>
        </w:rPr>
        <w:t xml:space="preserve">Ormerod, D. and Laird, K. (2018) </w:t>
      </w:r>
      <w:r w:rsidRPr="0078621B">
        <w:rPr>
          <w:rFonts w:ascii="Arial" w:hAnsi="Arial" w:cs="Arial"/>
          <w:i/>
          <w:iCs/>
          <w:sz w:val="24"/>
          <w:szCs w:val="24"/>
        </w:rPr>
        <w:t>Smith, Hogan and Ormerod’s</w:t>
      </w:r>
      <w:r>
        <w:rPr>
          <w:rFonts w:ascii="Arial" w:hAnsi="Arial" w:cs="Arial"/>
          <w:sz w:val="24"/>
          <w:szCs w:val="24"/>
        </w:rPr>
        <w:t xml:space="preserve"> </w:t>
      </w:r>
      <w:r w:rsidRPr="0055180C">
        <w:rPr>
          <w:rFonts w:ascii="Arial" w:hAnsi="Arial" w:cs="Arial"/>
          <w:i/>
          <w:iCs/>
          <w:sz w:val="24"/>
          <w:szCs w:val="24"/>
        </w:rPr>
        <w:t>Criminal Law</w:t>
      </w:r>
      <w:r>
        <w:rPr>
          <w:rFonts w:ascii="Arial" w:hAnsi="Arial" w:cs="Arial"/>
          <w:i/>
          <w:iCs/>
          <w:sz w:val="24"/>
          <w:szCs w:val="24"/>
        </w:rPr>
        <w:t>.</w:t>
      </w:r>
      <w:r>
        <w:rPr>
          <w:rFonts w:ascii="Arial" w:hAnsi="Arial" w:cs="Arial"/>
          <w:sz w:val="24"/>
          <w:szCs w:val="24"/>
        </w:rPr>
        <w:t xml:space="preserve"> 15</w:t>
      </w:r>
      <w:r w:rsidRPr="0078621B">
        <w:rPr>
          <w:rFonts w:ascii="Arial" w:hAnsi="Arial" w:cs="Arial"/>
          <w:sz w:val="24"/>
          <w:szCs w:val="24"/>
          <w:vertAlign w:val="superscript"/>
        </w:rPr>
        <w:t>th</w:t>
      </w:r>
      <w:r>
        <w:rPr>
          <w:rFonts w:ascii="Arial" w:hAnsi="Arial" w:cs="Arial"/>
          <w:sz w:val="24"/>
          <w:szCs w:val="24"/>
        </w:rPr>
        <w:t xml:space="preserve"> Ed.</w:t>
      </w:r>
      <w:r w:rsidRPr="00EC076E">
        <w:rPr>
          <w:rFonts w:ascii="Arial" w:hAnsi="Arial" w:cs="Arial"/>
          <w:sz w:val="24"/>
          <w:szCs w:val="24"/>
        </w:rPr>
        <w:t xml:space="preserve"> </w:t>
      </w:r>
      <w:r>
        <w:rPr>
          <w:rFonts w:ascii="Arial" w:hAnsi="Arial" w:cs="Arial"/>
          <w:sz w:val="24"/>
          <w:szCs w:val="24"/>
        </w:rPr>
        <w:t>Oxford: Oxford University Press.</w:t>
      </w:r>
    </w:p>
    <w:p w14:paraId="7AB9B6BC" w14:textId="77777777" w:rsidR="004D41D2" w:rsidRPr="00327E64" w:rsidRDefault="004D41D2" w:rsidP="004D41D2">
      <w:pPr>
        <w:rPr>
          <w:rFonts w:ascii="Arial" w:hAnsi="Arial" w:cs="Arial"/>
          <w:sz w:val="24"/>
          <w:szCs w:val="24"/>
        </w:rPr>
      </w:pPr>
      <w:r>
        <w:rPr>
          <w:rFonts w:ascii="Arial" w:hAnsi="Arial" w:cs="Arial"/>
          <w:sz w:val="24"/>
          <w:szCs w:val="24"/>
        </w:rPr>
        <w:t>‘</w:t>
      </w:r>
      <w:r w:rsidRPr="00B96D10">
        <w:rPr>
          <w:rFonts w:ascii="Arial" w:hAnsi="Arial" w:cs="Arial"/>
          <w:i/>
          <w:iCs/>
          <w:sz w:val="24"/>
          <w:szCs w:val="24"/>
        </w:rPr>
        <w:t>R v Adomako’</w:t>
      </w:r>
      <w:r>
        <w:rPr>
          <w:rFonts w:ascii="Arial" w:hAnsi="Arial" w:cs="Arial"/>
          <w:i/>
          <w:iCs/>
          <w:sz w:val="24"/>
          <w:szCs w:val="24"/>
        </w:rPr>
        <w:t xml:space="preserve"> </w:t>
      </w:r>
      <w:r>
        <w:rPr>
          <w:rFonts w:ascii="Arial" w:hAnsi="Arial" w:cs="Arial"/>
          <w:sz w:val="24"/>
          <w:szCs w:val="24"/>
        </w:rPr>
        <w:t xml:space="preserve">(1995) House of Lords, case 171. </w:t>
      </w:r>
      <w:r>
        <w:rPr>
          <w:rFonts w:ascii="Arial" w:hAnsi="Arial" w:cs="Arial"/>
          <w:i/>
          <w:iCs/>
          <w:sz w:val="24"/>
          <w:szCs w:val="24"/>
        </w:rPr>
        <w:t>Lexis + UK</w:t>
      </w:r>
      <w:r>
        <w:rPr>
          <w:rFonts w:ascii="Arial" w:hAnsi="Arial" w:cs="Arial"/>
          <w:sz w:val="24"/>
          <w:szCs w:val="24"/>
        </w:rPr>
        <w:t xml:space="preserve"> [online] Available at:  </w:t>
      </w:r>
      <w:r w:rsidRPr="00EB65BF">
        <w:rPr>
          <w:rFonts w:ascii="Arial" w:hAnsi="Arial" w:cs="Arial"/>
          <w:sz w:val="24"/>
          <w:szCs w:val="24"/>
        </w:rPr>
        <w:t>https://plus-lexis-com.ezproxy.uwtsd.ac.uk/uk/cases-uk/regina-respondent-and-adomako-appellant-199?crid=9ae58623-a87d-490c-89c4-7a3010214c9e&amp;pdproductcontenttypeid=urn:pct:285&amp;pdiskwicview=false&amp;pdpinpoint=</w:t>
      </w:r>
      <w:r>
        <w:rPr>
          <w:rFonts w:ascii="Arial" w:hAnsi="Arial" w:cs="Arial"/>
          <w:sz w:val="24"/>
          <w:szCs w:val="24"/>
        </w:rPr>
        <w:t xml:space="preserve"> (Accessed: 19</w:t>
      </w:r>
      <w:r w:rsidRPr="00D634A7">
        <w:rPr>
          <w:rFonts w:ascii="Arial" w:hAnsi="Arial" w:cs="Arial"/>
          <w:sz w:val="24"/>
          <w:szCs w:val="24"/>
          <w:vertAlign w:val="superscript"/>
        </w:rPr>
        <w:t>th</w:t>
      </w:r>
      <w:r>
        <w:rPr>
          <w:rFonts w:ascii="Arial" w:hAnsi="Arial" w:cs="Arial"/>
          <w:sz w:val="24"/>
          <w:szCs w:val="24"/>
        </w:rPr>
        <w:t xml:space="preserve"> June 2023).</w:t>
      </w:r>
    </w:p>
    <w:p w14:paraId="41A453CA" w14:textId="77777777" w:rsidR="004D41D2" w:rsidRDefault="004D41D2" w:rsidP="004D41D2">
      <w:pPr>
        <w:rPr>
          <w:rFonts w:ascii="Arial" w:hAnsi="Arial" w:cs="Arial"/>
          <w:sz w:val="24"/>
          <w:szCs w:val="24"/>
        </w:rPr>
      </w:pPr>
      <w:r w:rsidRPr="00672295">
        <w:rPr>
          <w:rFonts w:ascii="Arial" w:hAnsi="Arial" w:cs="Arial"/>
          <w:i/>
          <w:iCs/>
          <w:sz w:val="24"/>
          <w:szCs w:val="24"/>
        </w:rPr>
        <w:t xml:space="preserve">‘R v </w:t>
      </w:r>
      <w:r>
        <w:rPr>
          <w:rFonts w:ascii="Arial" w:hAnsi="Arial" w:cs="Arial"/>
          <w:i/>
          <w:iCs/>
          <w:sz w:val="24"/>
          <w:szCs w:val="24"/>
        </w:rPr>
        <w:t>Cunningham</w:t>
      </w:r>
      <w:r w:rsidRPr="00672295">
        <w:rPr>
          <w:rFonts w:ascii="Arial" w:hAnsi="Arial" w:cs="Arial"/>
          <w:i/>
          <w:iCs/>
          <w:sz w:val="24"/>
          <w:szCs w:val="24"/>
        </w:rPr>
        <w:t>’</w:t>
      </w:r>
      <w:r>
        <w:rPr>
          <w:rFonts w:ascii="Arial" w:hAnsi="Arial" w:cs="Arial"/>
          <w:sz w:val="24"/>
          <w:szCs w:val="24"/>
        </w:rPr>
        <w:t xml:space="preserve"> (1982) House of Lords, case 556. </w:t>
      </w:r>
      <w:r>
        <w:rPr>
          <w:rFonts w:ascii="Arial" w:hAnsi="Arial" w:cs="Arial"/>
          <w:i/>
          <w:iCs/>
          <w:sz w:val="24"/>
          <w:szCs w:val="24"/>
        </w:rPr>
        <w:t>Lexis + UK</w:t>
      </w:r>
      <w:r>
        <w:rPr>
          <w:rFonts w:ascii="Arial" w:hAnsi="Arial" w:cs="Arial"/>
          <w:sz w:val="24"/>
          <w:szCs w:val="24"/>
        </w:rPr>
        <w:t xml:space="preserve"> [online] Available at: </w:t>
      </w:r>
      <w:r w:rsidRPr="004F2FC1">
        <w:rPr>
          <w:rFonts w:ascii="Arial" w:hAnsi="Arial" w:cs="Arial"/>
          <w:sz w:val="24"/>
          <w:szCs w:val="24"/>
        </w:rPr>
        <w:t xml:space="preserve">https://plus-lexis-com.ezproxy.uwtsd.ac.uk/uk/cases-uk/regina-respondent-and-cunningham-appellant-_2?crid=7d1c486a-6d73-4e18-ad06-a950ac6107dd&amp;pdproductcontenttypeid=urn:pct:285&amp;pdiskwicview=false&amp;pdpinpoint= </w:t>
      </w:r>
      <w:r>
        <w:rPr>
          <w:rFonts w:ascii="Arial" w:hAnsi="Arial" w:cs="Arial"/>
          <w:sz w:val="24"/>
          <w:szCs w:val="24"/>
        </w:rPr>
        <w:t>(Accessed: 16</w:t>
      </w:r>
      <w:r w:rsidRPr="00D634A7">
        <w:rPr>
          <w:rFonts w:ascii="Arial" w:hAnsi="Arial" w:cs="Arial"/>
          <w:sz w:val="24"/>
          <w:szCs w:val="24"/>
          <w:vertAlign w:val="superscript"/>
        </w:rPr>
        <w:t>th</w:t>
      </w:r>
      <w:r>
        <w:rPr>
          <w:rFonts w:ascii="Arial" w:hAnsi="Arial" w:cs="Arial"/>
          <w:sz w:val="24"/>
          <w:szCs w:val="24"/>
        </w:rPr>
        <w:t xml:space="preserve"> June 2023).</w:t>
      </w:r>
    </w:p>
    <w:p w14:paraId="582F5236" w14:textId="77777777" w:rsidR="004D41D2" w:rsidRDefault="004D41D2" w:rsidP="004D41D2">
      <w:pPr>
        <w:rPr>
          <w:rFonts w:ascii="Arial" w:hAnsi="Arial" w:cs="Arial"/>
          <w:sz w:val="24"/>
          <w:szCs w:val="24"/>
        </w:rPr>
      </w:pPr>
      <w:r w:rsidRPr="00672295">
        <w:rPr>
          <w:rFonts w:ascii="Arial" w:hAnsi="Arial" w:cs="Arial"/>
          <w:i/>
          <w:iCs/>
          <w:sz w:val="24"/>
          <w:szCs w:val="24"/>
        </w:rPr>
        <w:t xml:space="preserve">‘R v </w:t>
      </w:r>
      <w:r>
        <w:rPr>
          <w:rFonts w:ascii="Arial" w:hAnsi="Arial" w:cs="Arial"/>
          <w:i/>
          <w:iCs/>
          <w:sz w:val="24"/>
          <w:szCs w:val="24"/>
        </w:rPr>
        <w:t>Hughes</w:t>
      </w:r>
      <w:r w:rsidRPr="00672295">
        <w:rPr>
          <w:rFonts w:ascii="Arial" w:hAnsi="Arial" w:cs="Arial"/>
          <w:i/>
          <w:iCs/>
          <w:sz w:val="24"/>
          <w:szCs w:val="24"/>
        </w:rPr>
        <w:t>’</w:t>
      </w:r>
      <w:r>
        <w:rPr>
          <w:rFonts w:ascii="Arial" w:hAnsi="Arial" w:cs="Arial"/>
          <w:sz w:val="24"/>
          <w:szCs w:val="24"/>
        </w:rPr>
        <w:t xml:space="preserve"> (2013) United Kingdom Supreme Court, case 56. </w:t>
      </w:r>
      <w:r w:rsidRPr="00007F8B">
        <w:rPr>
          <w:rFonts w:ascii="Arial" w:hAnsi="Arial" w:cs="Arial"/>
          <w:i/>
          <w:iCs/>
          <w:sz w:val="24"/>
          <w:szCs w:val="24"/>
        </w:rPr>
        <w:t>Bailii</w:t>
      </w:r>
      <w:r>
        <w:rPr>
          <w:rFonts w:ascii="Arial" w:hAnsi="Arial" w:cs="Arial"/>
          <w:sz w:val="24"/>
          <w:szCs w:val="24"/>
        </w:rPr>
        <w:t xml:space="preserve"> [online] Available at: </w:t>
      </w:r>
      <w:bookmarkStart w:id="10" w:name="_Hlk132910160"/>
      <w:r w:rsidRPr="00FA2C94">
        <w:rPr>
          <w:rFonts w:ascii="Arial" w:hAnsi="Arial" w:cs="Arial"/>
          <w:sz w:val="24"/>
          <w:szCs w:val="24"/>
        </w:rPr>
        <w:t>https://www.bailii.org/uk/cases/UKSC/2013/56.html</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bookmarkEnd w:id="10"/>
    </w:p>
    <w:p w14:paraId="2A71B5B0" w14:textId="77777777" w:rsidR="004D41D2" w:rsidRDefault="004D41D2" w:rsidP="004D41D2">
      <w:pPr>
        <w:rPr>
          <w:rFonts w:ascii="Arial" w:hAnsi="Arial" w:cs="Arial"/>
          <w:sz w:val="24"/>
          <w:szCs w:val="24"/>
        </w:rPr>
      </w:pPr>
      <w:r>
        <w:rPr>
          <w:rFonts w:ascii="Arial" w:hAnsi="Arial" w:cs="Arial"/>
          <w:sz w:val="24"/>
          <w:szCs w:val="24"/>
        </w:rPr>
        <w:t>‘</w:t>
      </w:r>
      <w:r w:rsidRPr="003604DB">
        <w:rPr>
          <w:rFonts w:ascii="Arial" w:hAnsi="Arial" w:cs="Arial"/>
          <w:i/>
          <w:iCs/>
          <w:sz w:val="24"/>
          <w:szCs w:val="24"/>
        </w:rPr>
        <w:t>R v Taylor</w:t>
      </w:r>
      <w:r>
        <w:rPr>
          <w:rFonts w:ascii="Arial" w:hAnsi="Arial" w:cs="Arial"/>
          <w:i/>
          <w:iCs/>
          <w:sz w:val="24"/>
          <w:szCs w:val="24"/>
        </w:rPr>
        <w:t xml:space="preserve">’ </w:t>
      </w:r>
      <w:r>
        <w:rPr>
          <w:rFonts w:ascii="Arial" w:hAnsi="Arial" w:cs="Arial"/>
          <w:sz w:val="24"/>
          <w:szCs w:val="24"/>
        </w:rPr>
        <w:t xml:space="preserve">(2016) United Kingdom Supreme Court, case 5. </w:t>
      </w:r>
      <w:r>
        <w:rPr>
          <w:rFonts w:ascii="Arial" w:hAnsi="Arial" w:cs="Arial"/>
          <w:i/>
          <w:iCs/>
          <w:sz w:val="24"/>
          <w:szCs w:val="24"/>
        </w:rPr>
        <w:t>UKSC</w:t>
      </w:r>
      <w:r>
        <w:rPr>
          <w:rFonts w:ascii="Arial" w:hAnsi="Arial" w:cs="Arial"/>
          <w:sz w:val="24"/>
          <w:szCs w:val="24"/>
        </w:rPr>
        <w:t xml:space="preserve"> [online] Available at: </w:t>
      </w:r>
      <w:r w:rsidRPr="00FF60C5">
        <w:rPr>
          <w:rFonts w:ascii="Arial" w:hAnsi="Arial" w:cs="Arial"/>
          <w:sz w:val="24"/>
          <w:szCs w:val="24"/>
        </w:rPr>
        <w:t xml:space="preserve">https://www.supremecourt.uk/cases/docs/uksc-2014-0157-judgment.pdf </w:t>
      </w:r>
      <w:bookmarkStart w:id="11" w:name="_Hlk139000985"/>
      <w:r>
        <w:rPr>
          <w:rFonts w:ascii="Arial" w:hAnsi="Arial" w:cs="Arial"/>
          <w:sz w:val="24"/>
          <w:szCs w:val="24"/>
        </w:rPr>
        <w:t>(Accessed: 15</w:t>
      </w:r>
      <w:r w:rsidRPr="00D634A7">
        <w:rPr>
          <w:rFonts w:ascii="Arial" w:hAnsi="Arial" w:cs="Arial"/>
          <w:sz w:val="24"/>
          <w:szCs w:val="24"/>
          <w:vertAlign w:val="superscript"/>
        </w:rPr>
        <w:t>th</w:t>
      </w:r>
      <w:r>
        <w:rPr>
          <w:rFonts w:ascii="Arial" w:hAnsi="Arial" w:cs="Arial"/>
          <w:sz w:val="24"/>
          <w:szCs w:val="24"/>
        </w:rPr>
        <w:t xml:space="preserve"> June 2023).</w:t>
      </w:r>
      <w:bookmarkEnd w:id="11"/>
    </w:p>
    <w:p w14:paraId="6753F322" w14:textId="77777777" w:rsidR="004D41D2" w:rsidRDefault="004D41D2" w:rsidP="004D41D2">
      <w:pPr>
        <w:rPr>
          <w:rFonts w:ascii="Arial" w:hAnsi="Arial" w:cs="Arial"/>
          <w:sz w:val="24"/>
          <w:szCs w:val="24"/>
        </w:rPr>
      </w:pPr>
      <w:bookmarkStart w:id="12" w:name="_Hlk138965225"/>
      <w:r w:rsidRPr="00672295">
        <w:rPr>
          <w:rFonts w:ascii="Arial" w:hAnsi="Arial" w:cs="Arial"/>
          <w:i/>
          <w:iCs/>
          <w:sz w:val="24"/>
          <w:szCs w:val="24"/>
        </w:rPr>
        <w:t xml:space="preserve">‘R v </w:t>
      </w:r>
      <w:r>
        <w:rPr>
          <w:rFonts w:ascii="Arial" w:hAnsi="Arial" w:cs="Arial"/>
          <w:i/>
          <w:iCs/>
          <w:sz w:val="24"/>
          <w:szCs w:val="24"/>
        </w:rPr>
        <w:t>Vickers</w:t>
      </w:r>
      <w:r w:rsidRPr="00672295">
        <w:rPr>
          <w:rFonts w:ascii="Arial" w:hAnsi="Arial" w:cs="Arial"/>
          <w:i/>
          <w:iCs/>
          <w:sz w:val="24"/>
          <w:szCs w:val="24"/>
        </w:rPr>
        <w:t>’</w:t>
      </w:r>
      <w:r>
        <w:rPr>
          <w:rFonts w:ascii="Arial" w:hAnsi="Arial" w:cs="Arial"/>
          <w:sz w:val="24"/>
          <w:szCs w:val="24"/>
        </w:rPr>
        <w:t xml:space="preserve"> (1957) Court of Criminal Appeal Queen’s Bench Division, case 664. </w:t>
      </w:r>
      <w:r>
        <w:rPr>
          <w:rFonts w:ascii="Arial" w:hAnsi="Arial" w:cs="Arial"/>
          <w:i/>
          <w:iCs/>
          <w:sz w:val="24"/>
          <w:szCs w:val="24"/>
        </w:rPr>
        <w:t>Lexis + UK</w:t>
      </w:r>
      <w:r>
        <w:rPr>
          <w:rFonts w:ascii="Arial" w:hAnsi="Arial" w:cs="Arial"/>
          <w:sz w:val="24"/>
          <w:szCs w:val="24"/>
        </w:rPr>
        <w:t xml:space="preserve"> [online] Available at: </w:t>
      </w:r>
      <w:bookmarkEnd w:id="12"/>
      <w:r w:rsidRPr="00BD6553">
        <w:rPr>
          <w:rFonts w:ascii="Arial" w:hAnsi="Arial" w:cs="Arial"/>
          <w:sz w:val="24"/>
          <w:szCs w:val="24"/>
        </w:rPr>
        <w:t>https://plus-lexis-com.ezproxy.uwtsd.ac.uk/uk/cases-uk/regina-v-vickers-1957-2-qb-664?crid=1acac73b-ef6a-4f3d-9189-</w:t>
      </w:r>
      <w:r w:rsidRPr="00BD6553">
        <w:rPr>
          <w:rFonts w:ascii="Arial" w:hAnsi="Arial" w:cs="Arial"/>
          <w:sz w:val="24"/>
          <w:szCs w:val="24"/>
        </w:rPr>
        <w:lastRenderedPageBreak/>
        <w:t>e54f61387732&amp;pdproductcontenttypeid=urn:pct:285&amp;pdiskwicview=false&amp;pdpinpoint=</w:t>
      </w:r>
      <w:r>
        <w:rPr>
          <w:rFonts w:ascii="Arial" w:hAnsi="Arial" w:cs="Arial"/>
          <w:sz w:val="24"/>
          <w:szCs w:val="24"/>
        </w:rPr>
        <w:t xml:space="preserve"> (Accessed: 15</w:t>
      </w:r>
      <w:r w:rsidRPr="00D634A7">
        <w:rPr>
          <w:rFonts w:ascii="Arial" w:hAnsi="Arial" w:cs="Arial"/>
          <w:sz w:val="24"/>
          <w:szCs w:val="24"/>
          <w:vertAlign w:val="superscript"/>
        </w:rPr>
        <w:t>th</w:t>
      </w:r>
      <w:r>
        <w:rPr>
          <w:rFonts w:ascii="Arial" w:hAnsi="Arial" w:cs="Arial"/>
          <w:sz w:val="24"/>
          <w:szCs w:val="24"/>
        </w:rPr>
        <w:t xml:space="preserve"> June 2023).</w:t>
      </w:r>
    </w:p>
    <w:p w14:paraId="1AA34329" w14:textId="77777777" w:rsidR="004D41D2" w:rsidRDefault="004D41D2" w:rsidP="004D41D2">
      <w:pPr>
        <w:rPr>
          <w:rFonts w:ascii="Arial" w:hAnsi="Arial" w:cs="Arial"/>
          <w:sz w:val="24"/>
          <w:szCs w:val="24"/>
        </w:rPr>
      </w:pPr>
      <w:r>
        <w:rPr>
          <w:rFonts w:ascii="Arial" w:hAnsi="Arial" w:cs="Arial"/>
          <w:i/>
          <w:iCs/>
          <w:sz w:val="24"/>
          <w:szCs w:val="24"/>
        </w:rPr>
        <w:t>‘</w:t>
      </w:r>
      <w:r w:rsidRPr="00B55A02">
        <w:rPr>
          <w:rFonts w:ascii="Arial" w:hAnsi="Arial" w:cs="Arial"/>
          <w:i/>
          <w:iCs/>
          <w:sz w:val="24"/>
          <w:szCs w:val="24"/>
        </w:rPr>
        <w:t xml:space="preserve">R v </w:t>
      </w:r>
      <w:r>
        <w:rPr>
          <w:rFonts w:ascii="Arial" w:hAnsi="Arial" w:cs="Arial"/>
          <w:i/>
          <w:iCs/>
          <w:sz w:val="24"/>
          <w:szCs w:val="24"/>
        </w:rPr>
        <w:t xml:space="preserve">Woollin’ </w:t>
      </w:r>
      <w:r w:rsidRPr="004D0437">
        <w:rPr>
          <w:rFonts w:ascii="Arial" w:hAnsi="Arial" w:cs="Arial"/>
          <w:sz w:val="24"/>
          <w:szCs w:val="24"/>
        </w:rPr>
        <w:t>(19</w:t>
      </w:r>
      <w:r>
        <w:rPr>
          <w:rFonts w:ascii="Arial" w:hAnsi="Arial" w:cs="Arial"/>
          <w:sz w:val="24"/>
          <w:szCs w:val="24"/>
        </w:rPr>
        <w:t>99</w:t>
      </w:r>
      <w:r w:rsidRPr="004D0437">
        <w:rPr>
          <w:rFonts w:ascii="Arial" w:hAnsi="Arial" w:cs="Arial"/>
          <w:sz w:val="24"/>
          <w:szCs w:val="24"/>
        </w:rPr>
        <w:t>)</w:t>
      </w:r>
      <w:r>
        <w:rPr>
          <w:rFonts w:ascii="Arial" w:hAnsi="Arial" w:cs="Arial"/>
          <w:sz w:val="24"/>
          <w:szCs w:val="24"/>
        </w:rPr>
        <w:t xml:space="preserve"> House of Lords, case 82. </w:t>
      </w:r>
      <w:r w:rsidRPr="00A358DC">
        <w:rPr>
          <w:rFonts w:ascii="Arial" w:hAnsi="Arial" w:cs="Arial"/>
          <w:i/>
          <w:iCs/>
          <w:sz w:val="24"/>
          <w:szCs w:val="24"/>
        </w:rPr>
        <w:t>Lexis Plus UK</w:t>
      </w:r>
      <w:r>
        <w:rPr>
          <w:rFonts w:ascii="Arial" w:hAnsi="Arial" w:cs="Arial"/>
          <w:sz w:val="24"/>
          <w:szCs w:val="24"/>
        </w:rPr>
        <w:t xml:space="preserve"> [Online] Available at:</w:t>
      </w:r>
      <w:r w:rsidRPr="00A67F06">
        <w:rPr>
          <w:rFonts w:ascii="Arial" w:hAnsi="Arial" w:cs="Arial"/>
          <w:sz w:val="24"/>
          <w:szCs w:val="24"/>
        </w:rPr>
        <w:t xml:space="preserve"> </w:t>
      </w:r>
      <w:r w:rsidRPr="000F68B2">
        <w:rPr>
          <w:rFonts w:ascii="Arial" w:hAnsi="Arial" w:cs="Arial"/>
          <w:sz w:val="24"/>
          <w:szCs w:val="24"/>
        </w:rPr>
        <w:t>https://plus-lexis-com.ezproxy.uwtsd.ac.uk/uk/cases-uk/regina-respondent-and-woollin-appellant-199_2?crid=8bd709f0-a69e-497a-b90d-0c1ae518fd88&amp;pdproductcontenttypeid=urn:pct:285&amp;pdiskwicview=false&amp;pdpinpoint=</w:t>
      </w:r>
      <w:r>
        <w:rPr>
          <w:rFonts w:ascii="Arial" w:hAnsi="Arial" w:cs="Arial"/>
          <w:sz w:val="24"/>
          <w:szCs w:val="24"/>
        </w:rPr>
        <w:t>(Accessed: 13</w:t>
      </w:r>
      <w:r w:rsidRPr="00344DC8">
        <w:rPr>
          <w:rFonts w:ascii="Arial" w:hAnsi="Arial" w:cs="Arial"/>
          <w:sz w:val="24"/>
          <w:szCs w:val="24"/>
          <w:vertAlign w:val="superscript"/>
        </w:rPr>
        <w:t>th</w:t>
      </w:r>
      <w:r>
        <w:rPr>
          <w:rFonts w:ascii="Arial" w:hAnsi="Arial" w:cs="Arial"/>
          <w:sz w:val="24"/>
          <w:szCs w:val="24"/>
        </w:rPr>
        <w:t xml:space="preserve"> June 2023).</w:t>
      </w:r>
    </w:p>
    <w:p w14:paraId="5D87EDB4" w14:textId="77777777" w:rsidR="004D41D2" w:rsidRPr="003604DB" w:rsidRDefault="004D41D2" w:rsidP="000B243B">
      <w:pPr>
        <w:rPr>
          <w:rFonts w:ascii="Arial" w:hAnsi="Arial" w:cs="Arial"/>
          <w:sz w:val="24"/>
          <w:szCs w:val="24"/>
        </w:rPr>
      </w:pPr>
    </w:p>
    <w:p w14:paraId="11122693" w14:textId="77777777" w:rsidR="000B243B" w:rsidRDefault="000B243B" w:rsidP="000B243B"/>
    <w:p w14:paraId="52C01BDC" w14:textId="77777777" w:rsidR="00F9380C" w:rsidRDefault="00F9380C"/>
    <w:sectPr w:rsidR="00F938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380C"/>
    <w:rsid w:val="0000577F"/>
    <w:rsid w:val="000152F0"/>
    <w:rsid w:val="0008303C"/>
    <w:rsid w:val="000A7B68"/>
    <w:rsid w:val="000B243B"/>
    <w:rsid w:val="001453C7"/>
    <w:rsid w:val="0016278E"/>
    <w:rsid w:val="001C5300"/>
    <w:rsid w:val="001D3DE0"/>
    <w:rsid w:val="001D6C7D"/>
    <w:rsid w:val="001E6EAF"/>
    <w:rsid w:val="00216FC6"/>
    <w:rsid w:val="00227A3E"/>
    <w:rsid w:val="0023534E"/>
    <w:rsid w:val="002E2D4E"/>
    <w:rsid w:val="002F4C10"/>
    <w:rsid w:val="0034305D"/>
    <w:rsid w:val="00351ED1"/>
    <w:rsid w:val="003A515E"/>
    <w:rsid w:val="003C64A0"/>
    <w:rsid w:val="0043714C"/>
    <w:rsid w:val="00470E4C"/>
    <w:rsid w:val="004D1175"/>
    <w:rsid w:val="004D41D2"/>
    <w:rsid w:val="004E24E1"/>
    <w:rsid w:val="004F20EF"/>
    <w:rsid w:val="00513BF6"/>
    <w:rsid w:val="00572A50"/>
    <w:rsid w:val="0057607E"/>
    <w:rsid w:val="005842B2"/>
    <w:rsid w:val="005B64BE"/>
    <w:rsid w:val="005F06DC"/>
    <w:rsid w:val="005F3591"/>
    <w:rsid w:val="00603CD0"/>
    <w:rsid w:val="006047A6"/>
    <w:rsid w:val="00644EA8"/>
    <w:rsid w:val="00657D02"/>
    <w:rsid w:val="00662DB4"/>
    <w:rsid w:val="006675AA"/>
    <w:rsid w:val="00674144"/>
    <w:rsid w:val="0069653B"/>
    <w:rsid w:val="006B0C7A"/>
    <w:rsid w:val="006B45C1"/>
    <w:rsid w:val="00742195"/>
    <w:rsid w:val="00760266"/>
    <w:rsid w:val="007A4137"/>
    <w:rsid w:val="007E3048"/>
    <w:rsid w:val="007F47F2"/>
    <w:rsid w:val="008535FC"/>
    <w:rsid w:val="00862614"/>
    <w:rsid w:val="008909FD"/>
    <w:rsid w:val="008A0C82"/>
    <w:rsid w:val="008A42B5"/>
    <w:rsid w:val="008D56D4"/>
    <w:rsid w:val="008D626B"/>
    <w:rsid w:val="008F24FE"/>
    <w:rsid w:val="00906D97"/>
    <w:rsid w:val="00926BFD"/>
    <w:rsid w:val="00985F4E"/>
    <w:rsid w:val="0099414D"/>
    <w:rsid w:val="00A057FF"/>
    <w:rsid w:val="00A23A16"/>
    <w:rsid w:val="00AB717C"/>
    <w:rsid w:val="00AC1A3F"/>
    <w:rsid w:val="00B13C85"/>
    <w:rsid w:val="00B169C5"/>
    <w:rsid w:val="00B40300"/>
    <w:rsid w:val="00B41E7D"/>
    <w:rsid w:val="00B87E98"/>
    <w:rsid w:val="00BD1E81"/>
    <w:rsid w:val="00BD42D7"/>
    <w:rsid w:val="00BF63E0"/>
    <w:rsid w:val="00BF79FD"/>
    <w:rsid w:val="00C366B0"/>
    <w:rsid w:val="00CB6F6D"/>
    <w:rsid w:val="00D078CE"/>
    <w:rsid w:val="00D22A5E"/>
    <w:rsid w:val="00D31B06"/>
    <w:rsid w:val="00DA6C96"/>
    <w:rsid w:val="00DB1125"/>
    <w:rsid w:val="00DF3B16"/>
    <w:rsid w:val="00DF407A"/>
    <w:rsid w:val="00EA40A5"/>
    <w:rsid w:val="00F01FF4"/>
    <w:rsid w:val="00F230A9"/>
    <w:rsid w:val="00F9380C"/>
    <w:rsid w:val="00FC3D45"/>
    <w:rsid w:val="00FE2DA1"/>
    <w:rsid w:val="00FF7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E9FA"/>
  <w15:chartTrackingRefBased/>
  <w15:docId w15:val="{4701AF12-B8AD-42BB-A525-7933C4FB6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43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207</TotalTime>
  <Pages>6</Pages>
  <Words>2250</Words>
  <Characters>12830</Characters>
  <Application>Microsoft Office Word</Application>
  <DocSecurity>0</DocSecurity>
  <Lines>106</Lines>
  <Paragraphs>30</Paragraphs>
  <ScaleCrop>false</ScaleCrop>
  <Company>HP</Company>
  <LinksUpToDate>false</LinksUpToDate>
  <CharactersWithSpaces>15050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Ralitsa Dragostinova</dc:creator>
  <cp:keywords/>
  <dc:description/>
  <cp:lastModifiedBy>Ralitsa Dragostinova</cp:lastModifiedBy>
  <cp:revision>89</cp:revision>
  <dcterms:created xsi:type="dcterms:W3CDTF">2023-06-30T11:07:00Z</dcterms:created>
  <dcterms:modified xsi:type="dcterms:W3CDTF">2023-07-07T14:28:00Z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8febf89cb27d9a569435cc049d7902e2ea4ffd0b21de7c0752054b5a79be9d73</vt:lpwstr>
  </property>
</Properties>
</file>